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que modifica al diverso que establece las mercancías cuya exportación está sujeta a regulación por parte de la Secretaría de Cultura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1 de septiembre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Secretaría de Economía.- Secretaría de Cultura.</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 fundamento en los artículos 34 fracciones I, V y XXXIII y 41 Bis, fracciones I, XI, XXIII y XXVII de la Ley Orgánica de la Administración Pública Federal; 4o. fracción III, 5o. fracción III y 17 de la Ley de Comercio Exterior; 16 de la Ley Federal sobre Monumentos y Zonas Arqueológicos, Artísticos e Históricos; 5, fracción XVII del Reglamento Interior de la Secretaría de Economía, 5 fracción II del Reglamento Interior de la Secretaría de Cultura, y</w:t>
      </w:r>
    </w:p>
    <w:p w:rsidR="00000000" w:rsidDel="00000000" w:rsidP="00000000" w:rsidRDefault="00000000" w:rsidRPr="00000000" w14:paraId="0000000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corresponde a la Secretaría de Cultura conservar, proteger y mantener los monumentos arqueológicos, históricos y artísticos que conforman el patrimonio cultural de la Nación.</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con fecha 26 de diciembre de 2020, fue publicado en el Diario Oficial de la Federación el Acuerdo que establece las mercancías cuya exportación está sujeta a regulación por parte de la Secretaría de Cultura.</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7 de junio de 2022, se publicó en el Diario Oficial de la Federación el Decreto por el que se expide la Ley de los Impuestos Generales de Importación y de Exportación, el cual establece en su artículo 1o. las cuotas que, atendiendo a la clasificación de las mercancías, servirán para determinar los Impuestos Generales de Importación y de Exportación, es decir, la Tarifa arancelaria aplicable a la importación y exportación de mercancías en territorio nacional.</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Decreto antes mencionado instrumenta la "Séptima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14 de julio de 2022, se publicó en el Diario Oficial de la Federación el Acuerdo por el que se dan a conocer las tablas de correlación entre las fracciones arancelarias de la Tarifa de la Ley de los Impuestos Generales de Importación y de Exportación (TIGIE) 2020-2022, con el objeto de facilitar la aplicación de la nomenclatura arancelaria.</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22 de agosto de 2022,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0">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 QUE MODIFICA AL DIVERSO QUE ESTABLECE LAS MERCANCÍAS CUYA EXPORTACION</w:t>
      </w:r>
    </w:p>
    <w:p w:rsidR="00000000" w:rsidDel="00000000" w:rsidP="00000000" w:rsidRDefault="00000000" w:rsidRPr="00000000" w14:paraId="00000011">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ESTÁ SUJETA A REGULACIÓN POR PARTE DE LA SECRETARÍA DE CULTURA</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ÚNICO.-</w:t>
      </w:r>
      <w:r w:rsidDel="00000000" w:rsidR="00000000" w:rsidRPr="00000000">
        <w:rPr>
          <w:color w:val="2f2f2f"/>
          <w:sz w:val="20"/>
          <w:szCs w:val="20"/>
          <w:rtl w:val="0"/>
        </w:rPr>
        <w:t xml:space="preserve"> Se </w:t>
      </w:r>
      <w:r w:rsidDel="00000000" w:rsidR="00000000" w:rsidRPr="00000000">
        <w:rPr>
          <w:b w:val="1"/>
          <w:color w:val="2f2f2f"/>
          <w:sz w:val="20"/>
          <w:szCs w:val="20"/>
          <w:rtl w:val="0"/>
        </w:rPr>
        <w:t xml:space="preserve">reforma</w:t>
      </w:r>
      <w:r w:rsidDel="00000000" w:rsidR="00000000" w:rsidRPr="00000000">
        <w:rPr>
          <w:color w:val="2f2f2f"/>
          <w:sz w:val="20"/>
          <w:szCs w:val="20"/>
          <w:rtl w:val="0"/>
        </w:rPr>
        <w:t xml:space="preserve"> el Anexo I del Acuerdo que establece las mercancías cuya exportación está sujeta a regulación por parte de la Secretaría de Cultura, publicado en el Diario Oficial de la Federación el 26 de diciembre de 2020, para quedar como sigue:</w:t>
      </w:r>
    </w:p>
    <w:p w:rsidR="00000000" w:rsidDel="00000000" w:rsidP="00000000" w:rsidRDefault="00000000" w:rsidRPr="00000000" w14:paraId="00000013">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"ANEXO I</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 </w:t>
      </w:r>
      <w:r w:rsidDel="00000000" w:rsidR="00000000" w:rsidRPr="00000000">
        <w:rPr>
          <w:color w:val="2f2f2f"/>
          <w:sz w:val="20"/>
          <w:szCs w:val="20"/>
          <w:rtl w:val="0"/>
        </w:rPr>
        <w:t xml:space="preserve">Bienes considerados monumentos históricos, sujetos a autorización previa de exportación por parte del Instituto Nacional de Antropología e Historia, comprendidos en las fracciones arancelarias de la Tarifa que a continuación se indican.</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formato que deberá ser utilizado 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945"/>
        <w:tblGridChange w:id="0">
          <w:tblGrid>
            <w:gridCol w:w="1860"/>
            <w:gridCol w:w="694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b w:val="1"/>
                <w:sz w:val="20"/>
                <w:szCs w:val="20"/>
              </w:rPr>
            </w:pPr>
            <w:r w:rsidDel="00000000" w:rsidR="00000000" w:rsidRPr="00000000">
              <w:rPr>
                <w:b w:val="1"/>
                <w:sz w:val="20"/>
                <w:szCs w:val="20"/>
                <w:rtl w:val="0"/>
              </w:rPr>
              <w:t xml:space="preserve">Homoclave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center"/>
              <w:rPr>
                <w:b w:val="1"/>
                <w:sz w:val="20"/>
                <w:szCs w:val="20"/>
              </w:rPr>
            </w:pPr>
            <w:r w:rsidDel="00000000" w:rsidR="00000000" w:rsidRPr="00000000">
              <w:rPr>
                <w:b w:val="1"/>
                <w:sz w:val="20"/>
                <w:szCs w:val="20"/>
                <w:rtl w:val="0"/>
              </w:rPr>
              <w:t xml:space="preserve">Nombre</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sz w:val="20"/>
                <w:szCs w:val="20"/>
              </w:rPr>
            </w:pPr>
            <w:r w:rsidDel="00000000" w:rsidR="00000000" w:rsidRPr="00000000">
              <w:rPr>
                <w:sz w:val="20"/>
                <w:szCs w:val="20"/>
                <w:rtl w:val="0"/>
              </w:rPr>
              <w:t xml:space="preserve">INAH-01-002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both"/>
              <w:rPr>
                <w:sz w:val="20"/>
                <w:szCs w:val="20"/>
              </w:rPr>
            </w:pPr>
            <w:r w:rsidDel="00000000" w:rsidR="00000000" w:rsidRPr="00000000">
              <w:rPr>
                <w:sz w:val="20"/>
                <w:szCs w:val="20"/>
                <w:rtl w:val="0"/>
              </w:rPr>
              <w:t xml:space="preserve">Permiso de exportación temporal o definitiva de monumentos o bienes muebles históricos</w:t>
            </w:r>
          </w:p>
        </w:tc>
      </w:tr>
    </w:tbl>
    <w:p w:rsidR="00000000" w:rsidDel="00000000" w:rsidP="00000000" w:rsidRDefault="00000000" w:rsidRPr="00000000" w14:paraId="0000001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1B">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3210"/>
        <w:gridCol w:w="3405"/>
        <w:tblGridChange w:id="0">
          <w:tblGrid>
            <w:gridCol w:w="2190"/>
            <w:gridCol w:w="3210"/>
            <w:gridCol w:w="3405"/>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40" w:before="40" w:lineRule="auto"/>
              <w:ind w:left="80" w:firstLine="0"/>
              <w:jc w:val="center"/>
              <w:rPr>
                <w:b w:val="1"/>
                <w:sz w:val="20"/>
                <w:szCs w:val="20"/>
              </w:rPr>
            </w:pPr>
            <w:r w:rsidDel="00000000" w:rsidR="00000000" w:rsidRPr="00000000">
              <w:rPr>
                <w:b w:val="1"/>
                <w:sz w:val="20"/>
                <w:szCs w:val="20"/>
                <w:rtl w:val="0"/>
              </w:rPr>
              <w:t xml:space="preserve">Fracción Arancelaria/</w:t>
            </w:r>
          </w:p>
          <w:p w:rsidR="00000000" w:rsidDel="00000000" w:rsidP="00000000" w:rsidRDefault="00000000" w:rsidRPr="00000000" w14:paraId="0000001D">
            <w:pPr>
              <w:spacing w:after="40" w:before="40" w:lineRule="auto"/>
              <w:ind w:left="80" w:firstLine="0"/>
              <w:jc w:val="center"/>
              <w:rPr>
                <w:b w:val="1"/>
                <w:sz w:val="20"/>
                <w:szCs w:val="20"/>
              </w:rPr>
            </w:pPr>
            <w:r w:rsidDel="00000000" w:rsidR="00000000" w:rsidRPr="00000000">
              <w:rPr>
                <w:b w:val="1"/>
                <w:sz w:val="20"/>
                <w:szCs w:val="20"/>
                <w:rtl w:val="0"/>
              </w:rPr>
              <w:t xml:space="preserve">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40" w:before="40" w:lineRule="auto"/>
              <w:ind w:left="80" w:firstLine="0"/>
              <w:jc w:val="center"/>
              <w:rPr>
                <w:b w:val="1"/>
                <w:sz w:val="20"/>
                <w:szCs w:val="20"/>
              </w:rPr>
            </w:pPr>
            <w:r w:rsidDel="00000000" w:rsidR="00000000" w:rsidRPr="00000000">
              <w:rPr>
                <w:b w:val="1"/>
                <w:sz w:val="20"/>
                <w:szCs w:val="20"/>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40" w:before="40" w:lineRule="auto"/>
              <w:ind w:left="80" w:firstLine="0"/>
              <w:jc w:val="center"/>
              <w:rPr>
                <w:b w:val="1"/>
                <w:sz w:val="20"/>
                <w:szCs w:val="20"/>
              </w:rPr>
            </w:pPr>
            <w:r w:rsidDel="00000000" w:rsidR="00000000" w:rsidRPr="00000000">
              <w:rPr>
                <w:b w:val="1"/>
                <w:sz w:val="20"/>
                <w:szCs w:val="20"/>
                <w:rtl w:val="0"/>
              </w:rPr>
              <w:t xml:space="preserve">Acotación</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40" w:before="40" w:lineRule="auto"/>
              <w:ind w:left="80" w:firstLine="0"/>
              <w:jc w:val="both"/>
              <w:rPr>
                <w:b w:val="1"/>
                <w:sz w:val="20"/>
                <w:szCs w:val="20"/>
              </w:rPr>
            </w:pPr>
            <w:r w:rsidDel="00000000" w:rsidR="00000000" w:rsidRPr="00000000">
              <w:rPr>
                <w:b w:val="1"/>
                <w:sz w:val="20"/>
                <w:szCs w:val="20"/>
                <w:rtl w:val="0"/>
              </w:rPr>
              <w:t xml:space="preserve">9701.21.01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40" w:before="40" w:lineRule="auto"/>
              <w:ind w:left="80" w:firstLine="0"/>
              <w:jc w:val="both"/>
              <w:rPr>
                <w:b w:val="1"/>
                <w:sz w:val="20"/>
                <w:szCs w:val="20"/>
              </w:rPr>
            </w:pPr>
            <w:r w:rsidDel="00000000" w:rsidR="00000000" w:rsidRPr="00000000">
              <w:rPr>
                <w:b w:val="1"/>
                <w:sz w:val="20"/>
                <w:szCs w:val="20"/>
                <w:rtl w:val="0"/>
              </w:rPr>
              <w:t xml:space="preserve">Pinturas y dibujos.</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40" w:before="40" w:lineRule="auto"/>
              <w:ind w:left="80" w:firstLine="0"/>
              <w:jc w:val="both"/>
              <w:rPr>
                <w:sz w:val="20"/>
                <w:szCs w:val="20"/>
              </w:rPr>
            </w:pPr>
            <w:r w:rsidDel="00000000" w:rsidR="00000000" w:rsidRPr="00000000">
              <w:rPr>
                <w:sz w:val="20"/>
                <w:szCs w:val="20"/>
                <w:rtl w:val="0"/>
              </w:rPr>
              <w:t xml:space="preserve">Pinturas y dibujos.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80" w:firstLine="0"/>
              <w:jc w:val="both"/>
              <w:rPr>
                <w:color w:val="2f2f2f"/>
                <w:sz w:val="20"/>
                <w:szCs w:val="20"/>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40" w:before="40" w:lineRule="auto"/>
              <w:ind w:left="80" w:firstLine="0"/>
              <w:jc w:val="both"/>
              <w:rPr>
                <w:b w:val="1"/>
                <w:sz w:val="20"/>
                <w:szCs w:val="20"/>
              </w:rPr>
            </w:pPr>
            <w:r w:rsidDel="00000000" w:rsidR="00000000" w:rsidRPr="00000000">
              <w:rPr>
                <w:b w:val="1"/>
                <w:sz w:val="20"/>
                <w:szCs w:val="20"/>
                <w:rtl w:val="0"/>
              </w:rPr>
              <w:t xml:space="preserve">9701.22.01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40" w:before="40" w:lineRule="auto"/>
              <w:ind w:left="80" w:firstLine="0"/>
              <w:jc w:val="both"/>
              <w:rPr>
                <w:b w:val="1"/>
                <w:sz w:val="20"/>
                <w:szCs w:val="20"/>
              </w:rPr>
            </w:pPr>
            <w:r w:rsidDel="00000000" w:rsidR="00000000" w:rsidRPr="00000000">
              <w:rPr>
                <w:b w:val="1"/>
                <w:sz w:val="20"/>
                <w:szCs w:val="20"/>
                <w:rtl w:val="0"/>
              </w:rPr>
              <w:t xml:space="preserve">Mosaicos.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80" w:firstLine="0"/>
              <w:jc w:val="both"/>
              <w:rPr>
                <w:sz w:val="20"/>
                <w:szCs w:val="20"/>
              </w:rPr>
            </w:pPr>
            <w:r w:rsidDel="00000000" w:rsidR="00000000" w:rsidRPr="00000000">
              <w:rPr>
                <w:sz w:val="20"/>
                <w:szCs w:val="20"/>
                <w:rtl w:val="0"/>
              </w:rPr>
              <w:t xml:space="preserve">Mosaicos.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20"/>
                <w:szCs w:val="20"/>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40" w:before="40" w:lineRule="auto"/>
              <w:ind w:left="80" w:firstLine="0"/>
              <w:jc w:val="both"/>
              <w:rPr>
                <w:b w:val="1"/>
                <w:sz w:val="20"/>
                <w:szCs w:val="20"/>
              </w:rPr>
            </w:pPr>
            <w:r w:rsidDel="00000000" w:rsidR="00000000" w:rsidRPr="00000000">
              <w:rPr>
                <w:b w:val="1"/>
                <w:sz w:val="20"/>
                <w:szCs w:val="20"/>
                <w:rtl w:val="0"/>
              </w:rPr>
              <w:t xml:space="preserve">9701.29.99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40" w:before="40" w:lineRule="auto"/>
              <w:ind w:left="80" w:firstLine="0"/>
              <w:jc w:val="both"/>
              <w:rPr>
                <w:b w:val="1"/>
                <w:sz w:val="20"/>
                <w:szCs w:val="20"/>
              </w:rPr>
            </w:pPr>
            <w:r w:rsidDel="00000000" w:rsidR="00000000" w:rsidRPr="00000000">
              <w:rPr>
                <w:b w:val="1"/>
                <w:sz w:val="20"/>
                <w:szCs w:val="20"/>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both"/>
              <w:rPr>
                <w:sz w:val="20"/>
                <w:szCs w:val="20"/>
              </w:rPr>
            </w:pPr>
            <w:r w:rsidDel="00000000" w:rsidR="00000000" w:rsidRPr="00000000">
              <w:rPr>
                <w:sz w:val="20"/>
                <w:szCs w:val="20"/>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20"/>
                <w:szCs w:val="20"/>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both"/>
              <w:rPr>
                <w:b w:val="1"/>
                <w:sz w:val="20"/>
                <w:szCs w:val="20"/>
              </w:rPr>
            </w:pPr>
            <w:r w:rsidDel="00000000" w:rsidR="00000000" w:rsidRPr="00000000">
              <w:rPr>
                <w:b w:val="1"/>
                <w:sz w:val="20"/>
                <w:szCs w:val="20"/>
                <w:rtl w:val="0"/>
              </w:rPr>
              <w:t xml:space="preserve">9701.91.01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both"/>
              <w:rPr>
                <w:b w:val="1"/>
                <w:sz w:val="20"/>
                <w:szCs w:val="20"/>
              </w:rPr>
            </w:pPr>
            <w:r w:rsidDel="00000000" w:rsidR="00000000" w:rsidRPr="00000000">
              <w:rPr>
                <w:b w:val="1"/>
                <w:sz w:val="20"/>
                <w:szCs w:val="20"/>
                <w:rtl w:val="0"/>
              </w:rPr>
              <w:t xml:space="preserve">Pinturas y dibujos.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both"/>
              <w:rPr>
                <w:sz w:val="20"/>
                <w:szCs w:val="20"/>
              </w:rPr>
            </w:pPr>
            <w:r w:rsidDel="00000000" w:rsidR="00000000" w:rsidRPr="00000000">
              <w:rPr>
                <w:sz w:val="20"/>
                <w:szCs w:val="20"/>
                <w:rtl w:val="0"/>
              </w:rPr>
              <w:t xml:space="preserve">Pinturas y dibujos.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left="80" w:firstLine="0"/>
              <w:jc w:val="both"/>
              <w:rPr>
                <w:color w:val="2f2f2f"/>
                <w:sz w:val="20"/>
                <w:szCs w:val="20"/>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both"/>
              <w:rPr>
                <w:b w:val="1"/>
                <w:sz w:val="20"/>
                <w:szCs w:val="20"/>
              </w:rPr>
            </w:pPr>
            <w:r w:rsidDel="00000000" w:rsidR="00000000" w:rsidRPr="00000000">
              <w:rPr>
                <w:b w:val="1"/>
                <w:sz w:val="20"/>
                <w:szCs w:val="20"/>
                <w:rtl w:val="0"/>
              </w:rPr>
              <w:t xml:space="preserve">9701.92.01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both"/>
              <w:rPr>
                <w:b w:val="1"/>
                <w:sz w:val="20"/>
                <w:szCs w:val="20"/>
              </w:rPr>
            </w:pPr>
            <w:r w:rsidDel="00000000" w:rsidR="00000000" w:rsidRPr="00000000">
              <w:rPr>
                <w:b w:val="1"/>
                <w:sz w:val="20"/>
                <w:szCs w:val="20"/>
                <w:rtl w:val="0"/>
              </w:rPr>
              <w:t xml:space="preserve">Mosaicos.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7">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both"/>
              <w:rPr>
                <w:sz w:val="20"/>
                <w:szCs w:val="20"/>
              </w:rPr>
            </w:pPr>
            <w:r w:rsidDel="00000000" w:rsidR="00000000" w:rsidRPr="00000000">
              <w:rPr>
                <w:sz w:val="20"/>
                <w:szCs w:val="20"/>
                <w:rtl w:val="0"/>
              </w:rPr>
              <w:t xml:space="preserve">Mosaicos.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ind w:left="80" w:firstLine="0"/>
              <w:jc w:val="both"/>
              <w:rPr>
                <w:color w:val="2f2f2f"/>
                <w:sz w:val="20"/>
                <w:szCs w:val="20"/>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40" w:before="40" w:lineRule="auto"/>
              <w:ind w:left="80" w:firstLine="0"/>
              <w:jc w:val="both"/>
              <w:rPr>
                <w:b w:val="1"/>
                <w:sz w:val="20"/>
                <w:szCs w:val="20"/>
              </w:rPr>
            </w:pPr>
            <w:r w:rsidDel="00000000" w:rsidR="00000000" w:rsidRPr="00000000">
              <w:rPr>
                <w:b w:val="1"/>
                <w:sz w:val="20"/>
                <w:szCs w:val="20"/>
                <w:rtl w:val="0"/>
              </w:rPr>
              <w:t xml:space="preserve">9701.99.99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40" w:before="40" w:lineRule="auto"/>
              <w:ind w:left="80" w:firstLine="0"/>
              <w:jc w:val="both"/>
              <w:rPr>
                <w:b w:val="1"/>
                <w:sz w:val="20"/>
                <w:szCs w:val="20"/>
              </w:rPr>
            </w:pPr>
            <w:r w:rsidDel="00000000" w:rsidR="00000000" w:rsidRPr="00000000">
              <w:rPr>
                <w:b w:val="1"/>
                <w:sz w:val="20"/>
                <w:szCs w:val="20"/>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F">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0">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40" w:before="40" w:lineRule="auto"/>
              <w:ind w:left="80" w:firstLine="0"/>
              <w:jc w:val="both"/>
              <w:rPr>
                <w:sz w:val="20"/>
                <w:szCs w:val="20"/>
              </w:rPr>
            </w:pPr>
            <w:r w:rsidDel="00000000" w:rsidR="00000000" w:rsidRPr="00000000">
              <w:rPr>
                <w:sz w:val="20"/>
                <w:szCs w:val="20"/>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ind w:left="80" w:firstLine="0"/>
              <w:jc w:val="both"/>
              <w:rPr>
                <w:color w:val="2f2f2f"/>
                <w:sz w:val="20"/>
                <w:szCs w:val="20"/>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6">
            <w:pPr>
              <w:spacing w:after="40" w:before="40" w:lineRule="auto"/>
              <w:ind w:left="80" w:firstLine="0"/>
              <w:jc w:val="both"/>
              <w:rPr>
                <w:b w:val="1"/>
                <w:sz w:val="20"/>
                <w:szCs w:val="20"/>
              </w:rPr>
            </w:pPr>
            <w:r w:rsidDel="00000000" w:rsidR="00000000" w:rsidRPr="00000000">
              <w:rPr>
                <w:b w:val="1"/>
                <w:sz w:val="20"/>
                <w:szCs w:val="20"/>
                <w:rtl w:val="0"/>
              </w:rPr>
              <w:t xml:space="preserve">9702.10.01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40" w:before="40" w:lineRule="auto"/>
              <w:ind w:left="80" w:firstLine="0"/>
              <w:jc w:val="both"/>
              <w:rPr>
                <w:b w:val="1"/>
                <w:sz w:val="20"/>
                <w:szCs w:val="20"/>
              </w:rPr>
            </w:pPr>
            <w:r w:rsidDel="00000000" w:rsidR="00000000" w:rsidRPr="00000000">
              <w:rPr>
                <w:b w:val="1"/>
                <w:sz w:val="20"/>
                <w:szCs w:val="20"/>
                <w:rtl w:val="0"/>
              </w:rPr>
              <w:t xml:space="preserve">De más de 100 años.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pacing w:after="40" w:before="40" w:lineRule="auto"/>
              <w:ind w:left="80" w:firstLine="0"/>
              <w:jc w:val="both"/>
              <w:rPr>
                <w:sz w:val="20"/>
                <w:szCs w:val="20"/>
              </w:rPr>
            </w:pPr>
            <w:r w:rsidDel="00000000" w:rsidR="00000000" w:rsidRPr="00000000">
              <w:rPr>
                <w:sz w:val="20"/>
                <w:szCs w:val="20"/>
                <w:rtl w:val="0"/>
              </w:rPr>
              <w:t xml:space="preserve">De más de 100 años.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ind w:left="80" w:firstLine="0"/>
              <w:jc w:val="both"/>
              <w:rPr>
                <w:color w:val="2f2f2f"/>
                <w:sz w:val="20"/>
                <w:szCs w:val="20"/>
              </w:rPr>
            </w:pPr>
            <w:r w:rsidDel="00000000" w:rsidR="00000000" w:rsidRPr="00000000">
              <w:rPr>
                <w:rtl w:val="0"/>
              </w:rPr>
            </w:r>
          </w:p>
        </w:tc>
      </w:tr>
    </w:tbl>
    <w:p w:rsidR="00000000" w:rsidDel="00000000" w:rsidP="00000000" w:rsidRDefault="00000000" w:rsidRPr="00000000" w14:paraId="0000005C">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5D">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3225"/>
        <w:gridCol w:w="3450"/>
        <w:tblGridChange w:id="0">
          <w:tblGrid>
            <w:gridCol w:w="2130"/>
            <w:gridCol w:w="3225"/>
            <w:gridCol w:w="3450"/>
          </w:tblGrid>
        </w:tblGridChange>
      </w:tblGrid>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40" w:before="40" w:lineRule="auto"/>
              <w:ind w:left="80" w:firstLine="0"/>
              <w:jc w:val="both"/>
              <w:rPr>
                <w:b w:val="1"/>
                <w:sz w:val="20"/>
                <w:szCs w:val="20"/>
              </w:rPr>
            </w:pPr>
            <w:r w:rsidDel="00000000" w:rsidR="00000000" w:rsidRPr="00000000">
              <w:rPr>
                <w:b w:val="1"/>
                <w:sz w:val="20"/>
                <w:szCs w:val="20"/>
                <w:rtl w:val="0"/>
              </w:rPr>
              <w:t xml:space="preserve">9702.90.99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40" w:before="40" w:lineRule="auto"/>
              <w:ind w:left="80" w:firstLine="0"/>
              <w:jc w:val="both"/>
              <w:rPr>
                <w:b w:val="1"/>
                <w:sz w:val="20"/>
                <w:szCs w:val="20"/>
              </w:rPr>
            </w:pPr>
            <w:r w:rsidDel="00000000" w:rsidR="00000000" w:rsidRPr="00000000">
              <w:rPr>
                <w:b w:val="1"/>
                <w:sz w:val="20"/>
                <w:szCs w:val="20"/>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5">
            <w:pPr>
              <w:spacing w:after="40" w:before="40" w:lineRule="auto"/>
              <w:ind w:left="80" w:firstLine="0"/>
              <w:jc w:val="both"/>
              <w:rPr>
                <w:sz w:val="20"/>
                <w:szCs w:val="20"/>
              </w:rPr>
            </w:pPr>
            <w:r w:rsidDel="00000000" w:rsidR="00000000" w:rsidRPr="00000000">
              <w:rPr>
                <w:sz w:val="20"/>
                <w:szCs w:val="20"/>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ind w:left="80" w:firstLine="0"/>
              <w:jc w:val="both"/>
              <w:rPr>
                <w:color w:val="2f2f2f"/>
                <w:sz w:val="20"/>
                <w:szCs w:val="20"/>
              </w:rPr>
            </w:pPr>
            <w:r w:rsidDel="00000000" w:rsidR="00000000" w:rsidRPr="00000000">
              <w:rPr>
                <w:rtl w:val="0"/>
              </w:rPr>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40" w:before="40" w:lineRule="auto"/>
              <w:ind w:left="80" w:firstLine="0"/>
              <w:jc w:val="both"/>
              <w:rPr>
                <w:b w:val="1"/>
                <w:sz w:val="20"/>
                <w:szCs w:val="20"/>
              </w:rPr>
            </w:pPr>
            <w:r w:rsidDel="00000000" w:rsidR="00000000" w:rsidRPr="00000000">
              <w:rPr>
                <w:b w:val="1"/>
                <w:sz w:val="20"/>
                <w:szCs w:val="20"/>
                <w:rtl w:val="0"/>
              </w:rPr>
              <w:t xml:space="preserve">9703.10.01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40" w:before="40" w:lineRule="auto"/>
              <w:ind w:left="80" w:firstLine="0"/>
              <w:jc w:val="both"/>
              <w:rPr>
                <w:b w:val="1"/>
                <w:sz w:val="20"/>
                <w:szCs w:val="20"/>
              </w:rPr>
            </w:pPr>
            <w:r w:rsidDel="00000000" w:rsidR="00000000" w:rsidRPr="00000000">
              <w:rPr>
                <w:b w:val="1"/>
                <w:sz w:val="20"/>
                <w:szCs w:val="20"/>
                <w:rtl w:val="0"/>
              </w:rPr>
              <w:t xml:space="preserve">De más de 100 años.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D">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40" w:before="40" w:lineRule="auto"/>
              <w:ind w:left="80" w:firstLine="0"/>
              <w:jc w:val="both"/>
              <w:rPr>
                <w:sz w:val="20"/>
                <w:szCs w:val="20"/>
              </w:rPr>
            </w:pPr>
            <w:r w:rsidDel="00000000" w:rsidR="00000000" w:rsidRPr="00000000">
              <w:rPr>
                <w:sz w:val="20"/>
                <w:szCs w:val="20"/>
                <w:rtl w:val="0"/>
              </w:rPr>
              <w:t xml:space="preserve">De más de 100 años.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ind w:left="80" w:firstLine="0"/>
              <w:jc w:val="both"/>
              <w:rPr>
                <w:color w:val="2f2f2f"/>
                <w:sz w:val="20"/>
                <w:szCs w:val="20"/>
              </w:rPr>
            </w:pPr>
            <w:r w:rsidDel="00000000" w:rsidR="00000000" w:rsidRPr="00000000">
              <w:rPr>
                <w:rtl w:val="0"/>
              </w:rPr>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40" w:before="40" w:lineRule="auto"/>
              <w:ind w:left="80" w:firstLine="0"/>
              <w:jc w:val="both"/>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40" w:before="40" w:lineRule="auto"/>
              <w:ind w:left="80" w:firstLine="0"/>
              <w:jc w:val="both"/>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3">
            <w:pPr>
              <w:spacing w:after="40" w:before="40" w:lineRule="auto"/>
              <w:ind w:left="80" w:firstLine="0"/>
              <w:jc w:val="both"/>
              <w:rPr>
                <w:b w:val="1"/>
                <w:sz w:val="20"/>
                <w:szCs w:val="20"/>
              </w:rPr>
            </w:pPr>
            <w:r w:rsidDel="00000000" w:rsidR="00000000" w:rsidRPr="00000000">
              <w:rPr>
                <w:b w:val="1"/>
                <w:sz w:val="20"/>
                <w:szCs w:val="20"/>
                <w:rtl w:val="0"/>
              </w:rPr>
              <w:t xml:space="preserve">9703.90.99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4">
            <w:pPr>
              <w:spacing w:after="40" w:before="40" w:lineRule="auto"/>
              <w:ind w:left="80" w:firstLine="0"/>
              <w:jc w:val="both"/>
              <w:rPr>
                <w:b w:val="1"/>
                <w:sz w:val="20"/>
                <w:szCs w:val="20"/>
              </w:rPr>
            </w:pPr>
            <w:r w:rsidDel="00000000" w:rsidR="00000000" w:rsidRPr="00000000">
              <w:rPr>
                <w:b w:val="1"/>
                <w:sz w:val="20"/>
                <w:szCs w:val="20"/>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6">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7">
            <w:pPr>
              <w:spacing w:after="40" w:before="40" w:lineRule="auto"/>
              <w:ind w:left="80" w:firstLine="0"/>
              <w:jc w:val="both"/>
              <w:rPr>
                <w:sz w:val="20"/>
                <w:szCs w:val="20"/>
              </w:rPr>
            </w:pPr>
            <w:r w:rsidDel="00000000" w:rsidR="00000000" w:rsidRPr="00000000">
              <w:rPr>
                <w:sz w:val="20"/>
                <w:szCs w:val="20"/>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80" w:firstLine="0"/>
              <w:jc w:val="both"/>
              <w:rPr>
                <w:color w:val="2f2f2f"/>
                <w:sz w:val="20"/>
                <w:szCs w:val="20"/>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1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C">
            <w:pPr>
              <w:spacing w:after="40" w:before="40" w:lineRule="auto"/>
              <w:ind w:left="80" w:firstLine="0"/>
              <w:jc w:val="both"/>
              <w:rPr>
                <w:b w:val="1"/>
                <w:sz w:val="20"/>
                <w:szCs w:val="20"/>
              </w:rPr>
            </w:pPr>
            <w:r w:rsidDel="00000000" w:rsidR="00000000" w:rsidRPr="00000000">
              <w:rPr>
                <w:b w:val="1"/>
                <w:sz w:val="20"/>
                <w:szCs w:val="20"/>
                <w:rtl w:val="0"/>
              </w:rPr>
              <w:t xml:space="preserve">9705.10.99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80" w:firstLine="0"/>
              <w:jc w:val="both"/>
              <w:rPr>
                <w:b w:val="1"/>
                <w:sz w:val="20"/>
                <w:szCs w:val="20"/>
              </w:rPr>
            </w:pPr>
            <w:r w:rsidDel="00000000" w:rsidR="00000000" w:rsidRPr="00000000">
              <w:rPr>
                <w:b w:val="1"/>
                <w:sz w:val="20"/>
                <w:szCs w:val="20"/>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E">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trPr>
          <w:cantSplit w:val="0"/>
          <w:trHeight w:val="1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F">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80" w:firstLine="0"/>
              <w:jc w:val="both"/>
              <w:rPr>
                <w:sz w:val="20"/>
                <w:szCs w:val="20"/>
              </w:rPr>
            </w:pPr>
            <w:r w:rsidDel="00000000" w:rsidR="00000000" w:rsidRPr="00000000">
              <w:rPr>
                <w:sz w:val="20"/>
                <w:szCs w:val="20"/>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80" w:firstLine="0"/>
              <w:jc w:val="both"/>
              <w:rPr>
                <w:color w:val="2f2f2f"/>
                <w:sz w:val="20"/>
                <w:szCs w:val="20"/>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2">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1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pacing w:after="40" w:before="40" w:lineRule="auto"/>
              <w:ind w:left="80" w:firstLine="0"/>
              <w:jc w:val="both"/>
              <w:rPr>
                <w:b w:val="1"/>
                <w:sz w:val="20"/>
                <w:szCs w:val="20"/>
              </w:rPr>
            </w:pPr>
            <w:r w:rsidDel="00000000" w:rsidR="00000000" w:rsidRPr="00000000">
              <w:rPr>
                <w:b w:val="1"/>
                <w:sz w:val="20"/>
                <w:szCs w:val="20"/>
                <w:rtl w:val="0"/>
              </w:rPr>
              <w:t xml:space="preserve">9705.21.99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80" w:firstLine="0"/>
              <w:jc w:val="both"/>
              <w:rPr>
                <w:b w:val="1"/>
                <w:sz w:val="20"/>
                <w:szCs w:val="20"/>
              </w:rPr>
            </w:pPr>
            <w:r w:rsidDel="00000000" w:rsidR="00000000" w:rsidRPr="00000000">
              <w:rPr>
                <w:b w:val="1"/>
                <w:sz w:val="20"/>
                <w:szCs w:val="20"/>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trPr>
          <w:cantSplit w:val="0"/>
          <w:trHeight w:val="1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8">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80" w:firstLine="0"/>
              <w:jc w:val="both"/>
              <w:rPr>
                <w:sz w:val="20"/>
                <w:szCs w:val="20"/>
              </w:rPr>
            </w:pPr>
            <w:r w:rsidDel="00000000" w:rsidR="00000000" w:rsidRPr="00000000">
              <w:rPr>
                <w:sz w:val="20"/>
                <w:szCs w:val="20"/>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80" w:firstLine="0"/>
              <w:jc w:val="both"/>
              <w:rPr>
                <w:color w:val="2f2f2f"/>
                <w:sz w:val="20"/>
                <w:szCs w:val="20"/>
              </w:rPr>
            </w:pPr>
            <w:r w:rsidDel="00000000" w:rsidR="00000000" w:rsidRPr="00000000">
              <w:rPr>
                <w:rtl w:val="0"/>
              </w:rPr>
            </w:r>
          </w:p>
        </w:tc>
      </w:tr>
    </w:tbl>
    <w:p w:rsidR="00000000" w:rsidDel="00000000" w:rsidP="00000000" w:rsidRDefault="00000000" w:rsidRPr="00000000" w14:paraId="0000008B">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8C">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3225"/>
        <w:gridCol w:w="3450"/>
        <w:tblGridChange w:id="0">
          <w:tblGrid>
            <w:gridCol w:w="2130"/>
            <w:gridCol w:w="3225"/>
            <w:gridCol w:w="3450"/>
          </w:tblGrid>
        </w:tblGridChange>
      </w:tblGrid>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pacing w:after="60" w:before="60" w:lineRule="auto"/>
              <w:ind w:left="80" w:firstLine="0"/>
              <w:jc w:val="both"/>
              <w:rPr>
                <w:b w:val="1"/>
                <w:sz w:val="20"/>
                <w:szCs w:val="20"/>
              </w:rPr>
            </w:pPr>
            <w:r w:rsidDel="00000000" w:rsidR="00000000" w:rsidRPr="00000000">
              <w:rPr>
                <w:b w:val="1"/>
                <w:sz w:val="20"/>
                <w:szCs w:val="20"/>
                <w:rtl w:val="0"/>
              </w:rPr>
              <w:t xml:space="preserve">9705.22.99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1">
            <w:pPr>
              <w:spacing w:after="60" w:before="60" w:lineRule="auto"/>
              <w:ind w:left="80" w:firstLine="0"/>
              <w:jc w:val="both"/>
              <w:rPr>
                <w:b w:val="1"/>
                <w:sz w:val="20"/>
                <w:szCs w:val="20"/>
              </w:rPr>
            </w:pPr>
            <w:r w:rsidDel="00000000" w:rsidR="00000000" w:rsidRPr="00000000">
              <w:rPr>
                <w:b w:val="1"/>
                <w:sz w:val="20"/>
                <w:szCs w:val="20"/>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2">
            <w:pPr>
              <w:spacing w:after="60" w:before="6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3">
            <w:pPr>
              <w:spacing w:after="60" w:before="6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4">
            <w:pPr>
              <w:spacing w:after="60" w:before="60" w:lineRule="auto"/>
              <w:ind w:left="80" w:firstLine="0"/>
              <w:jc w:val="both"/>
              <w:rPr>
                <w:sz w:val="20"/>
                <w:szCs w:val="20"/>
              </w:rPr>
            </w:pPr>
            <w:r w:rsidDel="00000000" w:rsidR="00000000" w:rsidRPr="00000000">
              <w:rPr>
                <w:sz w:val="20"/>
                <w:szCs w:val="20"/>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ind w:left="80" w:firstLine="0"/>
              <w:jc w:val="both"/>
              <w:rPr>
                <w:color w:val="2f2f2f"/>
                <w:sz w:val="20"/>
                <w:szCs w:val="20"/>
              </w:rPr>
            </w:pPr>
            <w:r w:rsidDel="00000000" w:rsidR="00000000" w:rsidRPr="00000000">
              <w:rPr>
                <w:rtl w:val="0"/>
              </w:rPr>
            </w:r>
          </w:p>
        </w:tc>
      </w:tr>
      <w:tr>
        <w:trPr>
          <w:cantSplit w:val="0"/>
          <w:trHeight w:val="5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6">
            <w:pPr>
              <w:spacing w:after="60" w:before="60" w:lineRule="auto"/>
              <w:ind w:left="80" w:firstLine="0"/>
              <w:jc w:val="both"/>
              <w:rPr>
                <w:sz w:val="20"/>
                <w:szCs w:val="20"/>
              </w:rPr>
            </w:pPr>
            <w:r w:rsidDel="00000000" w:rsidR="00000000" w:rsidRPr="00000000">
              <w:rPr>
                <w:sz w:val="20"/>
                <w:szCs w:val="20"/>
                <w:rtl w:val="0"/>
              </w:rPr>
              <w:t xml:space="preserve"> </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pacing w:after="60" w:before="60" w:lineRule="auto"/>
              <w:ind w:left="80" w:firstLine="0"/>
              <w:jc w:val="both"/>
              <w:rPr>
                <w:b w:val="1"/>
                <w:sz w:val="20"/>
                <w:szCs w:val="20"/>
              </w:rPr>
            </w:pPr>
            <w:r w:rsidDel="00000000" w:rsidR="00000000" w:rsidRPr="00000000">
              <w:rPr>
                <w:b w:val="1"/>
                <w:sz w:val="20"/>
                <w:szCs w:val="20"/>
                <w:rtl w:val="0"/>
              </w:rPr>
              <w:t xml:space="preserve">9705.29.99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A">
            <w:pPr>
              <w:spacing w:after="60" w:before="60" w:lineRule="auto"/>
              <w:ind w:left="80" w:firstLine="0"/>
              <w:jc w:val="both"/>
              <w:rPr>
                <w:b w:val="1"/>
                <w:sz w:val="20"/>
                <w:szCs w:val="20"/>
              </w:rPr>
            </w:pPr>
            <w:r w:rsidDel="00000000" w:rsidR="00000000" w:rsidRPr="00000000">
              <w:rPr>
                <w:b w:val="1"/>
                <w:sz w:val="20"/>
                <w:szCs w:val="20"/>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B">
            <w:pPr>
              <w:spacing w:after="60" w:before="6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C">
            <w:pPr>
              <w:spacing w:after="60" w:before="6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D">
            <w:pPr>
              <w:spacing w:after="60" w:before="60" w:lineRule="auto"/>
              <w:ind w:left="80" w:firstLine="0"/>
              <w:jc w:val="both"/>
              <w:rPr>
                <w:sz w:val="20"/>
                <w:szCs w:val="20"/>
              </w:rPr>
            </w:pPr>
            <w:r w:rsidDel="00000000" w:rsidR="00000000" w:rsidRPr="00000000">
              <w:rPr>
                <w:sz w:val="20"/>
                <w:szCs w:val="20"/>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80" w:firstLine="0"/>
              <w:jc w:val="both"/>
              <w:rPr>
                <w:color w:val="2f2f2f"/>
                <w:sz w:val="20"/>
                <w:szCs w:val="20"/>
              </w:rPr>
            </w:pPr>
            <w:r w:rsidDel="00000000" w:rsidR="00000000" w:rsidRPr="00000000">
              <w:rPr>
                <w:rtl w:val="0"/>
              </w:rPr>
            </w:r>
          </w:p>
        </w:tc>
      </w:tr>
      <w:tr>
        <w:trPr>
          <w:cantSplit w:val="0"/>
          <w:trHeight w:val="5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F">
            <w:pPr>
              <w:spacing w:after="60" w:before="60" w:lineRule="auto"/>
              <w:ind w:left="80" w:firstLine="0"/>
              <w:jc w:val="both"/>
              <w:rPr>
                <w:sz w:val="20"/>
                <w:szCs w:val="20"/>
              </w:rPr>
            </w:pPr>
            <w:r w:rsidDel="00000000" w:rsidR="00000000" w:rsidRPr="00000000">
              <w:rPr>
                <w:sz w:val="20"/>
                <w:szCs w:val="20"/>
                <w:rtl w:val="0"/>
              </w:rPr>
              <w:t xml:space="preserve"> </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2">
            <w:pPr>
              <w:spacing w:after="60" w:before="60" w:lineRule="auto"/>
              <w:ind w:left="80" w:firstLine="0"/>
              <w:jc w:val="both"/>
              <w:rPr>
                <w:b w:val="1"/>
                <w:sz w:val="20"/>
                <w:szCs w:val="20"/>
              </w:rPr>
            </w:pPr>
            <w:r w:rsidDel="00000000" w:rsidR="00000000" w:rsidRPr="00000000">
              <w:rPr>
                <w:b w:val="1"/>
                <w:sz w:val="20"/>
                <w:szCs w:val="20"/>
                <w:rtl w:val="0"/>
              </w:rPr>
              <w:t xml:space="preserve">9705.31.99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60" w:before="60" w:lineRule="auto"/>
              <w:ind w:left="80" w:firstLine="0"/>
              <w:jc w:val="both"/>
              <w:rPr>
                <w:b w:val="1"/>
                <w:sz w:val="20"/>
                <w:szCs w:val="20"/>
              </w:rPr>
            </w:pPr>
            <w:r w:rsidDel="00000000" w:rsidR="00000000" w:rsidRPr="00000000">
              <w:rPr>
                <w:b w:val="1"/>
                <w:sz w:val="20"/>
                <w:szCs w:val="20"/>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4">
            <w:pPr>
              <w:spacing w:after="60" w:before="6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pacing w:after="60" w:before="6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6">
            <w:pPr>
              <w:spacing w:after="60" w:before="60" w:lineRule="auto"/>
              <w:ind w:left="80" w:firstLine="0"/>
              <w:jc w:val="both"/>
              <w:rPr>
                <w:sz w:val="20"/>
                <w:szCs w:val="20"/>
              </w:rPr>
            </w:pPr>
            <w:r w:rsidDel="00000000" w:rsidR="00000000" w:rsidRPr="00000000">
              <w:rPr>
                <w:sz w:val="20"/>
                <w:szCs w:val="20"/>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80" w:firstLine="0"/>
              <w:jc w:val="both"/>
              <w:rPr>
                <w:color w:val="2f2f2f"/>
                <w:sz w:val="20"/>
                <w:szCs w:val="20"/>
              </w:rPr>
            </w:pPr>
            <w:r w:rsidDel="00000000" w:rsidR="00000000" w:rsidRPr="00000000">
              <w:rPr>
                <w:rtl w:val="0"/>
              </w:rPr>
            </w:r>
          </w:p>
        </w:tc>
      </w:tr>
      <w:tr>
        <w:trPr>
          <w:cantSplit w:val="0"/>
          <w:trHeight w:val="5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8">
            <w:pPr>
              <w:spacing w:after="60" w:before="60" w:lineRule="auto"/>
              <w:ind w:left="80" w:firstLine="0"/>
              <w:jc w:val="both"/>
              <w:rPr>
                <w:sz w:val="20"/>
                <w:szCs w:val="20"/>
              </w:rPr>
            </w:pPr>
            <w:r w:rsidDel="00000000" w:rsidR="00000000" w:rsidRPr="00000000">
              <w:rPr>
                <w:sz w:val="20"/>
                <w:szCs w:val="20"/>
                <w:rtl w:val="0"/>
              </w:rPr>
              <w:t xml:space="preserve"> </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B">
            <w:pPr>
              <w:spacing w:after="60" w:before="60" w:lineRule="auto"/>
              <w:ind w:left="80" w:firstLine="0"/>
              <w:jc w:val="both"/>
              <w:rPr>
                <w:b w:val="1"/>
                <w:sz w:val="20"/>
                <w:szCs w:val="20"/>
              </w:rPr>
            </w:pPr>
            <w:r w:rsidDel="00000000" w:rsidR="00000000" w:rsidRPr="00000000">
              <w:rPr>
                <w:b w:val="1"/>
                <w:sz w:val="20"/>
                <w:szCs w:val="20"/>
                <w:rtl w:val="0"/>
              </w:rPr>
              <w:t xml:space="preserve">9705.39.99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60" w:before="60" w:lineRule="auto"/>
              <w:ind w:left="80" w:firstLine="0"/>
              <w:jc w:val="both"/>
              <w:rPr>
                <w:b w:val="1"/>
                <w:sz w:val="20"/>
                <w:szCs w:val="20"/>
              </w:rPr>
            </w:pPr>
            <w:r w:rsidDel="00000000" w:rsidR="00000000" w:rsidRPr="00000000">
              <w:rPr>
                <w:b w:val="1"/>
                <w:sz w:val="20"/>
                <w:szCs w:val="20"/>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D">
            <w:pPr>
              <w:spacing w:after="60" w:before="6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E">
            <w:pPr>
              <w:spacing w:after="60" w:before="6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60" w:before="60" w:lineRule="auto"/>
              <w:ind w:left="80" w:firstLine="0"/>
              <w:jc w:val="both"/>
              <w:rPr>
                <w:sz w:val="20"/>
                <w:szCs w:val="20"/>
              </w:rPr>
            </w:pPr>
            <w:r w:rsidDel="00000000" w:rsidR="00000000" w:rsidRPr="00000000">
              <w:rPr>
                <w:sz w:val="20"/>
                <w:szCs w:val="20"/>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80" w:firstLine="0"/>
              <w:jc w:val="both"/>
              <w:rPr>
                <w:color w:val="2f2f2f"/>
                <w:sz w:val="20"/>
                <w:szCs w:val="20"/>
              </w:rPr>
            </w:pPr>
            <w:r w:rsidDel="00000000" w:rsidR="00000000" w:rsidRPr="00000000">
              <w:rPr>
                <w:rtl w:val="0"/>
              </w:rPr>
            </w:r>
          </w:p>
        </w:tc>
      </w:tr>
    </w:tbl>
    <w:p w:rsidR="00000000" w:rsidDel="00000000" w:rsidP="00000000" w:rsidRDefault="00000000" w:rsidRPr="00000000" w14:paraId="000000B1">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B2">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3240"/>
        <w:gridCol w:w="3435"/>
        <w:tblGridChange w:id="0">
          <w:tblGrid>
            <w:gridCol w:w="2130"/>
            <w:gridCol w:w="3240"/>
            <w:gridCol w:w="3435"/>
          </w:tblGrid>
        </w:tblGridChange>
      </w:tblGrid>
      <w:tr>
        <w:trPr>
          <w:cantSplit w:val="0"/>
          <w:trHeight w:val="5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3">
            <w:pPr>
              <w:spacing w:after="60" w:before="6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6">
            <w:pPr>
              <w:spacing w:after="40" w:before="40" w:lineRule="auto"/>
              <w:ind w:left="80" w:firstLine="0"/>
              <w:jc w:val="both"/>
              <w:rPr>
                <w:b w:val="1"/>
                <w:sz w:val="20"/>
                <w:szCs w:val="20"/>
              </w:rPr>
            </w:pPr>
            <w:r w:rsidDel="00000000" w:rsidR="00000000" w:rsidRPr="00000000">
              <w:rPr>
                <w:b w:val="1"/>
                <w:sz w:val="20"/>
                <w:szCs w:val="20"/>
                <w:rtl w:val="0"/>
              </w:rPr>
              <w:t xml:space="preserve">9706.10.01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7">
            <w:pPr>
              <w:spacing w:after="40" w:before="40" w:lineRule="auto"/>
              <w:ind w:left="80" w:firstLine="0"/>
              <w:jc w:val="both"/>
              <w:rPr>
                <w:b w:val="1"/>
                <w:sz w:val="20"/>
                <w:szCs w:val="20"/>
              </w:rPr>
            </w:pPr>
            <w:r w:rsidDel="00000000" w:rsidR="00000000" w:rsidRPr="00000000">
              <w:rPr>
                <w:b w:val="1"/>
                <w:sz w:val="20"/>
                <w:szCs w:val="20"/>
                <w:rtl w:val="0"/>
              </w:rPr>
              <w:t xml:space="preserve">De más de 250 años.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8">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9">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80" w:firstLine="0"/>
              <w:jc w:val="both"/>
              <w:rPr>
                <w:sz w:val="20"/>
                <w:szCs w:val="20"/>
              </w:rPr>
            </w:pPr>
            <w:r w:rsidDel="00000000" w:rsidR="00000000" w:rsidRPr="00000000">
              <w:rPr>
                <w:sz w:val="20"/>
                <w:szCs w:val="20"/>
                <w:rtl w:val="0"/>
              </w:rPr>
              <w:t xml:space="preserve">De más de 250 años.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80" w:firstLine="0"/>
              <w:jc w:val="both"/>
              <w:rPr>
                <w:color w:val="2f2f2f"/>
                <w:sz w:val="20"/>
                <w:szCs w:val="20"/>
              </w:rPr>
            </w:pPr>
            <w:r w:rsidDel="00000000" w:rsidR="00000000" w:rsidRPr="00000000">
              <w:rPr>
                <w:rtl w:val="0"/>
              </w:rPr>
            </w:r>
          </w:p>
        </w:tc>
      </w:tr>
      <w:tr>
        <w:trPr>
          <w:cantSplit w:val="0"/>
          <w:trHeight w:val="5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C">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F">
            <w:pPr>
              <w:spacing w:after="40" w:before="40" w:lineRule="auto"/>
              <w:ind w:left="80" w:firstLine="0"/>
              <w:jc w:val="both"/>
              <w:rPr>
                <w:b w:val="1"/>
                <w:sz w:val="20"/>
                <w:szCs w:val="20"/>
              </w:rPr>
            </w:pPr>
            <w:r w:rsidDel="00000000" w:rsidR="00000000" w:rsidRPr="00000000">
              <w:rPr>
                <w:b w:val="1"/>
                <w:sz w:val="20"/>
                <w:szCs w:val="20"/>
                <w:rtl w:val="0"/>
              </w:rPr>
              <w:t xml:space="preserve">9706.90.99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0">
            <w:pPr>
              <w:spacing w:after="40" w:before="40" w:lineRule="auto"/>
              <w:ind w:left="80" w:firstLine="0"/>
              <w:jc w:val="both"/>
              <w:rPr>
                <w:b w:val="1"/>
                <w:sz w:val="20"/>
                <w:szCs w:val="20"/>
              </w:rPr>
            </w:pPr>
            <w:r w:rsidDel="00000000" w:rsidR="00000000" w:rsidRPr="00000000">
              <w:rPr>
                <w:b w:val="1"/>
                <w:sz w:val="20"/>
                <w:szCs w:val="20"/>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1">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Del siglo XVI al XIX considerados monumentos históricos, de conformidad con los artículos 35 y 36 de la Ley Federal sobre Monumentos y Zonas Arqueológicos, Artísticos e Históricos, y su Reglamento.</w:t>
            </w:r>
          </w:p>
        </w:tc>
      </w:tr>
      <w:tr>
        <w:trPr>
          <w:cantSplit w:val="0"/>
          <w:trHeight w:val="10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2">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3">
            <w:pPr>
              <w:spacing w:after="40" w:before="40" w:lineRule="auto"/>
              <w:ind w:left="80" w:firstLine="0"/>
              <w:jc w:val="both"/>
              <w:rPr>
                <w:sz w:val="20"/>
                <w:szCs w:val="20"/>
              </w:rPr>
            </w:pPr>
            <w:r w:rsidDel="00000000" w:rsidR="00000000" w:rsidRPr="00000000">
              <w:rPr>
                <w:sz w:val="20"/>
                <w:szCs w:val="20"/>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ind w:left="80" w:firstLine="0"/>
              <w:jc w:val="both"/>
              <w:rPr>
                <w:color w:val="2f2f2f"/>
                <w:sz w:val="20"/>
                <w:szCs w:val="20"/>
              </w:rPr>
            </w:pPr>
            <w:r w:rsidDel="00000000" w:rsidR="00000000" w:rsidRPr="00000000">
              <w:rPr>
                <w:rtl w:val="0"/>
              </w:rPr>
            </w:r>
          </w:p>
        </w:tc>
      </w:tr>
    </w:tbl>
    <w:p w:rsidR="00000000" w:rsidDel="00000000" w:rsidP="00000000" w:rsidRDefault="00000000" w:rsidRPr="00000000" w14:paraId="000000C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C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b) </w:t>
      </w:r>
      <w:r w:rsidDel="00000000" w:rsidR="00000000" w:rsidRPr="00000000">
        <w:rPr>
          <w:color w:val="2f2f2f"/>
          <w:sz w:val="20"/>
          <w:szCs w:val="20"/>
          <w:rtl w:val="0"/>
        </w:rPr>
        <w:t xml:space="preserve">Bienes declarados monumentos artísticos o históricos, sujetos a autorización previa de exportación por parte del Instituto Nacional de Bellas Artes y Literatura comprendidos en las fracciones arancelarias de la Tarifa, que a continuación se indican.</w:t>
      </w:r>
    </w:p>
    <w:p w:rsidR="00000000" w:rsidDel="00000000" w:rsidP="00000000" w:rsidRDefault="00000000" w:rsidRPr="00000000" w14:paraId="000000C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formato que deberá ser utilizado es:</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6705"/>
        <w:tblGridChange w:id="0">
          <w:tblGrid>
            <w:gridCol w:w="2100"/>
            <w:gridCol w:w="6705"/>
          </w:tblGrid>
        </w:tblGridChange>
      </w:tblGrid>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60" w:before="60" w:lineRule="auto"/>
              <w:ind w:left="80" w:firstLine="0"/>
              <w:jc w:val="center"/>
              <w:rPr>
                <w:b w:val="1"/>
                <w:sz w:val="20"/>
                <w:szCs w:val="20"/>
              </w:rPr>
            </w:pPr>
            <w:r w:rsidDel="00000000" w:rsidR="00000000" w:rsidRPr="00000000">
              <w:rPr>
                <w:b w:val="1"/>
                <w:sz w:val="20"/>
                <w:szCs w:val="20"/>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60" w:before="60" w:lineRule="auto"/>
              <w:ind w:left="80" w:firstLine="0"/>
              <w:jc w:val="center"/>
              <w:rPr>
                <w:b w:val="1"/>
                <w:sz w:val="20"/>
                <w:szCs w:val="20"/>
              </w:rPr>
            </w:pPr>
            <w:r w:rsidDel="00000000" w:rsidR="00000000" w:rsidRPr="00000000">
              <w:rPr>
                <w:b w:val="1"/>
                <w:sz w:val="20"/>
                <w:szCs w:val="20"/>
                <w:rtl w:val="0"/>
              </w:rPr>
              <w:t xml:space="preserve">Nombre</w:t>
            </w:r>
          </w:p>
        </w:tc>
      </w:tr>
      <w:tr>
        <w:trPr>
          <w:cantSplit w:val="0"/>
          <w:trHeight w:val="11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60" w:before="60" w:lineRule="auto"/>
              <w:ind w:left="80" w:firstLine="0"/>
              <w:jc w:val="center"/>
              <w:rPr>
                <w:sz w:val="20"/>
                <w:szCs w:val="20"/>
              </w:rPr>
            </w:pPr>
            <w:r w:rsidDel="00000000" w:rsidR="00000000" w:rsidRPr="00000000">
              <w:rPr>
                <w:sz w:val="20"/>
                <w:szCs w:val="20"/>
                <w:rtl w:val="0"/>
              </w:rPr>
              <w:t xml:space="preserve">INBA-03-003-A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60" w:before="60" w:lineRule="auto"/>
              <w:ind w:left="80" w:firstLine="0"/>
              <w:jc w:val="both"/>
              <w:rPr>
                <w:sz w:val="20"/>
                <w:szCs w:val="20"/>
              </w:rPr>
            </w:pPr>
            <w:r w:rsidDel="00000000" w:rsidR="00000000" w:rsidRPr="00000000">
              <w:rPr>
                <w:sz w:val="20"/>
                <w:szCs w:val="20"/>
                <w:rtl w:val="0"/>
              </w:rPr>
              <w:t xml:space="preserve">Permiso de exportación temporal de obra plástica declarada monumento artístico o histórico competencia del Instituto Nacional de Bellas Artes y Literatura para personas físicas</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60" w:before="60" w:lineRule="auto"/>
              <w:ind w:left="80" w:firstLine="0"/>
              <w:jc w:val="center"/>
              <w:rPr>
                <w:sz w:val="20"/>
                <w:szCs w:val="20"/>
              </w:rPr>
            </w:pPr>
            <w:r w:rsidDel="00000000" w:rsidR="00000000" w:rsidRPr="00000000">
              <w:rPr>
                <w:sz w:val="20"/>
                <w:szCs w:val="20"/>
                <w:rtl w:val="0"/>
              </w:rPr>
              <w:t xml:space="preserve">INBA-03-003-B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60" w:before="60" w:lineRule="auto"/>
              <w:ind w:left="80" w:firstLine="0"/>
              <w:jc w:val="both"/>
              <w:rPr>
                <w:sz w:val="20"/>
                <w:szCs w:val="20"/>
              </w:rPr>
            </w:pPr>
            <w:r w:rsidDel="00000000" w:rsidR="00000000" w:rsidRPr="00000000">
              <w:rPr>
                <w:sz w:val="20"/>
                <w:szCs w:val="20"/>
                <w:rtl w:val="0"/>
              </w:rPr>
              <w:t xml:space="preserve">Permiso de exportación temporal de obra plástica declarada monumento artístico o histórico competencia del Instituto Nacional de Bellas Artes y Literatura para personas morales</w:t>
            </w:r>
          </w:p>
        </w:tc>
      </w:tr>
    </w:tbl>
    <w:p w:rsidR="00000000" w:rsidDel="00000000" w:rsidP="00000000" w:rsidRDefault="00000000" w:rsidRPr="00000000" w14:paraId="000000C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CF">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3135"/>
        <w:gridCol w:w="3405"/>
        <w:tblGridChange w:id="0">
          <w:tblGrid>
            <w:gridCol w:w="2265"/>
            <w:gridCol w:w="3135"/>
            <w:gridCol w:w="3405"/>
          </w:tblGrid>
        </w:tblGridChange>
      </w:tblGrid>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0">
            <w:pPr>
              <w:spacing w:after="60" w:before="60" w:lineRule="auto"/>
              <w:ind w:left="80" w:firstLine="0"/>
              <w:jc w:val="center"/>
              <w:rPr>
                <w:b w:val="1"/>
                <w:sz w:val="20"/>
                <w:szCs w:val="20"/>
              </w:rPr>
            </w:pPr>
            <w:r w:rsidDel="00000000" w:rsidR="00000000" w:rsidRPr="00000000">
              <w:rPr>
                <w:b w:val="1"/>
                <w:sz w:val="20"/>
                <w:szCs w:val="20"/>
                <w:rtl w:val="0"/>
              </w:rPr>
              <w:t xml:space="preserve">Fracción Arancelaria/</w:t>
            </w:r>
          </w:p>
          <w:p w:rsidR="00000000" w:rsidDel="00000000" w:rsidP="00000000" w:rsidRDefault="00000000" w:rsidRPr="00000000" w14:paraId="000000D1">
            <w:pPr>
              <w:spacing w:after="60" w:before="60" w:lineRule="auto"/>
              <w:ind w:left="80" w:firstLine="0"/>
              <w:jc w:val="center"/>
              <w:rPr>
                <w:b w:val="1"/>
                <w:sz w:val="20"/>
                <w:szCs w:val="20"/>
              </w:rPr>
            </w:pPr>
            <w:r w:rsidDel="00000000" w:rsidR="00000000" w:rsidRPr="00000000">
              <w:rPr>
                <w:b w:val="1"/>
                <w:sz w:val="20"/>
                <w:szCs w:val="20"/>
                <w:rtl w:val="0"/>
              </w:rPr>
              <w:t xml:space="preserve">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2">
            <w:pPr>
              <w:spacing w:after="60" w:before="60" w:lineRule="auto"/>
              <w:ind w:left="80" w:firstLine="0"/>
              <w:jc w:val="center"/>
              <w:rPr>
                <w:b w:val="1"/>
                <w:sz w:val="20"/>
                <w:szCs w:val="20"/>
              </w:rPr>
            </w:pPr>
            <w:r w:rsidDel="00000000" w:rsidR="00000000" w:rsidRPr="00000000">
              <w:rPr>
                <w:b w:val="1"/>
                <w:sz w:val="20"/>
                <w:szCs w:val="20"/>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3">
            <w:pPr>
              <w:spacing w:after="60" w:before="60" w:lineRule="auto"/>
              <w:ind w:left="80" w:firstLine="0"/>
              <w:jc w:val="center"/>
              <w:rPr>
                <w:b w:val="1"/>
                <w:sz w:val="20"/>
                <w:szCs w:val="20"/>
              </w:rPr>
            </w:pPr>
            <w:r w:rsidDel="00000000" w:rsidR="00000000" w:rsidRPr="00000000">
              <w:rPr>
                <w:b w:val="1"/>
                <w:sz w:val="20"/>
                <w:szCs w:val="20"/>
                <w:rtl w:val="0"/>
              </w:rPr>
              <w:t xml:space="preserve">Acotación</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4">
            <w:pPr>
              <w:spacing w:after="60" w:before="60" w:lineRule="auto"/>
              <w:ind w:left="80" w:firstLine="0"/>
              <w:jc w:val="both"/>
              <w:rPr>
                <w:b w:val="1"/>
                <w:sz w:val="20"/>
                <w:szCs w:val="20"/>
              </w:rPr>
            </w:pPr>
            <w:r w:rsidDel="00000000" w:rsidR="00000000" w:rsidRPr="00000000">
              <w:rPr>
                <w:b w:val="1"/>
                <w:sz w:val="20"/>
                <w:szCs w:val="20"/>
                <w:rtl w:val="0"/>
              </w:rPr>
              <w:t xml:space="preserve">9701.21.01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5">
            <w:pPr>
              <w:spacing w:after="60" w:before="60" w:lineRule="auto"/>
              <w:ind w:left="80" w:firstLine="0"/>
              <w:jc w:val="both"/>
              <w:rPr>
                <w:b w:val="1"/>
                <w:sz w:val="20"/>
                <w:szCs w:val="20"/>
              </w:rPr>
            </w:pPr>
            <w:r w:rsidDel="00000000" w:rsidR="00000000" w:rsidRPr="00000000">
              <w:rPr>
                <w:b w:val="1"/>
                <w:sz w:val="20"/>
                <w:szCs w:val="20"/>
                <w:rtl w:val="0"/>
              </w:rPr>
              <w:t xml:space="preserve">Pinturas y dibujos.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6">
            <w:pPr>
              <w:spacing w:after="60" w:before="6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Las obras declaradas Monumento Artístico o Histórico, en términos de la Ley Federal sobre Monumentos y Zonas Arqueológicos, Artísticos e Históricos, realizadas por José María Velasco, José Clemente Orozco, Diego Rivera, Gerardo Murillo Coronado (Dr. Atl), David Alfaro Siqueiros, Frida Kahlo Calderón, Saturnino Herrán, Remedios Varo Uranga (38 obras plásticas) o María Izquierdo.</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7">
            <w:pPr>
              <w:spacing w:after="60" w:before="6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8">
            <w:pPr>
              <w:spacing w:after="60" w:before="60" w:lineRule="auto"/>
              <w:ind w:left="80" w:firstLine="0"/>
              <w:jc w:val="both"/>
              <w:rPr>
                <w:sz w:val="20"/>
                <w:szCs w:val="20"/>
              </w:rPr>
            </w:pPr>
            <w:r w:rsidDel="00000000" w:rsidR="00000000" w:rsidRPr="00000000">
              <w:rPr>
                <w:sz w:val="20"/>
                <w:szCs w:val="20"/>
                <w:rtl w:val="0"/>
              </w:rPr>
              <w:t xml:space="preserve">Pinturas y dibujos.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ind w:left="80" w:firstLine="0"/>
              <w:jc w:val="both"/>
              <w:rPr>
                <w:color w:val="2f2f2f"/>
                <w:sz w:val="20"/>
                <w:szCs w:val="20"/>
              </w:rPr>
            </w:pPr>
            <w:r w:rsidDel="00000000" w:rsidR="00000000" w:rsidRPr="00000000">
              <w:rPr>
                <w:rtl w:val="0"/>
              </w:rPr>
            </w:r>
          </w:p>
        </w:tc>
      </w:tr>
      <w:tr>
        <w:trPr>
          <w:cantSplit w:val="0"/>
          <w:trHeight w:val="59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pacing w:after="60" w:before="60" w:lineRule="auto"/>
              <w:ind w:left="80" w:firstLine="0"/>
              <w:jc w:val="both"/>
              <w:rPr>
                <w:sz w:val="20"/>
                <w:szCs w:val="20"/>
              </w:rPr>
            </w:pPr>
            <w:r w:rsidDel="00000000" w:rsidR="00000000" w:rsidRPr="00000000">
              <w:rPr>
                <w:sz w:val="20"/>
                <w:szCs w:val="20"/>
                <w:rtl w:val="0"/>
              </w:rPr>
              <w:t xml:space="preserve"> </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pacing w:after="60" w:before="60" w:lineRule="auto"/>
              <w:ind w:left="80" w:firstLine="0"/>
              <w:jc w:val="both"/>
              <w:rPr>
                <w:b w:val="1"/>
                <w:sz w:val="20"/>
                <w:szCs w:val="20"/>
              </w:rPr>
            </w:pPr>
            <w:r w:rsidDel="00000000" w:rsidR="00000000" w:rsidRPr="00000000">
              <w:rPr>
                <w:b w:val="1"/>
                <w:sz w:val="20"/>
                <w:szCs w:val="20"/>
                <w:rtl w:val="0"/>
              </w:rPr>
              <w:t xml:space="preserve">9701.22.01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E">
            <w:pPr>
              <w:spacing w:after="60" w:before="60" w:lineRule="auto"/>
              <w:ind w:left="80" w:firstLine="0"/>
              <w:jc w:val="both"/>
              <w:rPr>
                <w:b w:val="1"/>
                <w:sz w:val="20"/>
                <w:szCs w:val="20"/>
              </w:rPr>
            </w:pPr>
            <w:r w:rsidDel="00000000" w:rsidR="00000000" w:rsidRPr="00000000">
              <w:rPr>
                <w:b w:val="1"/>
                <w:sz w:val="20"/>
                <w:szCs w:val="20"/>
                <w:rtl w:val="0"/>
              </w:rPr>
              <w:t xml:space="preserve">Mosaicos.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pacing w:after="60" w:before="6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Las obras declaradas Monumento Artístico o Histórico, en términos de la Ley Federal sobre Monumentos y Zonas Arqueológicos, Artísticos e Históricos, realizadas por José María Velasco, José Clemente Orozco, Diego Rivera, Gerardo Murillo Coronado (Dr. Atl), David Alfaro Siqueiros, Frida Kahlo Calderón, Saturnino Herrán, Remedios Varo Uranga (38 obras plásticas) o María Izquierdo.</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0">
            <w:pPr>
              <w:spacing w:after="60" w:before="6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1">
            <w:pPr>
              <w:spacing w:after="60" w:before="60" w:lineRule="auto"/>
              <w:ind w:left="80" w:firstLine="0"/>
              <w:jc w:val="both"/>
              <w:rPr>
                <w:sz w:val="20"/>
                <w:szCs w:val="20"/>
              </w:rPr>
            </w:pPr>
            <w:r w:rsidDel="00000000" w:rsidR="00000000" w:rsidRPr="00000000">
              <w:rPr>
                <w:sz w:val="20"/>
                <w:szCs w:val="20"/>
                <w:rtl w:val="0"/>
              </w:rPr>
              <w:t xml:space="preserve">Mosaicos.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ind w:left="80" w:firstLine="0"/>
              <w:jc w:val="both"/>
              <w:rPr>
                <w:color w:val="2f2f2f"/>
                <w:sz w:val="20"/>
                <w:szCs w:val="20"/>
              </w:rPr>
            </w:pPr>
            <w:r w:rsidDel="00000000" w:rsidR="00000000" w:rsidRPr="00000000">
              <w:rPr>
                <w:rtl w:val="0"/>
              </w:rPr>
            </w:r>
          </w:p>
        </w:tc>
      </w:tr>
      <w:tr>
        <w:trPr>
          <w:cantSplit w:val="0"/>
          <w:trHeight w:val="5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pacing w:after="60" w:before="60" w:lineRule="auto"/>
              <w:ind w:left="80" w:firstLine="0"/>
              <w:jc w:val="both"/>
              <w:rPr>
                <w:sz w:val="20"/>
                <w:szCs w:val="20"/>
              </w:rPr>
            </w:pPr>
            <w:r w:rsidDel="00000000" w:rsidR="00000000" w:rsidRPr="00000000">
              <w:rPr>
                <w:sz w:val="20"/>
                <w:szCs w:val="20"/>
                <w:rtl w:val="0"/>
              </w:rPr>
              <w:t xml:space="preserve"> </w:t>
            </w:r>
          </w:p>
        </w:tc>
      </w:tr>
      <w:tr>
        <w:trPr>
          <w:cantSplit w:val="0"/>
          <w:trHeight w:val="15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pacing w:after="60" w:before="60" w:lineRule="auto"/>
              <w:ind w:left="80" w:firstLine="0"/>
              <w:jc w:val="both"/>
              <w:rPr>
                <w:b w:val="1"/>
                <w:sz w:val="20"/>
                <w:szCs w:val="20"/>
              </w:rPr>
            </w:pPr>
            <w:r w:rsidDel="00000000" w:rsidR="00000000" w:rsidRPr="00000000">
              <w:rPr>
                <w:b w:val="1"/>
                <w:sz w:val="20"/>
                <w:szCs w:val="20"/>
                <w:rtl w:val="0"/>
              </w:rPr>
              <w:t xml:space="preserve">9701.29.99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7">
            <w:pPr>
              <w:spacing w:after="60" w:before="60" w:lineRule="auto"/>
              <w:ind w:left="80" w:firstLine="0"/>
              <w:jc w:val="both"/>
              <w:rPr>
                <w:b w:val="1"/>
                <w:sz w:val="20"/>
                <w:szCs w:val="20"/>
              </w:rPr>
            </w:pPr>
            <w:r w:rsidDel="00000000" w:rsidR="00000000" w:rsidRPr="00000000">
              <w:rPr>
                <w:b w:val="1"/>
                <w:sz w:val="20"/>
                <w:szCs w:val="20"/>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pacing w:after="60" w:before="6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Las obras declaradas Monumento Artístico o Histórico, en términos de la Ley Federal sobre Monumentos y Zonas Arqueológicos, Artísticos e Históricos, realizadas por José María Velasco, José Clemente Orozco, Diego Rivera, Gerardo Murillo Coronado (Dr. Atl), David Alfaro Siqueiros, Frida Kahlo Calderón, Saturnino Herrán, Remedios Varo Uranga (38 obras plásticas) o María Izquierdo.</w:t>
            </w:r>
          </w:p>
        </w:tc>
      </w:tr>
      <w:tr>
        <w:trPr>
          <w:cantSplit w:val="0"/>
          <w:trHeight w:val="15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60" w:before="6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pacing w:after="60" w:before="60" w:lineRule="auto"/>
              <w:ind w:left="80" w:firstLine="0"/>
              <w:jc w:val="both"/>
              <w:rPr>
                <w:sz w:val="20"/>
                <w:szCs w:val="20"/>
              </w:rPr>
            </w:pPr>
            <w:r w:rsidDel="00000000" w:rsidR="00000000" w:rsidRPr="00000000">
              <w:rPr>
                <w:sz w:val="20"/>
                <w:szCs w:val="20"/>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ind w:left="80" w:firstLine="0"/>
              <w:jc w:val="both"/>
              <w:rPr>
                <w:color w:val="2f2f2f"/>
                <w:sz w:val="20"/>
                <w:szCs w:val="20"/>
              </w:rPr>
            </w:pPr>
            <w:r w:rsidDel="00000000" w:rsidR="00000000" w:rsidRPr="00000000">
              <w:rPr>
                <w:rtl w:val="0"/>
              </w:rPr>
            </w:r>
          </w:p>
        </w:tc>
      </w:tr>
    </w:tbl>
    <w:p w:rsidR="00000000" w:rsidDel="00000000" w:rsidP="00000000" w:rsidRDefault="00000000" w:rsidRPr="00000000" w14:paraId="000000EC">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ED">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3165"/>
        <w:gridCol w:w="3435"/>
        <w:tblGridChange w:id="0">
          <w:tblGrid>
            <w:gridCol w:w="2205"/>
            <w:gridCol w:w="3165"/>
            <w:gridCol w:w="3435"/>
          </w:tblGrid>
        </w:tblGridChange>
      </w:tblGrid>
      <w:tr>
        <w:trPr>
          <w:cantSplit w:val="0"/>
          <w:trHeight w:val="5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E">
            <w:pPr>
              <w:spacing w:after="60" w:before="60" w:lineRule="auto"/>
              <w:ind w:left="80" w:firstLine="0"/>
              <w:jc w:val="both"/>
              <w:rPr>
                <w:sz w:val="20"/>
                <w:szCs w:val="20"/>
              </w:rPr>
            </w:pPr>
            <w:r w:rsidDel="00000000" w:rsidR="00000000" w:rsidRPr="00000000">
              <w:rPr>
                <w:sz w:val="20"/>
                <w:szCs w:val="20"/>
                <w:rtl w:val="0"/>
              </w:rPr>
              <w:t xml:space="preserve"> </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pacing w:after="60" w:before="60" w:lineRule="auto"/>
              <w:ind w:left="80" w:firstLine="0"/>
              <w:jc w:val="both"/>
              <w:rPr>
                <w:b w:val="1"/>
                <w:sz w:val="20"/>
                <w:szCs w:val="20"/>
              </w:rPr>
            </w:pPr>
            <w:r w:rsidDel="00000000" w:rsidR="00000000" w:rsidRPr="00000000">
              <w:rPr>
                <w:b w:val="1"/>
                <w:sz w:val="20"/>
                <w:szCs w:val="20"/>
                <w:rtl w:val="0"/>
              </w:rPr>
              <w:t xml:space="preserve">9701.91.01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60" w:before="60" w:lineRule="auto"/>
              <w:ind w:left="80" w:firstLine="0"/>
              <w:jc w:val="both"/>
              <w:rPr>
                <w:b w:val="1"/>
                <w:sz w:val="20"/>
                <w:szCs w:val="20"/>
              </w:rPr>
            </w:pPr>
            <w:r w:rsidDel="00000000" w:rsidR="00000000" w:rsidRPr="00000000">
              <w:rPr>
                <w:b w:val="1"/>
                <w:sz w:val="20"/>
                <w:szCs w:val="20"/>
                <w:rtl w:val="0"/>
              </w:rPr>
              <w:t xml:space="preserve">Pinturas y dibujos.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60" w:before="6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Las obras declaradas Monumento Artístico o Histórico, en términos de la Ley Federal sobre Monumentos y Zonas Arqueológicos, Artísticos e Históricos, realizadas por José María Velasco, José Clemente Orozco, Diego Rivera, Gerardo Murillo Coronado (Dr. Atl), David Alfaro Siqueiros, Frida Kahlo Calderón, Saturnino Herrán, Remedios Varo Uranga (38 obras plásticas) o María Izquierdo.</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4">
            <w:pPr>
              <w:spacing w:after="60" w:before="6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60" w:before="60" w:lineRule="auto"/>
              <w:ind w:left="80" w:firstLine="0"/>
              <w:jc w:val="both"/>
              <w:rPr>
                <w:sz w:val="20"/>
                <w:szCs w:val="20"/>
              </w:rPr>
            </w:pPr>
            <w:r w:rsidDel="00000000" w:rsidR="00000000" w:rsidRPr="00000000">
              <w:rPr>
                <w:sz w:val="20"/>
                <w:szCs w:val="20"/>
                <w:rtl w:val="0"/>
              </w:rPr>
              <w:t xml:space="preserve">Pinturas y dibujos.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ind w:left="80" w:firstLine="0"/>
              <w:jc w:val="both"/>
              <w:rPr>
                <w:color w:val="2f2f2f"/>
                <w:sz w:val="20"/>
                <w:szCs w:val="20"/>
              </w:rPr>
            </w:pPr>
            <w:r w:rsidDel="00000000" w:rsidR="00000000" w:rsidRPr="00000000">
              <w:rPr>
                <w:rtl w:val="0"/>
              </w:rPr>
            </w:r>
          </w:p>
        </w:tc>
      </w:tr>
      <w:tr>
        <w:trPr>
          <w:cantSplit w:val="0"/>
          <w:trHeight w:val="5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7">
            <w:pPr>
              <w:spacing w:after="60" w:before="60" w:lineRule="auto"/>
              <w:ind w:left="80" w:firstLine="0"/>
              <w:jc w:val="both"/>
              <w:rPr>
                <w:sz w:val="20"/>
                <w:szCs w:val="20"/>
              </w:rPr>
            </w:pPr>
            <w:r w:rsidDel="00000000" w:rsidR="00000000" w:rsidRPr="00000000">
              <w:rPr>
                <w:sz w:val="20"/>
                <w:szCs w:val="20"/>
                <w:rtl w:val="0"/>
              </w:rPr>
              <w:t xml:space="preserve"> </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A">
            <w:pPr>
              <w:spacing w:after="60" w:before="60" w:lineRule="auto"/>
              <w:ind w:left="80" w:firstLine="0"/>
              <w:jc w:val="both"/>
              <w:rPr>
                <w:b w:val="1"/>
                <w:sz w:val="20"/>
                <w:szCs w:val="20"/>
              </w:rPr>
            </w:pPr>
            <w:r w:rsidDel="00000000" w:rsidR="00000000" w:rsidRPr="00000000">
              <w:rPr>
                <w:b w:val="1"/>
                <w:sz w:val="20"/>
                <w:szCs w:val="20"/>
                <w:rtl w:val="0"/>
              </w:rPr>
              <w:t xml:space="preserve">9701.92.01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60" w:before="60" w:lineRule="auto"/>
              <w:ind w:left="80" w:firstLine="0"/>
              <w:jc w:val="both"/>
              <w:rPr>
                <w:b w:val="1"/>
                <w:sz w:val="20"/>
                <w:szCs w:val="20"/>
              </w:rPr>
            </w:pPr>
            <w:r w:rsidDel="00000000" w:rsidR="00000000" w:rsidRPr="00000000">
              <w:rPr>
                <w:b w:val="1"/>
                <w:sz w:val="20"/>
                <w:szCs w:val="20"/>
                <w:rtl w:val="0"/>
              </w:rPr>
              <w:t xml:space="preserve">Mosaicos.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pacing w:after="60" w:before="6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Las obras declaradas Monumento Artístico o Histórico, en términos de la Ley Federal sobre Monumentos y Zonas Arqueológicos, Artísticos e Históricos, realizadas por José María Velasco, José Clemente Orozco, Diego Rivera, Gerardo Murillo Coronado (Dr. Atl), David Alfaro Siqueiros, Frida Kahlo Calderón, Saturnino Herrán, Remedios Varo Uranga (38 obras plásticas) o María Izquierdo.</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D">
            <w:pPr>
              <w:spacing w:after="60" w:before="6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60" w:before="60" w:lineRule="auto"/>
              <w:ind w:left="80" w:firstLine="0"/>
              <w:jc w:val="both"/>
              <w:rPr>
                <w:sz w:val="20"/>
                <w:szCs w:val="20"/>
              </w:rPr>
            </w:pPr>
            <w:r w:rsidDel="00000000" w:rsidR="00000000" w:rsidRPr="00000000">
              <w:rPr>
                <w:sz w:val="20"/>
                <w:szCs w:val="20"/>
                <w:rtl w:val="0"/>
              </w:rPr>
              <w:t xml:space="preserve">Mosaicos.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ind w:left="80" w:firstLine="0"/>
              <w:jc w:val="both"/>
              <w:rPr>
                <w:color w:val="2f2f2f"/>
                <w:sz w:val="20"/>
                <w:szCs w:val="20"/>
              </w:rPr>
            </w:pPr>
            <w:r w:rsidDel="00000000" w:rsidR="00000000" w:rsidRPr="00000000">
              <w:rPr>
                <w:rtl w:val="0"/>
              </w:rPr>
            </w:r>
          </w:p>
        </w:tc>
      </w:tr>
      <w:tr>
        <w:trPr>
          <w:cantSplit w:val="0"/>
          <w:trHeight w:val="5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pacing w:after="60" w:before="60" w:lineRule="auto"/>
              <w:ind w:left="80" w:firstLine="0"/>
              <w:jc w:val="both"/>
              <w:rPr>
                <w:sz w:val="20"/>
                <w:szCs w:val="20"/>
              </w:rPr>
            </w:pPr>
            <w:r w:rsidDel="00000000" w:rsidR="00000000" w:rsidRPr="00000000">
              <w:rPr>
                <w:sz w:val="20"/>
                <w:szCs w:val="20"/>
                <w:rtl w:val="0"/>
              </w:rPr>
              <w:t xml:space="preserve"> </w:t>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3">
            <w:pPr>
              <w:spacing w:after="40" w:before="40" w:lineRule="auto"/>
              <w:ind w:left="80" w:firstLine="0"/>
              <w:jc w:val="both"/>
              <w:rPr>
                <w:b w:val="1"/>
                <w:sz w:val="20"/>
                <w:szCs w:val="20"/>
              </w:rPr>
            </w:pPr>
            <w:r w:rsidDel="00000000" w:rsidR="00000000" w:rsidRPr="00000000">
              <w:rPr>
                <w:b w:val="1"/>
                <w:sz w:val="20"/>
                <w:szCs w:val="20"/>
                <w:rtl w:val="0"/>
              </w:rPr>
              <w:t xml:space="preserve">9701.99.99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40" w:before="40" w:lineRule="auto"/>
              <w:ind w:left="80" w:firstLine="0"/>
              <w:jc w:val="both"/>
              <w:rPr>
                <w:b w:val="1"/>
                <w:sz w:val="20"/>
                <w:szCs w:val="20"/>
              </w:rPr>
            </w:pPr>
            <w:r w:rsidDel="00000000" w:rsidR="00000000" w:rsidRPr="00000000">
              <w:rPr>
                <w:b w:val="1"/>
                <w:sz w:val="20"/>
                <w:szCs w:val="20"/>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Las obras declaradas Monumento Artístico o Histórico, en términos de la Ley Federal sobre Monumentos y Zonas Arqueológicos, Artísticos e Históricos, realizadas por José María Velasco, José Clemente Orozco, Diego Rivera, Gerardo Murillo Coronado (Dr. Atl), David Alfaro Siqueiros, Frida Kahlo Calderón, Saturnino Herrán, Remedios Varo Uranga (38 obras plásticas) o María Izquierdo.</w:t>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6">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7">
            <w:pPr>
              <w:spacing w:after="40" w:before="40" w:lineRule="auto"/>
              <w:ind w:left="80" w:firstLine="0"/>
              <w:jc w:val="both"/>
              <w:rPr>
                <w:sz w:val="20"/>
                <w:szCs w:val="20"/>
              </w:rPr>
            </w:pPr>
            <w:r w:rsidDel="00000000" w:rsidR="00000000" w:rsidRPr="00000000">
              <w:rPr>
                <w:sz w:val="20"/>
                <w:szCs w:val="20"/>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ind w:left="80" w:firstLine="0"/>
              <w:jc w:val="both"/>
              <w:rPr>
                <w:color w:val="2f2f2f"/>
                <w:sz w:val="20"/>
                <w:szCs w:val="20"/>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40" w:before="40" w:lineRule="auto"/>
              <w:ind w:left="80" w:firstLine="0"/>
              <w:jc w:val="both"/>
              <w:rPr>
                <w:b w:val="1"/>
                <w:sz w:val="20"/>
                <w:szCs w:val="20"/>
              </w:rPr>
            </w:pPr>
            <w:r w:rsidDel="00000000" w:rsidR="00000000" w:rsidRPr="00000000">
              <w:rPr>
                <w:b w:val="1"/>
                <w:sz w:val="20"/>
                <w:szCs w:val="20"/>
                <w:rtl w:val="0"/>
              </w:rPr>
              <w:t xml:space="preserve">9702.90.99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D">
            <w:pPr>
              <w:spacing w:after="40" w:before="40" w:lineRule="auto"/>
              <w:ind w:left="80" w:firstLine="0"/>
              <w:jc w:val="both"/>
              <w:rPr>
                <w:b w:val="1"/>
                <w:sz w:val="20"/>
                <w:szCs w:val="20"/>
              </w:rPr>
            </w:pPr>
            <w:r w:rsidDel="00000000" w:rsidR="00000000" w:rsidRPr="00000000">
              <w:rPr>
                <w:b w:val="1"/>
                <w:sz w:val="20"/>
                <w:szCs w:val="20"/>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E">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Las obras declaradas Monumento Artístico o Histórico, en términos de la Ley Federal sobre Monumentos y Zonas Arqueológicos, Artísticos e Históricos, realizadas por José María Velasco, José Clemente Orozco, Diego Rivera, Gerardo Murillo Coronado (Dr. Atl), David Alfaro Siqueiros, Frida Kahlo Calderón, Saturnino Herrán, Remedios Varo Uranga (38 obras plásticas) o María Izquierdo.</w:t>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0">
            <w:pPr>
              <w:spacing w:after="40" w:before="40" w:lineRule="auto"/>
              <w:ind w:left="80" w:firstLine="0"/>
              <w:jc w:val="both"/>
              <w:rPr>
                <w:sz w:val="20"/>
                <w:szCs w:val="20"/>
              </w:rPr>
            </w:pPr>
            <w:r w:rsidDel="00000000" w:rsidR="00000000" w:rsidRPr="00000000">
              <w:rPr>
                <w:sz w:val="20"/>
                <w:szCs w:val="20"/>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ind w:left="80" w:firstLine="0"/>
              <w:jc w:val="both"/>
              <w:rPr>
                <w:color w:val="2f2f2f"/>
                <w:sz w:val="20"/>
                <w:szCs w:val="20"/>
              </w:rPr>
            </w:pPr>
            <w:r w:rsidDel="00000000" w:rsidR="00000000" w:rsidRPr="00000000">
              <w:rPr>
                <w:rtl w:val="0"/>
              </w:rPr>
            </w:r>
          </w:p>
        </w:tc>
      </w:tr>
    </w:tbl>
    <w:p w:rsidR="00000000" w:rsidDel="00000000" w:rsidP="00000000" w:rsidRDefault="00000000" w:rsidRPr="00000000" w14:paraId="00000112">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113">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3165"/>
        <w:gridCol w:w="3435"/>
        <w:tblGridChange w:id="0">
          <w:tblGrid>
            <w:gridCol w:w="2205"/>
            <w:gridCol w:w="3165"/>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4">
            <w:pPr>
              <w:spacing w:after="40" w:before="40" w:lineRule="auto"/>
              <w:ind w:left="80" w:firstLine="0"/>
              <w:jc w:val="both"/>
              <w:rPr>
                <w:sz w:val="20"/>
                <w:szCs w:val="20"/>
              </w:rPr>
            </w:pPr>
            <w:r w:rsidDel="00000000" w:rsidR="00000000" w:rsidRPr="00000000">
              <w:rPr>
                <w:sz w:val="20"/>
                <w:szCs w:val="20"/>
                <w:rtl w:val="0"/>
              </w:rPr>
              <w:t xml:space="preserve"> </w:t>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7">
            <w:pPr>
              <w:spacing w:after="40" w:before="40" w:lineRule="auto"/>
              <w:ind w:left="80" w:firstLine="0"/>
              <w:jc w:val="both"/>
              <w:rPr>
                <w:b w:val="1"/>
                <w:sz w:val="20"/>
                <w:szCs w:val="20"/>
              </w:rPr>
            </w:pPr>
            <w:r w:rsidDel="00000000" w:rsidR="00000000" w:rsidRPr="00000000">
              <w:rPr>
                <w:b w:val="1"/>
                <w:sz w:val="20"/>
                <w:szCs w:val="20"/>
                <w:rtl w:val="0"/>
              </w:rPr>
              <w:t xml:space="preserve">9703.90.99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8">
            <w:pPr>
              <w:spacing w:after="40" w:before="40" w:lineRule="auto"/>
              <w:ind w:left="80" w:firstLine="0"/>
              <w:jc w:val="both"/>
              <w:rPr>
                <w:b w:val="1"/>
                <w:sz w:val="20"/>
                <w:szCs w:val="20"/>
              </w:rPr>
            </w:pPr>
            <w:r w:rsidDel="00000000" w:rsidR="00000000" w:rsidRPr="00000000">
              <w:rPr>
                <w:b w:val="1"/>
                <w:sz w:val="20"/>
                <w:szCs w:val="20"/>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9">
            <w:pPr>
              <w:spacing w:after="40" w:before="40" w:lineRule="auto"/>
              <w:ind w:left="80" w:firstLine="0"/>
              <w:jc w:val="both"/>
              <w:rPr>
                <w:sz w:val="20"/>
                <w:szCs w:val="20"/>
              </w:rPr>
            </w:pPr>
            <w:r w:rsidDel="00000000" w:rsidR="00000000" w:rsidRPr="00000000">
              <w:rPr>
                <w:b w:val="1"/>
                <w:sz w:val="20"/>
                <w:szCs w:val="20"/>
                <w:rtl w:val="0"/>
              </w:rPr>
              <w:t xml:space="preserve">Únicamente</w:t>
            </w:r>
            <w:r w:rsidDel="00000000" w:rsidR="00000000" w:rsidRPr="00000000">
              <w:rPr>
                <w:sz w:val="20"/>
                <w:szCs w:val="20"/>
                <w:rtl w:val="0"/>
              </w:rPr>
              <w:t xml:space="preserve">: Las obras declaradas Monumento Artístico o Histórico, en términos de la Ley Federal sobre Monumentos y Zonas Arqueológicos, Artísticos e Históricos, realizadas por José María Velasco, José Clemente Orozco, Diego Rivera, Gerardo Murillo Coronado (Dr. Atl), David Alfaro Siqueiros, Frida Kahlo Calderón, Saturnino Herrán, Remedios Varo Uranga (38 obras plásticas) o María Izquierdo.</w:t>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A">
            <w:pPr>
              <w:spacing w:after="40" w:before="40" w:lineRule="auto"/>
              <w:ind w:left="80" w:firstLine="0"/>
              <w:jc w:val="right"/>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B">
            <w:pPr>
              <w:spacing w:after="40" w:before="40" w:lineRule="auto"/>
              <w:ind w:left="80" w:firstLine="0"/>
              <w:jc w:val="both"/>
              <w:rPr>
                <w:sz w:val="20"/>
                <w:szCs w:val="20"/>
              </w:rPr>
            </w:pPr>
            <w:r w:rsidDel="00000000" w:rsidR="00000000" w:rsidRPr="00000000">
              <w:rPr>
                <w:sz w:val="20"/>
                <w:szCs w:val="20"/>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ind w:left="80" w:firstLine="0"/>
              <w:jc w:val="both"/>
              <w:rPr>
                <w:color w:val="2f2f2f"/>
                <w:sz w:val="20"/>
                <w:szCs w:val="20"/>
              </w:rPr>
            </w:pPr>
            <w:r w:rsidDel="00000000" w:rsidR="00000000" w:rsidRPr="00000000">
              <w:rPr>
                <w:rtl w:val="0"/>
              </w:rPr>
            </w:r>
          </w:p>
        </w:tc>
      </w:tr>
    </w:tbl>
    <w:p w:rsidR="00000000" w:rsidDel="00000000" w:rsidP="00000000" w:rsidRDefault="00000000" w:rsidRPr="00000000" w14:paraId="0000011D">
      <w:pPr>
        <w:shd w:fill="ffffff" w:val="clear"/>
        <w:spacing w:after="100" w:before="40" w:lineRule="auto"/>
        <w:ind w:firstLine="280"/>
        <w:jc w:val="right"/>
        <w:rPr>
          <w:b w:val="1"/>
          <w:color w:val="2f2f2f"/>
          <w:sz w:val="20"/>
          <w:szCs w:val="20"/>
        </w:rPr>
      </w:pPr>
      <w:r w:rsidDel="00000000" w:rsidR="00000000" w:rsidRPr="00000000">
        <w:rPr>
          <w:b w:val="1"/>
          <w:color w:val="2f2f2f"/>
          <w:sz w:val="20"/>
          <w:szCs w:val="20"/>
          <w:rtl w:val="0"/>
        </w:rPr>
        <w:t xml:space="preserve">"</w:t>
      </w:r>
    </w:p>
    <w:p w:rsidR="00000000" w:rsidDel="00000000" w:rsidP="00000000" w:rsidRDefault="00000000" w:rsidRPr="00000000" w14:paraId="0000011E">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11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000000" w:rsidDel="00000000" w:rsidP="00000000" w:rsidRDefault="00000000" w:rsidRPr="00000000" w14:paraId="0000012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rsidR="00000000" w:rsidDel="00000000" w:rsidP="00000000" w:rsidRDefault="00000000" w:rsidRPr="00000000" w14:paraId="0000012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Ciudad de México, a 24 de agosto de 2022.- La Secretaria de Economía, </w:t>
      </w:r>
      <w:r w:rsidDel="00000000" w:rsidR="00000000" w:rsidRPr="00000000">
        <w:rPr>
          <w:b w:val="1"/>
          <w:color w:val="2f2f2f"/>
          <w:sz w:val="20"/>
          <w:szCs w:val="20"/>
          <w:rtl w:val="0"/>
        </w:rPr>
        <w:t xml:space="preserve">Tatiana Clouthier Carrillo</w:t>
      </w:r>
      <w:r w:rsidDel="00000000" w:rsidR="00000000" w:rsidRPr="00000000">
        <w:rPr>
          <w:color w:val="2f2f2f"/>
          <w:sz w:val="20"/>
          <w:szCs w:val="20"/>
          <w:rtl w:val="0"/>
        </w:rPr>
        <w:t xml:space="preserve">.- Rúbrica.- La Secretaria de Cultura, </w:t>
      </w:r>
      <w:r w:rsidDel="00000000" w:rsidR="00000000" w:rsidRPr="00000000">
        <w:rPr>
          <w:b w:val="1"/>
          <w:color w:val="2f2f2f"/>
          <w:sz w:val="20"/>
          <w:szCs w:val="20"/>
          <w:rtl w:val="0"/>
        </w:rPr>
        <w:t xml:space="preserve">Alejandra Frausto Guerrero</w:t>
      </w:r>
      <w:r w:rsidDel="00000000" w:rsidR="00000000" w:rsidRPr="00000000">
        <w:rPr>
          <w:color w:val="2f2f2f"/>
          <w:sz w:val="20"/>
          <w:szCs w:val="20"/>
          <w:rtl w:val="0"/>
        </w:rPr>
        <w:t xml:space="preserve">.- Rúbrica.</w:t>
      </w:r>
    </w:p>
    <w:p w:rsidR="00000000" w:rsidDel="00000000" w:rsidP="00000000" w:rsidRDefault="00000000" w:rsidRPr="00000000" w14:paraId="000001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