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por sexta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Relaciones Exteriores.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MARCELO LUIS EBRARD CASAUBON, Secretario de Relaciones Exteriores, con fundamento en lo dispuesto por los artículos 26 y 28 de la Ley Orgánica de la Administración Pública Federal; 4 de la Ley Federal de Procedimiento Administrativo, y 1, 6 y 7 del Reglamento Interior de la Secretaría de Relaciones Exteriores,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 2020, la Secretaría de Salud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Acuerdo modificado mediante publicación en el referido medio de difusión el 15 de mayo de 2020;</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día 20 de agosto de 2020, se publicó en el Diario Oficial de la Federación el Acuerdo por el que se modifica por quinta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Dirección General de Delegaciones de la Secretaría de Relaciones Exteriores, conforme a lo dispuesto en el artículo 35 fracciones I, III y V del Reglamento Interior de la Secretaría de Relaciones Exteriores vigente, tiene por objeto normar, autorizar y supervisar en territorio nacional las actividades y servicios de expedición de pasaportes y documentos de identidad y viaje, y la legalización de firmas de documentos públicos que deban surtir efectos en el extranjero; así como administrar el sistema de expedición de pasaportes; organizar y dirigir la supervisión y dirección de las delegaciones y subdelegaciones de la Secretaría, con la finalidad de que cumplan con las políticas generales y específicas en materia de su competencia;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de México impulsa concretizar un federalismo articulado partiendo de la convicción que la</w:t>
      </w:r>
    </w:p>
    <w:p w:rsidR="00000000" w:rsidDel="00000000" w:rsidP="00000000" w:rsidRDefault="00000000" w:rsidRPr="00000000" w14:paraId="0000000D">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fortaleza de la nación, proviene principalmente de sus regiones, estados y municipios, lo cual aporta a través de la suma de esfuerzos conjuntos, alcanzar los objetivos planteados en las políticas públicas federales. Bajo ese tenor, es que se solicitó a las autoridades sanitarias de los Estados, su opinión favorable respecto a la reanudación de actividades correspondientes a las Delegaciones de la Secretaría de Relaciones Exteriores, las cuales atienden al objeto del presente Acuerdo;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antes expuesto, considerando la demanda de los servicios prestados por las Delegaciones de esta Secretaría de Estado relacionados con solicitudes de pasaportes ordinarios que por motivos de emergencias se requiere su emisión y, en cumplimiento a la estrategia de la Secretaría de Salud para la reapertura de las actividades sociales, educativas y económicas, y con la finalidad de salvaguardar la integridad y seguridad sanitaria del público usuario, he tenido a bien expedir el siguiente</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Se adiciona un párrafo y cuatro viñetas al numeral Séptimo del "Acuerdo por el que se modifica por quinta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publicado el día 20 de agosto de 2020 en el Diario Oficial de la Federación para quedar como sigue: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Delegaciones de la Secretaría de Relaciones Exteriores que se enlistan a continuación</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así como las Oficinas Estatales y Municipales de Enlace con esta Secretaría dentro de sus respectivas demarcaciones territoriales, conforme a las disposiciones emitidas por parte de las autoridades sanitarias correspondientes, reanudarán sus actividades bajo los mismos términos, a partir del día </w:t>
      </w:r>
      <w:r w:rsidDel="00000000" w:rsidR="00000000" w:rsidRPr="00000000">
        <w:rPr>
          <w:rFonts w:ascii="Verdana" w:cs="Verdana" w:eastAsia="Verdana" w:hAnsi="Verdana"/>
          <w:b w:val="1"/>
          <w:sz w:val="20"/>
          <w:szCs w:val="20"/>
          <w:rtl w:val="0"/>
        </w:rPr>
        <w:t xml:space="preserve">31 de agosto de 2020</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siendo: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Campeche, Campeche.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Naucalpan de Juárez, Estado de México.</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Toluca de Lerdo, Estado de México.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Hermosillo, Sonora.</w:t>
      </w:r>
    </w:p>
    <w:p w:rsidR="00000000" w:rsidDel="00000000" w:rsidP="00000000" w:rsidRDefault="00000000" w:rsidRPr="00000000" w14:paraId="0000001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día 31 de agosto de 2020.</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Dado en la Ciudad de México a los 26 días del mes de agosto de dos mil veinte.- El Secretario de Relaciones Exteriores, </w:t>
      </w:r>
      <w:r w:rsidDel="00000000" w:rsidR="00000000" w:rsidRPr="00000000">
        <w:rPr>
          <w:rFonts w:ascii="Verdana" w:cs="Verdana" w:eastAsia="Verdana" w:hAnsi="Verdana"/>
          <w:b w:val="1"/>
          <w:color w:val="2f2f2f"/>
          <w:sz w:val="20"/>
          <w:szCs w:val="20"/>
          <w:rtl w:val="0"/>
        </w:rPr>
        <w:t xml:space="preserve">Marcelo Luis Ebrard Cas</w:t>
      </w:r>
      <w:r w:rsidDel="00000000" w:rsidR="00000000" w:rsidRPr="00000000">
        <w:rPr>
          <w:rFonts w:ascii="Verdana" w:cs="Verdana" w:eastAsia="Verdana" w:hAnsi="Verdana"/>
          <w:b w:val="1"/>
          <w:sz w:val="20"/>
          <w:szCs w:val="20"/>
          <w:rtl w:val="0"/>
        </w:rPr>
        <w:t xml:space="preserve">aubon</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1E">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2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