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Puebla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PUEBLA.</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Puebla</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se mantiene fija en el tiempo, en función del porcentaje que cada Entidad obtuvo durante el ejercicio 2014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Puebla</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70, 79, fracciones II, XVI y XXXVI y 84, párrafo segundo de la Constitución Política del Estado Libre y Soberano de Puebla; 2, 3, 9, 24, 26, 30, fracción XII, 31, fracciones I y II, 32, fracciones I y XXXIII, 33, fracciones IV y LXII de la Ley Orgánica de la Administración Pública del Estado de Puebla; 1, párrafo primero, 2, párrafo primero, 13, fracción I y antepenúltimo párrafo y 14, segundo párrafo del Código Fiscal del Estado de Puebla, y 74 de la Ley de Hacienda del Estado Libre y Soberano de Puebla, ambas partes: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i2014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Puebla</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it-1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i2014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20 de febrero de 2020.- Por el Estado: el Gobernador Constitucional, </w:t>
      </w:r>
      <w:r w:rsidDel="00000000" w:rsidR="00000000" w:rsidRPr="00000000">
        <w:rPr>
          <w:rFonts w:ascii="Verdana" w:cs="Verdana" w:eastAsia="Verdana" w:hAnsi="Verdana"/>
          <w:b w:val="1"/>
          <w:color w:val="2f2f2f"/>
          <w:sz w:val="20"/>
          <w:szCs w:val="20"/>
          <w:rtl w:val="0"/>
        </w:rPr>
        <w:t xml:space="preserve">Luis Miguel Gerónimo Barbosa Huerta</w:t>
      </w:r>
      <w:r w:rsidDel="00000000" w:rsidR="00000000" w:rsidRPr="00000000">
        <w:rPr>
          <w:rFonts w:ascii="Verdana" w:cs="Verdana" w:eastAsia="Verdana" w:hAnsi="Verdana"/>
          <w:color w:val="2f2f2f"/>
          <w:sz w:val="20"/>
          <w:szCs w:val="20"/>
          <w:rtl w:val="0"/>
        </w:rPr>
        <w:t xml:space="preserve">.- Rúbrica.- El Secretario de Gobernación, </w:t>
      </w:r>
      <w:r w:rsidDel="00000000" w:rsidR="00000000" w:rsidRPr="00000000">
        <w:rPr>
          <w:rFonts w:ascii="Verdana" w:cs="Verdana" w:eastAsia="Verdana" w:hAnsi="Verdana"/>
          <w:b w:val="1"/>
          <w:color w:val="2f2f2f"/>
          <w:sz w:val="20"/>
          <w:szCs w:val="20"/>
          <w:rtl w:val="0"/>
        </w:rPr>
        <w:t xml:space="preserve">David Méndez Márquez</w:t>
      </w:r>
      <w:r w:rsidDel="00000000" w:rsidR="00000000" w:rsidRPr="00000000">
        <w:rPr>
          <w:rFonts w:ascii="Verdana" w:cs="Verdana" w:eastAsia="Verdana" w:hAnsi="Verdana"/>
          <w:color w:val="2f2f2f"/>
          <w:sz w:val="20"/>
          <w:szCs w:val="20"/>
          <w:rtl w:val="0"/>
        </w:rPr>
        <w:t xml:space="preserve">.- Rúbrica.- La Secretaria de Planeación y Finanzas, </w:t>
      </w:r>
      <w:r w:rsidDel="00000000" w:rsidR="00000000" w:rsidRPr="00000000">
        <w:rPr>
          <w:rFonts w:ascii="Verdana" w:cs="Verdana" w:eastAsia="Verdana" w:hAnsi="Verdana"/>
          <w:b w:val="1"/>
          <w:color w:val="2f2f2f"/>
          <w:sz w:val="20"/>
          <w:szCs w:val="20"/>
          <w:rtl w:val="0"/>
        </w:rPr>
        <w:t xml:space="preserve">María Teresa Castro Corro</w:t>
      </w:r>
      <w:r w:rsidDel="00000000" w:rsidR="00000000" w:rsidRPr="00000000">
        <w:rPr>
          <w:rFonts w:ascii="Verdana" w:cs="Verdana" w:eastAsia="Verdana" w:hAnsi="Verdana"/>
          <w:color w:val="2f2f2f"/>
          <w:sz w:val="20"/>
          <w:szCs w:val="20"/>
          <w:rtl w:val="0"/>
        </w:rPr>
        <w:t xml:space="preserve">.- Rúbrica.- Por la Secretaría: el Secretario</w:t>
      </w:r>
    </w:p>
    <w:p w:rsidR="00000000" w:rsidDel="00000000" w:rsidP="00000000" w:rsidRDefault="00000000" w:rsidRPr="00000000" w14:paraId="0000002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rPr>
          <w:color w:val="2f2f2f"/>
          <w:sz w:val="16"/>
          <w:szCs w:val="16"/>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