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143" w:rsidRPr="009F4143" w:rsidRDefault="009F4143" w:rsidP="009F4143">
      <w:pPr>
        <w:jc w:val="center"/>
        <w:rPr>
          <w:rFonts w:ascii="Verdana" w:hAnsi="Verdana"/>
          <w:b/>
          <w:bCs/>
          <w:color w:val="4F81BD" w:themeColor="accent1"/>
          <w:szCs w:val="20"/>
        </w:rPr>
      </w:pPr>
      <w:bookmarkStart w:id="0" w:name="_GoBack"/>
      <w:r w:rsidRPr="009F4143">
        <w:rPr>
          <w:rFonts w:ascii="Verdana" w:hAnsi="Verdana"/>
          <w:b/>
          <w:bCs/>
          <w:color w:val="4F81BD" w:themeColor="accent1"/>
          <w:szCs w:val="20"/>
        </w:rPr>
        <w:t>R</w:t>
      </w:r>
      <w:r>
        <w:rPr>
          <w:rFonts w:ascii="Verdana" w:hAnsi="Verdana"/>
          <w:b/>
          <w:bCs/>
          <w:color w:val="4F81BD" w:themeColor="accent1"/>
          <w:szCs w:val="20"/>
        </w:rPr>
        <w:t>esolución</w:t>
      </w:r>
      <w:r w:rsidRPr="009F4143">
        <w:rPr>
          <w:rFonts w:ascii="Verdana" w:hAnsi="Verdana"/>
          <w:b/>
          <w:bCs/>
          <w:color w:val="4F81BD" w:themeColor="accent1"/>
          <w:szCs w:val="20"/>
        </w:rPr>
        <w:t> que modifica las Disposiciones de carácter general aplicables a los requerimientos de información que formulen las autoridades a que se refieren los artículos 142 de la Ley de Instituciones de Crédito, 34 de la Ley de Ahorro y Crédito Popular, 44 de la Ley de Uniones de Crédito, 69 de la Ley para Regular las Actividades de las Sociedades Cooperativas de Ahorro y Préstamo y 55 de la Ley de Fondos de Inversión</w:t>
      </w:r>
      <w:bookmarkEnd w:id="0"/>
      <w:r w:rsidRPr="009F4143">
        <w:rPr>
          <w:rFonts w:ascii="Verdana" w:hAnsi="Verdana"/>
          <w:b/>
          <w:bCs/>
          <w:color w:val="4F81BD" w:themeColor="accent1"/>
          <w:szCs w:val="20"/>
        </w:rPr>
        <w:t>.</w:t>
      </w:r>
    </w:p>
    <w:p w:rsidR="009F4143" w:rsidRPr="009F4143" w:rsidRDefault="009F4143" w:rsidP="009F4143">
      <w:pPr>
        <w:rPr>
          <w:rFonts w:ascii="Verdana" w:hAnsi="Verdana"/>
          <w:b/>
          <w:bCs/>
          <w:sz w:val="20"/>
          <w:szCs w:val="20"/>
        </w:rPr>
      </w:pPr>
      <w:r w:rsidRPr="009F4143">
        <w:rPr>
          <w:rFonts w:ascii="Verdana" w:hAnsi="Verdana"/>
          <w:b/>
          <w:bCs/>
          <w:sz w:val="20"/>
          <w:szCs w:val="20"/>
        </w:rPr>
        <w:t>Al margen un sello con el Escudo Nacional, que dice: Estados Unidos Mexicanos.- Secretaría de Hacienda y Crédito Público.- Comisión Nacional Bancaria y de Valores.</w:t>
      </w:r>
    </w:p>
    <w:p w:rsidR="009F4143" w:rsidRPr="009F4143" w:rsidRDefault="009F4143" w:rsidP="009F4143">
      <w:pPr>
        <w:rPr>
          <w:rFonts w:ascii="Verdana" w:hAnsi="Verdana"/>
          <w:sz w:val="20"/>
          <w:szCs w:val="20"/>
        </w:rPr>
      </w:pPr>
      <w:r w:rsidRPr="009F4143">
        <w:rPr>
          <w:rFonts w:ascii="Verdana" w:hAnsi="Verdana"/>
          <w:sz w:val="20"/>
          <w:szCs w:val="20"/>
        </w:rPr>
        <w:t>La Comisión Nacional Bancaria y de Valores, con fundamento en lo dispuesto por los artículos 97 y 142 de la Ley de Instituciones de Crédito; 34 y 122 Bis de la Ley de Ahorro y Crédito Popular; 44 y 78 de la Ley de Uniones de Crédito; 69 y 70 de la Ley para Regular las Actividades de las Sociedades Cooperativas de Ahorro y Préstamo; 55 de la Ley de Fondos de Inversión; 73 de la Ley para Regular las Instituciones de Tecnología Financiera, así como 4, fracciones XXXVI y XXXVIII; 16 fracción I y 19 de la Ley de la Comisión Nacional Bancaria y de Valores, y</w:t>
      </w:r>
    </w:p>
    <w:p w:rsidR="009F4143" w:rsidRPr="009F4143" w:rsidRDefault="009F4143" w:rsidP="009F4143">
      <w:pPr>
        <w:rPr>
          <w:rFonts w:ascii="Verdana" w:hAnsi="Verdana"/>
          <w:b/>
          <w:bCs/>
          <w:sz w:val="20"/>
          <w:szCs w:val="20"/>
        </w:rPr>
      </w:pPr>
      <w:r w:rsidRPr="009F4143">
        <w:rPr>
          <w:rFonts w:ascii="Verdana" w:hAnsi="Verdana"/>
          <w:b/>
          <w:bCs/>
          <w:sz w:val="20"/>
          <w:szCs w:val="20"/>
        </w:rPr>
        <w:t>CONSIDERANDO</w:t>
      </w:r>
    </w:p>
    <w:p w:rsidR="009F4143" w:rsidRPr="009F4143" w:rsidRDefault="009F4143" w:rsidP="009F4143">
      <w:pPr>
        <w:rPr>
          <w:rFonts w:ascii="Verdana" w:hAnsi="Verdana"/>
          <w:sz w:val="20"/>
          <w:szCs w:val="20"/>
        </w:rPr>
      </w:pPr>
      <w:r w:rsidRPr="009F4143">
        <w:rPr>
          <w:rFonts w:ascii="Verdana" w:hAnsi="Verdana"/>
          <w:sz w:val="20"/>
          <w:szCs w:val="20"/>
        </w:rPr>
        <w:t>Que el 9 de marzo de 2018 se publicó en el Diario Oficial de la Federación el Decreto por el que se expide la Ley para Regular las Instituciones de Tecnología Financiera y se reforman y adicionan diversas disposiciones de distintas leyes financieras;</w:t>
      </w:r>
    </w:p>
    <w:p w:rsidR="009F4143" w:rsidRPr="009F4143" w:rsidRDefault="009F4143" w:rsidP="009F4143">
      <w:pPr>
        <w:rPr>
          <w:rFonts w:ascii="Verdana" w:hAnsi="Verdana"/>
          <w:sz w:val="20"/>
          <w:szCs w:val="20"/>
        </w:rPr>
      </w:pPr>
      <w:r w:rsidRPr="009F4143">
        <w:rPr>
          <w:rFonts w:ascii="Verdana" w:hAnsi="Verdana"/>
          <w:sz w:val="20"/>
          <w:szCs w:val="20"/>
        </w:rPr>
        <w:t>Que en términos de la Ley para Regular las Instituciones de Tecnología Financiera, la información y documentación relativa a las actividades y servicios que presten las instituciones de tecnología financiera y las operaciones que se realicen a través de ellas, así como las actividades que realicen con sus clientes las sociedades autorizadas para operar con modelos novedosos en términos de dicha ley, tendrá el carácter de confidencial, por lo que no podrán dar noticias o información de las actividades, operaciones o servicios, sino a las personas señaladas en dicha ley, previéndose asimismo en dicho ordenamiento legal excepciones a esta regla, y</w:t>
      </w:r>
    </w:p>
    <w:p w:rsidR="009F4143" w:rsidRPr="009F4143" w:rsidRDefault="009F4143" w:rsidP="009F4143">
      <w:pPr>
        <w:rPr>
          <w:rFonts w:ascii="Verdana" w:hAnsi="Verdana"/>
          <w:sz w:val="20"/>
          <w:szCs w:val="20"/>
        </w:rPr>
      </w:pPr>
      <w:r w:rsidRPr="009F4143">
        <w:rPr>
          <w:rFonts w:ascii="Verdana" w:hAnsi="Verdana"/>
          <w:sz w:val="20"/>
          <w:szCs w:val="20"/>
        </w:rPr>
        <w:t>Que atento a lo anterior, resulta necesario considerar a las instituciones de tecnología financiera y a las sociedades autorizadas para operar con modelos novedosos, en las disposiciones que establecen las formalidades y requisitos que deben reunir las solicitudes de información que hagan las autoridades judiciales, administrativas y hacendarias federales, a través de la Comisión Nacional Bancaria y de Valores, para que las mencionadas instituciones y sociedades estén en aptitud de identificar, localizar y aportar las noticias o información solicitadas por dichas autoridades, ha resuelto expedir la siguiente:</w:t>
      </w:r>
    </w:p>
    <w:p w:rsidR="009F4143" w:rsidRPr="009F4143" w:rsidRDefault="009F4143" w:rsidP="009F4143">
      <w:pPr>
        <w:rPr>
          <w:rFonts w:ascii="Verdana" w:hAnsi="Verdana"/>
          <w:b/>
          <w:bCs/>
          <w:sz w:val="20"/>
          <w:szCs w:val="20"/>
        </w:rPr>
      </w:pPr>
      <w:r w:rsidRPr="009F4143">
        <w:rPr>
          <w:rFonts w:ascii="Verdana" w:hAnsi="Verdana"/>
          <w:b/>
          <w:bCs/>
          <w:sz w:val="20"/>
          <w:szCs w:val="20"/>
        </w:rPr>
        <w:t>RESOLUCIÓN QUE MODIFICA LAS DISPOSICIONES DE CARÁCTER GENERAL APLICABLES A LOS</w:t>
      </w:r>
      <w:r w:rsidRPr="009F4143">
        <w:rPr>
          <w:rFonts w:ascii="Verdana" w:hAnsi="Verdana"/>
          <w:b/>
          <w:bCs/>
          <w:sz w:val="20"/>
          <w:szCs w:val="20"/>
        </w:rPr>
        <w:br/>
        <w:t xml:space="preserve">REQUERIMIENTOS DE INFORMACIÓN QUE FORMULEN LAS AUTORIDADES A </w:t>
      </w:r>
      <w:r w:rsidRPr="009F4143">
        <w:rPr>
          <w:rFonts w:ascii="Verdana" w:hAnsi="Verdana"/>
          <w:b/>
          <w:bCs/>
          <w:sz w:val="20"/>
          <w:szCs w:val="20"/>
        </w:rPr>
        <w:lastRenderedPageBreak/>
        <w:t>QUE SE REFIEREN</w:t>
      </w:r>
      <w:r w:rsidRPr="009F4143">
        <w:rPr>
          <w:rFonts w:ascii="Verdana" w:hAnsi="Verdana"/>
          <w:b/>
          <w:bCs/>
          <w:sz w:val="20"/>
          <w:szCs w:val="20"/>
        </w:rPr>
        <w:br/>
        <w:t>LOS ARTÍCULOS 142 DE LA LEY DE INSTITUCIONES DE CRÉDITO, 34 DE LA LEY DE AHORRO Y</w:t>
      </w:r>
      <w:r w:rsidRPr="009F4143">
        <w:rPr>
          <w:rFonts w:ascii="Verdana" w:hAnsi="Verdana"/>
          <w:b/>
          <w:bCs/>
          <w:sz w:val="20"/>
          <w:szCs w:val="20"/>
        </w:rPr>
        <w:br/>
        <w:t>CRÉDITO POPULAR, 44 DE LA LEY DE UNIONES DE CRÉDITO, 69 DE LA LEY PARA REGULAR LAS</w:t>
      </w:r>
      <w:r w:rsidRPr="009F4143">
        <w:rPr>
          <w:rFonts w:ascii="Verdana" w:hAnsi="Verdana"/>
          <w:b/>
          <w:bCs/>
          <w:sz w:val="20"/>
          <w:szCs w:val="20"/>
        </w:rPr>
        <w:br/>
        <w:t>ACTIVIDADES DE LAS SOCIEDADES COOPERATIVAS DE AHORRO Y PRÉSTAMO Y 55 DE LA LEY DE</w:t>
      </w:r>
      <w:r w:rsidRPr="009F4143">
        <w:rPr>
          <w:rFonts w:ascii="Verdana" w:hAnsi="Verdana"/>
          <w:b/>
          <w:bCs/>
          <w:sz w:val="20"/>
          <w:szCs w:val="20"/>
        </w:rPr>
        <w:br/>
        <w:t>FONDOS DE INVERSIÓN</w:t>
      </w:r>
    </w:p>
    <w:p w:rsidR="009F4143" w:rsidRPr="009F4143" w:rsidRDefault="009F4143" w:rsidP="009F4143">
      <w:pPr>
        <w:rPr>
          <w:rFonts w:ascii="Verdana" w:hAnsi="Verdana"/>
          <w:sz w:val="20"/>
          <w:szCs w:val="20"/>
        </w:rPr>
      </w:pPr>
      <w:r w:rsidRPr="009F4143">
        <w:rPr>
          <w:rFonts w:ascii="Verdana" w:hAnsi="Verdana"/>
          <w:b/>
          <w:bCs/>
          <w:sz w:val="20"/>
          <w:szCs w:val="20"/>
        </w:rPr>
        <w:t>ÚNICO.-</w:t>
      </w:r>
      <w:r w:rsidRPr="009F4143">
        <w:rPr>
          <w:rFonts w:ascii="Verdana" w:hAnsi="Verdana"/>
          <w:sz w:val="20"/>
          <w:szCs w:val="20"/>
        </w:rPr>
        <w:t> Se </w:t>
      </w:r>
      <w:r w:rsidRPr="009F4143">
        <w:rPr>
          <w:rFonts w:ascii="Verdana" w:hAnsi="Verdana"/>
          <w:b/>
          <w:bCs/>
          <w:sz w:val="20"/>
          <w:szCs w:val="20"/>
        </w:rPr>
        <w:t>REFORMAN</w:t>
      </w:r>
      <w:r w:rsidRPr="009F4143">
        <w:rPr>
          <w:rFonts w:ascii="Verdana" w:hAnsi="Verdana"/>
          <w:sz w:val="20"/>
          <w:szCs w:val="20"/>
        </w:rPr>
        <w:t> la denominación de las "Disposiciones de carácter general aplicables a los requerimientos de información que formulen las autoridades a que se refieren los artículos 142 de la Ley de Instituciones de Crédito, 34 de la Ley de Ahorro y Crédito Popular, 44 de la Ley de Uniones de Crédito, 69 de la Ley para Regular las Actividades de las Sociedades Cooperativas de Ahorro y Préstamo y 55 de la Ley de Fondos de Inversión" para quedar como "Disposiciones de carácter general aplicables a los requerimientos de información que formulen las autoridades a que se refieren los artículos 142 de la Ley de Instituciones de Crédito, 34 de la Ley de Ahorro y Crédito Popular, 44 de la Ley de Uniones de Crédito, 69 de la Ley para Regular las Actividades de las Sociedades Cooperativas de Ahorro y Préstamo, 55 de la Ley de Fondos de Inversión y 73 de la Ley para Regular las Instituciones de Tecnología Financiera", así como los artículos 1; 2, fracciones I, III y V, inciso a); 4, fracción VI; 6; 8; 9, segundo párrafo; 11, segundo párrafo y 17, fracción II de las Disposiciones de carácter general aplicables a los requerimientos de información que formulen las autoridades a que se refieren los artículos 142 de la Ley de Instituciones de Crédito, 34 de la Ley de Ahorro y Crédito Popular, 44 de la Ley de Uniones de Crédito, 69 de la Ley para Regular las Actividades de las Sociedades Cooperativas de Ahorro y Préstamo y 55 de la Ley de Fondos de Inversión, publicadas en el Diario Oficial de la Federación el 12 de febrero de 2013, modificadas mediante resoluciones publicadas en dicho órgano de difusión el 26 de agosto de 2014 y 13 de marzo de 2017, para quedar como sigue:</w:t>
      </w:r>
    </w:p>
    <w:p w:rsidR="009F4143" w:rsidRPr="009F4143" w:rsidRDefault="009F4143" w:rsidP="009F4143">
      <w:pPr>
        <w:rPr>
          <w:rFonts w:ascii="Verdana" w:hAnsi="Verdana"/>
          <w:sz w:val="20"/>
          <w:szCs w:val="20"/>
        </w:rPr>
      </w:pPr>
      <w:r w:rsidRPr="009F4143">
        <w:rPr>
          <w:rFonts w:ascii="Verdana" w:hAnsi="Verdana"/>
          <w:sz w:val="20"/>
          <w:szCs w:val="20"/>
        </w:rPr>
        <w:t>"</w:t>
      </w:r>
      <w:r w:rsidRPr="009F4143">
        <w:rPr>
          <w:rFonts w:ascii="Verdana" w:hAnsi="Verdana"/>
          <w:b/>
          <w:bCs/>
          <w:sz w:val="20"/>
          <w:szCs w:val="20"/>
        </w:rPr>
        <w:t>Artículo 1.-</w:t>
      </w:r>
      <w:r w:rsidRPr="009F4143">
        <w:rPr>
          <w:rFonts w:ascii="Verdana" w:hAnsi="Verdana"/>
          <w:sz w:val="20"/>
          <w:szCs w:val="20"/>
        </w:rPr>
        <w:t> Las presentes disposiciones tienen por objeto establecer los requisitos que deben reunir los requerimientos de información y documentación que las autoridades judiciales, hacendarias federales y administrativas, a que se refieren los artículos 142 de la Ley de Instituciones de Crédito, 34 de la Ley de Ahorro y Crédito Popular, 44 de la Ley de Uniones de Crédito, 69 de la Ley para Regular las Actividades de las Sociedades Cooperativas de Ahorro y Préstamo, 55 de la Ley de Fondos de Inversión y 73 de la Ley para Regular las Instituciones de Tecnología Financiera, formulen a la Comisión Nacional Bancaria y de Valores, respecto de:</w:t>
      </w:r>
    </w:p>
    <w:p w:rsidR="009F4143" w:rsidRPr="009F4143" w:rsidRDefault="009F4143" w:rsidP="009F4143">
      <w:pPr>
        <w:rPr>
          <w:rFonts w:ascii="Verdana" w:hAnsi="Verdana"/>
          <w:sz w:val="20"/>
          <w:szCs w:val="20"/>
        </w:rPr>
      </w:pPr>
      <w:r w:rsidRPr="009F4143">
        <w:rPr>
          <w:rFonts w:ascii="Verdana" w:hAnsi="Verdana"/>
          <w:sz w:val="20"/>
          <w:szCs w:val="20"/>
        </w:rPr>
        <w:t>I.     Las operaciones o servicios que las uniones de crédito, sociedades financieras populares, sociedades financieras comunitarias, sociedades cooperativas de ahorro y préstamo y fondos de inversión celebren con sus socios, accionistas o clientes.</w:t>
      </w:r>
    </w:p>
    <w:p w:rsidR="009F4143" w:rsidRPr="009F4143" w:rsidRDefault="009F4143" w:rsidP="009F4143">
      <w:pPr>
        <w:rPr>
          <w:rFonts w:ascii="Verdana" w:hAnsi="Verdana"/>
          <w:sz w:val="20"/>
          <w:szCs w:val="20"/>
        </w:rPr>
      </w:pPr>
      <w:r w:rsidRPr="009F4143">
        <w:rPr>
          <w:rFonts w:ascii="Verdana" w:hAnsi="Verdana"/>
          <w:sz w:val="20"/>
          <w:szCs w:val="20"/>
        </w:rPr>
        <w:t>II.     Las operaciones o servicios que las instituciones de crédito y Prestadores de servicios celebren con sus clientes y usuarios.</w:t>
      </w:r>
    </w:p>
    <w:p w:rsidR="009F4143" w:rsidRPr="009F4143" w:rsidRDefault="009F4143" w:rsidP="009F4143">
      <w:pPr>
        <w:rPr>
          <w:rFonts w:ascii="Verdana" w:hAnsi="Verdana"/>
          <w:sz w:val="20"/>
          <w:szCs w:val="20"/>
        </w:rPr>
      </w:pPr>
      <w:r w:rsidRPr="009F4143">
        <w:rPr>
          <w:rFonts w:ascii="Verdana" w:hAnsi="Verdana"/>
          <w:sz w:val="20"/>
          <w:szCs w:val="20"/>
        </w:rPr>
        <w:lastRenderedPageBreak/>
        <w:t>III.    Las operaciones que se realicen a través de las instituciones de tecnología financiera, así como de las actividades y servicios que presten dichas instituciones.</w:t>
      </w:r>
    </w:p>
    <w:p w:rsidR="009F4143" w:rsidRPr="009F4143" w:rsidRDefault="009F4143" w:rsidP="009F4143">
      <w:pPr>
        <w:rPr>
          <w:rFonts w:ascii="Verdana" w:hAnsi="Verdana"/>
          <w:sz w:val="20"/>
          <w:szCs w:val="20"/>
        </w:rPr>
      </w:pPr>
      <w:r w:rsidRPr="009F4143">
        <w:rPr>
          <w:rFonts w:ascii="Verdana" w:hAnsi="Verdana"/>
          <w:sz w:val="20"/>
          <w:szCs w:val="20"/>
        </w:rPr>
        <w:t>IV.   Las actividades que realicen con sus clientes las sociedades autorizadas en términos de la Ley para Regular las Instituciones de Tecnología Financiera, para operar con modelos novedosos.</w:t>
      </w:r>
    </w:p>
    <w:p w:rsidR="009F4143" w:rsidRPr="009F4143" w:rsidRDefault="009F4143" w:rsidP="009F4143">
      <w:pPr>
        <w:rPr>
          <w:rFonts w:ascii="Verdana" w:hAnsi="Verdana"/>
          <w:sz w:val="20"/>
          <w:szCs w:val="20"/>
        </w:rPr>
      </w:pPr>
      <w:r w:rsidRPr="009F4143">
        <w:rPr>
          <w:rFonts w:ascii="Verdana" w:hAnsi="Verdana"/>
          <w:sz w:val="20"/>
          <w:szCs w:val="20"/>
        </w:rPr>
        <w:t>V.    Las operaciones que celebren o servicios que presten las demás Entidades Financieras con sus clientes.</w:t>
      </w:r>
    </w:p>
    <w:p w:rsidR="009F4143" w:rsidRPr="009F4143" w:rsidRDefault="009F4143" w:rsidP="009F4143">
      <w:pPr>
        <w:rPr>
          <w:rFonts w:ascii="Verdana" w:hAnsi="Verdana"/>
          <w:sz w:val="20"/>
          <w:szCs w:val="20"/>
        </w:rPr>
      </w:pPr>
      <w:r w:rsidRPr="009F4143">
        <w:rPr>
          <w:rFonts w:ascii="Verdana" w:hAnsi="Verdana"/>
          <w:sz w:val="20"/>
          <w:szCs w:val="20"/>
        </w:rPr>
        <w:t xml:space="preserve">Lo anterior, a fin de que dichas entidades y personas </w:t>
      </w:r>
      <w:proofErr w:type="gramStart"/>
      <w:r w:rsidRPr="009F4143">
        <w:rPr>
          <w:rFonts w:ascii="Verdana" w:hAnsi="Verdana"/>
          <w:sz w:val="20"/>
          <w:szCs w:val="20"/>
        </w:rPr>
        <w:t>estén</w:t>
      </w:r>
      <w:proofErr w:type="gramEnd"/>
      <w:r w:rsidRPr="009F4143">
        <w:rPr>
          <w:rFonts w:ascii="Verdana" w:hAnsi="Verdana"/>
          <w:sz w:val="20"/>
          <w:szCs w:val="20"/>
        </w:rPr>
        <w:t xml:space="preserve"> en aptitud de identificar, localizar y aportar la información y documentación solicitada.</w:t>
      </w:r>
    </w:p>
    <w:p w:rsidR="009F4143" w:rsidRPr="009F4143" w:rsidRDefault="009F4143" w:rsidP="009F4143">
      <w:pPr>
        <w:rPr>
          <w:rFonts w:ascii="Verdana" w:hAnsi="Verdana"/>
          <w:sz w:val="20"/>
          <w:szCs w:val="20"/>
        </w:rPr>
      </w:pPr>
      <w:r w:rsidRPr="009F4143">
        <w:rPr>
          <w:rFonts w:ascii="Verdana" w:hAnsi="Verdana"/>
          <w:b/>
          <w:bCs/>
          <w:sz w:val="20"/>
          <w:szCs w:val="20"/>
        </w:rPr>
        <w:t>Artículo 2.-</w:t>
      </w:r>
      <w:r w:rsidRPr="009F4143">
        <w:rPr>
          <w:rFonts w:ascii="Verdana" w:hAnsi="Verdana"/>
          <w:sz w:val="20"/>
          <w:szCs w:val="20"/>
        </w:rPr>
        <w:t> Para efectos de las presentes disposiciones se entenderá por:</w:t>
      </w:r>
    </w:p>
    <w:p w:rsidR="009F4143" w:rsidRPr="009F4143" w:rsidRDefault="009F4143" w:rsidP="009F4143">
      <w:pPr>
        <w:rPr>
          <w:rFonts w:ascii="Verdana" w:hAnsi="Verdana"/>
          <w:sz w:val="20"/>
          <w:szCs w:val="20"/>
        </w:rPr>
      </w:pPr>
      <w:r w:rsidRPr="009F4143">
        <w:rPr>
          <w:rFonts w:ascii="Verdana" w:hAnsi="Verdana"/>
          <w:sz w:val="20"/>
          <w:szCs w:val="20"/>
        </w:rPr>
        <w:t>I.     Autoridad, en singular o en plural a las autoridades judiciales, hacendarias federales y administrativas, señaladas en los artículos 142 de la Ley de Instituciones de Crédito, 34 de la Ley de Ahorro y Crédito Popular, 44 de la Ley de Uniones de Crédito, 69 de la Ley para Regular las Actividades de las Sociedades Cooperativas de Ahorro y Préstamo, 55 de la Ley de Fondos de Inversión y 73 de la Ley para Regular las Instituciones de Tecnología Financiera.</w:t>
      </w:r>
    </w:p>
    <w:p w:rsidR="009F4143" w:rsidRPr="009F4143" w:rsidRDefault="009F4143" w:rsidP="009F4143">
      <w:pPr>
        <w:rPr>
          <w:rFonts w:ascii="Verdana" w:hAnsi="Verdana"/>
          <w:sz w:val="20"/>
          <w:szCs w:val="20"/>
        </w:rPr>
      </w:pPr>
      <w:r w:rsidRPr="009F4143">
        <w:rPr>
          <w:rFonts w:ascii="Verdana" w:hAnsi="Verdana"/>
          <w:sz w:val="20"/>
          <w:szCs w:val="20"/>
        </w:rPr>
        <w:t>II.     </w:t>
      </w:r>
      <w:r w:rsidRPr="009F4143">
        <w:rPr>
          <w:rFonts w:ascii="Verdana" w:hAnsi="Verdana"/>
          <w:b/>
          <w:bCs/>
          <w:sz w:val="20"/>
          <w:szCs w:val="20"/>
        </w:rPr>
        <w:t>. . .</w:t>
      </w:r>
    </w:p>
    <w:p w:rsidR="009F4143" w:rsidRPr="009F4143" w:rsidRDefault="009F4143" w:rsidP="009F4143">
      <w:pPr>
        <w:rPr>
          <w:rFonts w:ascii="Verdana" w:hAnsi="Verdana"/>
          <w:sz w:val="20"/>
          <w:szCs w:val="20"/>
        </w:rPr>
      </w:pPr>
      <w:r w:rsidRPr="009F4143">
        <w:rPr>
          <w:rFonts w:ascii="Verdana" w:hAnsi="Verdana"/>
          <w:sz w:val="20"/>
          <w:szCs w:val="20"/>
        </w:rPr>
        <w:t>III.    Entidades Financieras, a las instituciones de crédito, uniones de crédito, sociedades financieras populares, sociedades financieras comunitarias, sociedades cooperativas de ahorro y préstamo, fondos de inversión, sociedades operadoras de fondos de inversión, sociedades distribuidoras de acciones de fondos de inversión, instituciones de tecnología financiera, instituciones calificadoras de valores e instituciones para el depósito de valores, estas últimas dos respecto de la prestación de sus servicios a los fondos de inversión.</w:t>
      </w:r>
    </w:p>
    <w:p w:rsidR="009F4143" w:rsidRPr="009F4143" w:rsidRDefault="009F4143" w:rsidP="009F4143">
      <w:pPr>
        <w:rPr>
          <w:rFonts w:ascii="Verdana" w:hAnsi="Verdana"/>
          <w:sz w:val="20"/>
          <w:szCs w:val="20"/>
        </w:rPr>
      </w:pPr>
      <w:r w:rsidRPr="009F4143">
        <w:rPr>
          <w:rFonts w:ascii="Verdana" w:hAnsi="Verdana"/>
          <w:sz w:val="20"/>
          <w:szCs w:val="20"/>
        </w:rPr>
        <w:t>IV.   </w:t>
      </w:r>
      <w:r w:rsidRPr="009F4143">
        <w:rPr>
          <w:rFonts w:ascii="Verdana" w:hAnsi="Verdana"/>
          <w:b/>
          <w:bCs/>
          <w:sz w:val="20"/>
          <w:szCs w:val="20"/>
        </w:rPr>
        <w:t>. . .</w:t>
      </w:r>
    </w:p>
    <w:p w:rsidR="009F4143" w:rsidRPr="009F4143" w:rsidRDefault="009F4143" w:rsidP="009F4143">
      <w:pPr>
        <w:rPr>
          <w:rFonts w:ascii="Verdana" w:hAnsi="Verdana"/>
          <w:sz w:val="20"/>
          <w:szCs w:val="20"/>
        </w:rPr>
      </w:pPr>
      <w:r w:rsidRPr="009F4143">
        <w:rPr>
          <w:rFonts w:ascii="Verdana" w:hAnsi="Verdana"/>
          <w:sz w:val="20"/>
          <w:szCs w:val="20"/>
        </w:rPr>
        <w:t>V.    Requerimiento, en singular o plural, a:</w:t>
      </w:r>
    </w:p>
    <w:p w:rsidR="009F4143" w:rsidRPr="009F4143" w:rsidRDefault="009F4143" w:rsidP="009F4143">
      <w:pPr>
        <w:rPr>
          <w:rFonts w:ascii="Verdana" w:hAnsi="Verdana"/>
          <w:sz w:val="20"/>
          <w:szCs w:val="20"/>
        </w:rPr>
      </w:pPr>
      <w:r w:rsidRPr="009F4143">
        <w:rPr>
          <w:rFonts w:ascii="Verdana" w:hAnsi="Verdana"/>
          <w:sz w:val="20"/>
          <w:szCs w:val="20"/>
        </w:rPr>
        <w:t>a)   Solicitud de información y documentación que formulen a la Comisión las diferentes Autoridades en el ejercicio de sus facultades, relativa a las actividades, operaciones o servicios que las Entidades Financieras, las sociedades autorizadas para operar con modelos novedosos, o los Prestadores de servicios celebren con sus socios, accionistas, clientes o usuarios, y que correspondan a los procesos y procedimientos que en sus respectivos ámbitos de competencia</w:t>
      </w:r>
    </w:p>
    <w:p w:rsidR="009F4143" w:rsidRPr="009F4143" w:rsidRDefault="009F4143" w:rsidP="009F4143">
      <w:pPr>
        <w:rPr>
          <w:rFonts w:ascii="Verdana" w:hAnsi="Verdana"/>
          <w:sz w:val="20"/>
          <w:szCs w:val="20"/>
        </w:rPr>
      </w:pPr>
      <w:proofErr w:type="gramStart"/>
      <w:r w:rsidRPr="009F4143">
        <w:rPr>
          <w:rFonts w:ascii="Verdana" w:hAnsi="Verdana"/>
          <w:sz w:val="20"/>
          <w:szCs w:val="20"/>
        </w:rPr>
        <w:t>realicen</w:t>
      </w:r>
      <w:proofErr w:type="gramEnd"/>
      <w:r w:rsidRPr="009F4143">
        <w:rPr>
          <w:rFonts w:ascii="Verdana" w:hAnsi="Verdana"/>
          <w:sz w:val="20"/>
          <w:szCs w:val="20"/>
        </w:rPr>
        <w:t>.</w:t>
      </w:r>
    </w:p>
    <w:p w:rsidR="009F4143" w:rsidRPr="009F4143" w:rsidRDefault="009F4143" w:rsidP="009F4143">
      <w:pPr>
        <w:rPr>
          <w:rFonts w:ascii="Verdana" w:hAnsi="Verdana"/>
          <w:sz w:val="20"/>
          <w:szCs w:val="20"/>
        </w:rPr>
      </w:pPr>
      <w:r w:rsidRPr="009F4143">
        <w:rPr>
          <w:rFonts w:ascii="Verdana" w:hAnsi="Verdana"/>
          <w:sz w:val="20"/>
          <w:szCs w:val="20"/>
        </w:rPr>
        <w:t>b) y c)   </w:t>
      </w:r>
      <w:r w:rsidRPr="009F4143">
        <w:rPr>
          <w:rFonts w:ascii="Verdana" w:hAnsi="Verdana"/>
          <w:b/>
          <w:bCs/>
          <w:sz w:val="20"/>
          <w:szCs w:val="20"/>
        </w:rPr>
        <w:t>. . .</w:t>
      </w:r>
    </w:p>
    <w:p w:rsidR="009F4143" w:rsidRPr="009F4143" w:rsidRDefault="009F4143" w:rsidP="009F4143">
      <w:pPr>
        <w:rPr>
          <w:rFonts w:ascii="Verdana" w:hAnsi="Verdana"/>
          <w:sz w:val="20"/>
          <w:szCs w:val="20"/>
        </w:rPr>
      </w:pPr>
      <w:r w:rsidRPr="009F4143">
        <w:rPr>
          <w:rFonts w:ascii="Verdana" w:hAnsi="Verdana"/>
          <w:sz w:val="20"/>
          <w:szCs w:val="20"/>
        </w:rPr>
        <w:t>VI.   </w:t>
      </w:r>
      <w:r w:rsidRPr="009F4143">
        <w:rPr>
          <w:rFonts w:ascii="Verdana" w:hAnsi="Verdana"/>
          <w:b/>
          <w:bCs/>
          <w:sz w:val="20"/>
          <w:szCs w:val="20"/>
        </w:rPr>
        <w:t>. . ."</w:t>
      </w:r>
    </w:p>
    <w:p w:rsidR="009F4143" w:rsidRPr="009F4143" w:rsidRDefault="009F4143" w:rsidP="009F4143">
      <w:pPr>
        <w:rPr>
          <w:rFonts w:ascii="Verdana" w:hAnsi="Verdana"/>
          <w:sz w:val="20"/>
          <w:szCs w:val="20"/>
        </w:rPr>
      </w:pPr>
      <w:r w:rsidRPr="009F4143">
        <w:rPr>
          <w:rFonts w:ascii="Verdana" w:hAnsi="Verdana"/>
          <w:sz w:val="20"/>
          <w:szCs w:val="20"/>
        </w:rPr>
        <w:t>"</w:t>
      </w:r>
      <w:r w:rsidRPr="009F4143">
        <w:rPr>
          <w:rFonts w:ascii="Verdana" w:hAnsi="Verdana"/>
          <w:b/>
          <w:bCs/>
          <w:sz w:val="20"/>
          <w:szCs w:val="20"/>
        </w:rPr>
        <w:t>Artículo 4.</w:t>
      </w:r>
      <w:proofErr w:type="gramStart"/>
      <w:r w:rsidRPr="009F4143">
        <w:rPr>
          <w:rFonts w:ascii="Verdana" w:hAnsi="Verdana"/>
          <w:b/>
          <w:bCs/>
          <w:sz w:val="20"/>
          <w:szCs w:val="20"/>
        </w:rPr>
        <w:t>- .</w:t>
      </w:r>
      <w:proofErr w:type="gramEnd"/>
      <w:r w:rsidRPr="009F4143">
        <w:rPr>
          <w:rFonts w:ascii="Verdana" w:hAnsi="Verdana"/>
          <w:b/>
          <w:bCs/>
          <w:sz w:val="20"/>
          <w:szCs w:val="20"/>
        </w:rPr>
        <w:t xml:space="preserve"> . .</w:t>
      </w:r>
    </w:p>
    <w:p w:rsidR="009F4143" w:rsidRPr="009F4143" w:rsidRDefault="009F4143" w:rsidP="009F4143">
      <w:pPr>
        <w:rPr>
          <w:rFonts w:ascii="Verdana" w:hAnsi="Verdana"/>
          <w:sz w:val="20"/>
          <w:szCs w:val="20"/>
        </w:rPr>
      </w:pPr>
      <w:r w:rsidRPr="009F4143">
        <w:rPr>
          <w:rFonts w:ascii="Verdana" w:hAnsi="Verdana"/>
          <w:sz w:val="20"/>
          <w:szCs w:val="20"/>
        </w:rPr>
        <w:lastRenderedPageBreak/>
        <w:t>I. a V.  </w:t>
      </w:r>
      <w:r w:rsidRPr="009F4143">
        <w:rPr>
          <w:rFonts w:ascii="Verdana" w:hAnsi="Verdana"/>
          <w:b/>
          <w:bCs/>
          <w:sz w:val="20"/>
          <w:szCs w:val="20"/>
        </w:rPr>
        <w:t>. . .</w:t>
      </w:r>
    </w:p>
    <w:p w:rsidR="009F4143" w:rsidRPr="009F4143" w:rsidRDefault="009F4143" w:rsidP="009F4143">
      <w:pPr>
        <w:rPr>
          <w:rFonts w:ascii="Verdana" w:hAnsi="Verdana"/>
          <w:sz w:val="20"/>
          <w:szCs w:val="20"/>
        </w:rPr>
      </w:pPr>
      <w:r w:rsidRPr="009F4143">
        <w:rPr>
          <w:rFonts w:ascii="Verdana" w:hAnsi="Verdana"/>
          <w:sz w:val="20"/>
          <w:szCs w:val="20"/>
        </w:rPr>
        <w:t>VI.   La Entidad Financiera, la sociedad autorizada para operar con modelos novedosos, o el Prestador de servicios al que se deberá notificar el Requerimiento de que se trate.</w:t>
      </w:r>
    </w:p>
    <w:p w:rsidR="009F4143" w:rsidRPr="009F4143" w:rsidRDefault="009F4143" w:rsidP="009F4143">
      <w:pPr>
        <w:rPr>
          <w:rFonts w:ascii="Verdana" w:hAnsi="Verdana"/>
          <w:sz w:val="20"/>
          <w:szCs w:val="20"/>
        </w:rPr>
      </w:pPr>
      <w:r w:rsidRPr="009F4143">
        <w:rPr>
          <w:rFonts w:ascii="Verdana" w:hAnsi="Verdana"/>
          <w:sz w:val="20"/>
          <w:szCs w:val="20"/>
        </w:rPr>
        <w:t>VII.  </w:t>
      </w:r>
      <w:r w:rsidRPr="009F4143">
        <w:rPr>
          <w:rFonts w:ascii="Verdana" w:hAnsi="Verdana"/>
          <w:b/>
          <w:bCs/>
          <w:sz w:val="20"/>
          <w:szCs w:val="20"/>
        </w:rPr>
        <w:t>. . .</w:t>
      </w:r>
      <w:r w:rsidRPr="009F4143">
        <w:rPr>
          <w:rFonts w:ascii="Verdana" w:hAnsi="Verdana"/>
          <w:sz w:val="20"/>
          <w:szCs w:val="20"/>
        </w:rPr>
        <w:t>"</w:t>
      </w:r>
    </w:p>
    <w:p w:rsidR="009F4143" w:rsidRPr="009F4143" w:rsidRDefault="009F4143" w:rsidP="009F4143">
      <w:pPr>
        <w:rPr>
          <w:rFonts w:ascii="Verdana" w:hAnsi="Verdana"/>
          <w:sz w:val="20"/>
          <w:szCs w:val="20"/>
        </w:rPr>
      </w:pPr>
      <w:r w:rsidRPr="009F4143">
        <w:rPr>
          <w:rFonts w:ascii="Verdana" w:hAnsi="Verdana"/>
          <w:sz w:val="20"/>
          <w:szCs w:val="20"/>
        </w:rPr>
        <w:t>"</w:t>
      </w:r>
      <w:r w:rsidRPr="009F4143">
        <w:rPr>
          <w:rFonts w:ascii="Verdana" w:hAnsi="Verdana"/>
          <w:b/>
          <w:bCs/>
          <w:sz w:val="20"/>
          <w:szCs w:val="20"/>
        </w:rPr>
        <w:t>Artículo 6.-</w:t>
      </w:r>
      <w:r w:rsidRPr="009F4143">
        <w:rPr>
          <w:rFonts w:ascii="Verdana" w:hAnsi="Verdana"/>
          <w:sz w:val="20"/>
          <w:szCs w:val="20"/>
        </w:rPr>
        <w:t> La información y documentación que las Autoridades soliciten a la Comisión, únicamente será la relativa a las actividades, operaciones y servicios a que se refieren los artículos 46 de la Ley de Instituciones de Crédito, 36 de la Ley de Ahorro y Crédito Popular, 40 de la Ley de Uniones de Crédito, 19 de la Ley para Regular las Actividades de las Sociedades Cooperativas de Ahorro y Préstamo, 5, 32, 39, 39 Bis, 40, 40 Bis, 44, 48, 49, 51 y 51 Bis 1 de la Ley de Fondos de Inversión, así como 15, 16, 19, 22, 25, 80 y 86 de la Ley para Regular las Instituciones de Tecnología Financiera."</w:t>
      </w:r>
    </w:p>
    <w:p w:rsidR="009F4143" w:rsidRPr="009F4143" w:rsidRDefault="009F4143" w:rsidP="009F4143">
      <w:pPr>
        <w:rPr>
          <w:rFonts w:ascii="Verdana" w:hAnsi="Verdana"/>
          <w:sz w:val="20"/>
          <w:szCs w:val="20"/>
        </w:rPr>
      </w:pPr>
      <w:r w:rsidRPr="009F4143">
        <w:rPr>
          <w:rFonts w:ascii="Verdana" w:hAnsi="Verdana"/>
          <w:sz w:val="20"/>
          <w:szCs w:val="20"/>
        </w:rPr>
        <w:t>"</w:t>
      </w:r>
      <w:r w:rsidRPr="009F4143">
        <w:rPr>
          <w:rFonts w:ascii="Verdana" w:hAnsi="Verdana"/>
          <w:b/>
          <w:bCs/>
          <w:sz w:val="20"/>
          <w:szCs w:val="20"/>
        </w:rPr>
        <w:t>Artículo 8.-</w:t>
      </w:r>
      <w:r w:rsidRPr="009F4143">
        <w:rPr>
          <w:rFonts w:ascii="Verdana" w:hAnsi="Verdana"/>
          <w:sz w:val="20"/>
          <w:szCs w:val="20"/>
        </w:rPr>
        <w:t> Las Autoridades podrán acompañar a sus Requerimientos los soportes documentales como copias simples de contratos, estados de cuenta, cheques, fichas de depósito o cualquier otro documento emitido por las Entidades Financieras, las sociedades autorizadas para operar con modelos novedosos, o por los Prestadores de servicios.</w:t>
      </w:r>
    </w:p>
    <w:p w:rsidR="009F4143" w:rsidRPr="009F4143" w:rsidRDefault="009F4143" w:rsidP="009F4143">
      <w:pPr>
        <w:rPr>
          <w:rFonts w:ascii="Verdana" w:hAnsi="Verdana"/>
          <w:sz w:val="20"/>
          <w:szCs w:val="20"/>
        </w:rPr>
      </w:pPr>
      <w:r w:rsidRPr="009F4143">
        <w:rPr>
          <w:rFonts w:ascii="Verdana" w:hAnsi="Verdana"/>
          <w:b/>
          <w:bCs/>
          <w:sz w:val="20"/>
          <w:szCs w:val="20"/>
        </w:rPr>
        <w:t>Artículo 9.</w:t>
      </w:r>
      <w:proofErr w:type="gramStart"/>
      <w:r w:rsidRPr="009F4143">
        <w:rPr>
          <w:rFonts w:ascii="Verdana" w:hAnsi="Verdana"/>
          <w:b/>
          <w:bCs/>
          <w:sz w:val="20"/>
          <w:szCs w:val="20"/>
        </w:rPr>
        <w:t>- .</w:t>
      </w:r>
      <w:proofErr w:type="gramEnd"/>
      <w:r w:rsidRPr="009F4143">
        <w:rPr>
          <w:rFonts w:ascii="Verdana" w:hAnsi="Verdana"/>
          <w:b/>
          <w:bCs/>
          <w:sz w:val="20"/>
          <w:szCs w:val="20"/>
        </w:rPr>
        <w:t xml:space="preserve"> . .</w:t>
      </w:r>
    </w:p>
    <w:p w:rsidR="009F4143" w:rsidRPr="009F4143" w:rsidRDefault="009F4143" w:rsidP="009F4143">
      <w:pPr>
        <w:rPr>
          <w:rFonts w:ascii="Verdana" w:hAnsi="Verdana"/>
          <w:sz w:val="20"/>
          <w:szCs w:val="20"/>
        </w:rPr>
      </w:pPr>
      <w:r w:rsidRPr="009F4143">
        <w:rPr>
          <w:rFonts w:ascii="Verdana" w:hAnsi="Verdana"/>
          <w:sz w:val="20"/>
          <w:szCs w:val="20"/>
        </w:rPr>
        <w:t>En respuesta a los Requerimientos, la Comisión entregará a las Autoridades la información y documentación proporcionada por las Entidades Financieras o las sociedades autorizadas para operar con modelos novedosos, de manera física, dispositivo electrónico o a través del SIARA."</w:t>
      </w:r>
    </w:p>
    <w:p w:rsidR="009F4143" w:rsidRPr="009F4143" w:rsidRDefault="009F4143" w:rsidP="009F4143">
      <w:pPr>
        <w:rPr>
          <w:rFonts w:ascii="Verdana" w:hAnsi="Verdana"/>
          <w:sz w:val="20"/>
          <w:szCs w:val="20"/>
        </w:rPr>
      </w:pPr>
      <w:r w:rsidRPr="009F4143">
        <w:rPr>
          <w:rFonts w:ascii="Verdana" w:hAnsi="Verdana"/>
          <w:sz w:val="20"/>
          <w:szCs w:val="20"/>
        </w:rPr>
        <w:t>"</w:t>
      </w:r>
      <w:r w:rsidRPr="009F4143">
        <w:rPr>
          <w:rFonts w:ascii="Verdana" w:hAnsi="Verdana"/>
          <w:b/>
          <w:bCs/>
          <w:sz w:val="20"/>
          <w:szCs w:val="20"/>
        </w:rPr>
        <w:t>Artículo 11.</w:t>
      </w:r>
      <w:proofErr w:type="gramStart"/>
      <w:r w:rsidRPr="009F4143">
        <w:rPr>
          <w:rFonts w:ascii="Verdana" w:hAnsi="Verdana"/>
          <w:b/>
          <w:bCs/>
          <w:sz w:val="20"/>
          <w:szCs w:val="20"/>
        </w:rPr>
        <w:t>- .</w:t>
      </w:r>
      <w:proofErr w:type="gramEnd"/>
      <w:r w:rsidRPr="009F4143">
        <w:rPr>
          <w:rFonts w:ascii="Verdana" w:hAnsi="Verdana"/>
          <w:b/>
          <w:bCs/>
          <w:sz w:val="20"/>
          <w:szCs w:val="20"/>
        </w:rPr>
        <w:t xml:space="preserve"> . .</w:t>
      </w:r>
    </w:p>
    <w:p w:rsidR="009F4143" w:rsidRPr="009F4143" w:rsidRDefault="009F4143" w:rsidP="009F4143">
      <w:pPr>
        <w:rPr>
          <w:rFonts w:ascii="Verdana" w:hAnsi="Verdana"/>
          <w:sz w:val="20"/>
          <w:szCs w:val="20"/>
        </w:rPr>
      </w:pPr>
      <w:r w:rsidRPr="009F4143">
        <w:rPr>
          <w:rFonts w:ascii="Verdana" w:hAnsi="Verdana"/>
          <w:sz w:val="20"/>
          <w:szCs w:val="20"/>
        </w:rPr>
        <w:t>Los Requerimientos se entregarán únicamente en original en el horario en que opera la oficialía de partes de la Comisión y, en el caso de los Requerimientos a que hace referencia el artículo 2, fracción V, inciso b) de las presentes disposiciones, deberán ser entregados por personal adscrito a la Autoridad que lo emite, el cual deberá acreditarse con ese carácter con su credencial de empleado vigente, o bien, por terceros distintos a su personal, siempre y cuando sean expresamente autorizados por la Autoridad en el propio Requerimiento, acreditando su identidad mediante identificación oficial vigente con fotografía. Lo anterior, a fin de prevenir y evitar la recepción de documentos apócrifos."</w:t>
      </w:r>
    </w:p>
    <w:p w:rsidR="009F4143" w:rsidRPr="009F4143" w:rsidRDefault="009F4143" w:rsidP="009F4143">
      <w:pPr>
        <w:rPr>
          <w:rFonts w:ascii="Verdana" w:hAnsi="Verdana"/>
          <w:sz w:val="20"/>
          <w:szCs w:val="20"/>
        </w:rPr>
      </w:pPr>
      <w:r w:rsidRPr="009F4143">
        <w:rPr>
          <w:rFonts w:ascii="Verdana" w:hAnsi="Verdana"/>
          <w:sz w:val="20"/>
          <w:szCs w:val="20"/>
        </w:rPr>
        <w:t>"</w:t>
      </w:r>
      <w:r w:rsidRPr="009F4143">
        <w:rPr>
          <w:rFonts w:ascii="Verdana" w:hAnsi="Verdana"/>
          <w:b/>
          <w:bCs/>
          <w:sz w:val="20"/>
          <w:szCs w:val="20"/>
        </w:rPr>
        <w:t>Artículo 17.</w:t>
      </w:r>
      <w:proofErr w:type="gramStart"/>
      <w:r w:rsidRPr="009F4143">
        <w:rPr>
          <w:rFonts w:ascii="Verdana" w:hAnsi="Verdana"/>
          <w:b/>
          <w:bCs/>
          <w:sz w:val="20"/>
          <w:szCs w:val="20"/>
        </w:rPr>
        <w:t>- .</w:t>
      </w:r>
      <w:proofErr w:type="gramEnd"/>
      <w:r w:rsidRPr="009F4143">
        <w:rPr>
          <w:rFonts w:ascii="Verdana" w:hAnsi="Verdana"/>
          <w:b/>
          <w:bCs/>
          <w:sz w:val="20"/>
          <w:szCs w:val="20"/>
        </w:rPr>
        <w:t xml:space="preserve"> . .</w:t>
      </w:r>
    </w:p>
    <w:p w:rsidR="009F4143" w:rsidRPr="009F4143" w:rsidRDefault="009F4143" w:rsidP="009F4143">
      <w:pPr>
        <w:rPr>
          <w:rFonts w:ascii="Verdana" w:hAnsi="Verdana"/>
          <w:sz w:val="20"/>
          <w:szCs w:val="20"/>
        </w:rPr>
      </w:pPr>
      <w:r w:rsidRPr="009F4143">
        <w:rPr>
          <w:rFonts w:ascii="Verdana" w:hAnsi="Verdana"/>
          <w:sz w:val="20"/>
          <w:szCs w:val="20"/>
        </w:rPr>
        <w:t>I.     </w:t>
      </w:r>
      <w:r w:rsidRPr="009F4143">
        <w:rPr>
          <w:rFonts w:ascii="Verdana" w:hAnsi="Verdana"/>
          <w:b/>
          <w:bCs/>
          <w:sz w:val="20"/>
          <w:szCs w:val="20"/>
        </w:rPr>
        <w:t>. . .</w:t>
      </w:r>
    </w:p>
    <w:p w:rsidR="009F4143" w:rsidRPr="009F4143" w:rsidRDefault="009F4143" w:rsidP="009F4143">
      <w:pPr>
        <w:rPr>
          <w:rFonts w:ascii="Verdana" w:hAnsi="Verdana"/>
          <w:sz w:val="20"/>
          <w:szCs w:val="20"/>
        </w:rPr>
      </w:pPr>
      <w:r w:rsidRPr="009F4143">
        <w:rPr>
          <w:rFonts w:ascii="Verdana" w:hAnsi="Verdana"/>
          <w:sz w:val="20"/>
          <w:szCs w:val="20"/>
        </w:rPr>
        <w:t>II.     La información y documentación requerida no se refiera a las actividades, operaciones o servicios realizados por las Entidades Financieras, las sociedades autorizadas para operar con modelos novedosos, o los Prestadores de servicios.</w:t>
      </w:r>
    </w:p>
    <w:p w:rsidR="009F4143" w:rsidRPr="009F4143" w:rsidRDefault="009F4143" w:rsidP="009F4143">
      <w:pPr>
        <w:rPr>
          <w:rFonts w:ascii="Verdana" w:hAnsi="Verdana"/>
          <w:sz w:val="20"/>
          <w:szCs w:val="20"/>
        </w:rPr>
      </w:pPr>
      <w:r w:rsidRPr="009F4143">
        <w:rPr>
          <w:rFonts w:ascii="Verdana" w:hAnsi="Verdana"/>
          <w:sz w:val="20"/>
          <w:szCs w:val="20"/>
        </w:rPr>
        <w:t xml:space="preserve">III. </w:t>
      </w:r>
      <w:proofErr w:type="gramStart"/>
      <w:r w:rsidRPr="009F4143">
        <w:rPr>
          <w:rFonts w:ascii="Verdana" w:hAnsi="Verdana"/>
          <w:sz w:val="20"/>
          <w:szCs w:val="20"/>
        </w:rPr>
        <w:t>a</w:t>
      </w:r>
      <w:proofErr w:type="gramEnd"/>
      <w:r w:rsidRPr="009F4143">
        <w:rPr>
          <w:rFonts w:ascii="Verdana" w:hAnsi="Verdana"/>
          <w:sz w:val="20"/>
          <w:szCs w:val="20"/>
        </w:rPr>
        <w:t xml:space="preserve"> VI.</w:t>
      </w:r>
      <w:r w:rsidRPr="009F4143">
        <w:rPr>
          <w:rFonts w:ascii="Verdana" w:hAnsi="Verdana"/>
          <w:b/>
          <w:bCs/>
          <w:sz w:val="20"/>
          <w:szCs w:val="20"/>
        </w:rPr>
        <w:t> . . .</w:t>
      </w:r>
      <w:r w:rsidRPr="009F4143">
        <w:rPr>
          <w:rFonts w:ascii="Verdana" w:hAnsi="Verdana"/>
          <w:sz w:val="20"/>
          <w:szCs w:val="20"/>
        </w:rPr>
        <w:t>"</w:t>
      </w:r>
    </w:p>
    <w:p w:rsidR="009F4143" w:rsidRPr="009F4143" w:rsidRDefault="009F4143" w:rsidP="009F4143">
      <w:pPr>
        <w:rPr>
          <w:rFonts w:ascii="Verdana" w:hAnsi="Verdana"/>
          <w:b/>
          <w:bCs/>
          <w:sz w:val="20"/>
          <w:szCs w:val="20"/>
        </w:rPr>
      </w:pPr>
      <w:r w:rsidRPr="009F4143">
        <w:rPr>
          <w:rFonts w:ascii="Verdana" w:hAnsi="Verdana"/>
          <w:b/>
          <w:bCs/>
          <w:sz w:val="20"/>
          <w:szCs w:val="20"/>
        </w:rPr>
        <w:lastRenderedPageBreak/>
        <w:t>TRANSITORIO</w:t>
      </w:r>
    </w:p>
    <w:p w:rsidR="009F4143" w:rsidRPr="009F4143" w:rsidRDefault="009F4143" w:rsidP="009F4143">
      <w:pPr>
        <w:rPr>
          <w:rFonts w:ascii="Verdana" w:hAnsi="Verdana"/>
          <w:sz w:val="20"/>
          <w:szCs w:val="20"/>
        </w:rPr>
      </w:pPr>
      <w:r w:rsidRPr="009F4143">
        <w:rPr>
          <w:rFonts w:ascii="Verdana" w:hAnsi="Verdana"/>
          <w:b/>
          <w:bCs/>
          <w:sz w:val="20"/>
          <w:szCs w:val="20"/>
        </w:rPr>
        <w:t>ÚNICO.- </w:t>
      </w:r>
      <w:r w:rsidRPr="009F4143">
        <w:rPr>
          <w:rFonts w:ascii="Verdana" w:hAnsi="Verdana"/>
          <w:sz w:val="20"/>
          <w:szCs w:val="20"/>
        </w:rPr>
        <w:t>La presente Resolución entrará en vigor el día siguiente al de su publicación en el Diario Oficial de la Federación.</w:t>
      </w:r>
    </w:p>
    <w:p w:rsidR="009F4143" w:rsidRPr="009F4143" w:rsidRDefault="009F4143" w:rsidP="009F4143">
      <w:pPr>
        <w:rPr>
          <w:rFonts w:ascii="Verdana" w:hAnsi="Verdana"/>
          <w:sz w:val="20"/>
          <w:szCs w:val="20"/>
        </w:rPr>
      </w:pPr>
      <w:r w:rsidRPr="009F4143">
        <w:rPr>
          <w:rFonts w:ascii="Verdana" w:hAnsi="Verdana"/>
          <w:sz w:val="20"/>
          <w:szCs w:val="20"/>
        </w:rPr>
        <w:t>Atentamente</w:t>
      </w:r>
    </w:p>
    <w:p w:rsidR="009F4143" w:rsidRPr="009F4143" w:rsidRDefault="009F4143" w:rsidP="009F4143">
      <w:pPr>
        <w:rPr>
          <w:rFonts w:ascii="Verdana" w:hAnsi="Verdana"/>
          <w:sz w:val="20"/>
          <w:szCs w:val="20"/>
        </w:rPr>
      </w:pPr>
      <w:r w:rsidRPr="009F4143">
        <w:rPr>
          <w:rFonts w:ascii="Verdana" w:hAnsi="Verdana"/>
          <w:sz w:val="20"/>
          <w:szCs w:val="20"/>
        </w:rPr>
        <w:t> </w:t>
      </w:r>
    </w:p>
    <w:p w:rsidR="009F4143" w:rsidRPr="009F4143" w:rsidRDefault="009F4143" w:rsidP="009F4143">
      <w:pPr>
        <w:rPr>
          <w:rFonts w:ascii="Verdana" w:hAnsi="Verdana"/>
        </w:rPr>
      </w:pPr>
      <w:r w:rsidRPr="009F4143">
        <w:rPr>
          <w:rFonts w:ascii="Verdana" w:hAnsi="Verdana"/>
          <w:sz w:val="20"/>
          <w:szCs w:val="20"/>
        </w:rPr>
        <w:t>Ciudad de México, a 28 de agosto de 2018.- El Presidente de la Comisión Nacional Bancaria y de Valores, </w:t>
      </w:r>
      <w:r w:rsidRPr="009F4143">
        <w:rPr>
          <w:rFonts w:ascii="Verdana" w:hAnsi="Verdana"/>
          <w:b/>
          <w:bCs/>
          <w:sz w:val="20"/>
          <w:szCs w:val="20"/>
        </w:rPr>
        <w:t>José Bernardo González Rosas</w:t>
      </w:r>
      <w:r w:rsidRPr="009F4143">
        <w:rPr>
          <w:rFonts w:ascii="Verdana" w:hAnsi="Verdana"/>
          <w:sz w:val="20"/>
          <w:szCs w:val="20"/>
        </w:rPr>
        <w:t>.- Rúbrica.</w:t>
      </w:r>
    </w:p>
    <w:p w:rsidR="00947648" w:rsidRPr="009F4143" w:rsidRDefault="00947648">
      <w:pPr>
        <w:rPr>
          <w:rFonts w:ascii="Verdana" w:hAnsi="Verdana"/>
        </w:rPr>
      </w:pPr>
    </w:p>
    <w:sectPr w:rsidR="00947648" w:rsidRPr="009F41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43"/>
    <w:rsid w:val="00947648"/>
    <w:rsid w:val="009F41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51935">
      <w:bodyDiv w:val="1"/>
      <w:marLeft w:val="0"/>
      <w:marRight w:val="0"/>
      <w:marTop w:val="0"/>
      <w:marBottom w:val="0"/>
      <w:divBdr>
        <w:top w:val="none" w:sz="0" w:space="0" w:color="auto"/>
        <w:left w:val="none" w:sz="0" w:space="0" w:color="auto"/>
        <w:bottom w:val="none" w:sz="0" w:space="0" w:color="auto"/>
        <w:right w:val="none" w:sz="0" w:space="0" w:color="auto"/>
      </w:divBdr>
      <w:divsChild>
        <w:div w:id="1832940196">
          <w:marLeft w:val="0"/>
          <w:marRight w:val="0"/>
          <w:marTop w:val="0"/>
          <w:marBottom w:val="101"/>
          <w:divBdr>
            <w:top w:val="none" w:sz="0" w:space="0" w:color="auto"/>
            <w:left w:val="none" w:sz="0" w:space="0" w:color="auto"/>
            <w:bottom w:val="none" w:sz="0" w:space="0" w:color="auto"/>
            <w:right w:val="none" w:sz="0" w:space="0" w:color="auto"/>
          </w:divBdr>
        </w:div>
        <w:div w:id="870074996">
          <w:marLeft w:val="0"/>
          <w:marRight w:val="0"/>
          <w:marTop w:val="101"/>
          <w:marBottom w:val="101"/>
          <w:divBdr>
            <w:top w:val="none" w:sz="0" w:space="0" w:color="auto"/>
            <w:left w:val="none" w:sz="0" w:space="0" w:color="auto"/>
            <w:bottom w:val="none" w:sz="0" w:space="0" w:color="auto"/>
            <w:right w:val="none" w:sz="0" w:space="0" w:color="auto"/>
          </w:divBdr>
        </w:div>
        <w:div w:id="1609001992">
          <w:marLeft w:val="0"/>
          <w:marRight w:val="0"/>
          <w:marTop w:val="0"/>
          <w:marBottom w:val="101"/>
          <w:divBdr>
            <w:top w:val="none" w:sz="0" w:space="0" w:color="auto"/>
            <w:left w:val="none" w:sz="0" w:space="0" w:color="auto"/>
            <w:bottom w:val="none" w:sz="0" w:space="0" w:color="auto"/>
            <w:right w:val="none" w:sz="0" w:space="0" w:color="auto"/>
          </w:divBdr>
        </w:div>
        <w:div w:id="131218819">
          <w:marLeft w:val="0"/>
          <w:marRight w:val="0"/>
          <w:marTop w:val="0"/>
          <w:marBottom w:val="101"/>
          <w:divBdr>
            <w:top w:val="none" w:sz="0" w:space="0" w:color="auto"/>
            <w:left w:val="none" w:sz="0" w:space="0" w:color="auto"/>
            <w:bottom w:val="none" w:sz="0" w:space="0" w:color="auto"/>
            <w:right w:val="none" w:sz="0" w:space="0" w:color="auto"/>
          </w:divBdr>
        </w:div>
        <w:div w:id="1515265467">
          <w:marLeft w:val="0"/>
          <w:marRight w:val="0"/>
          <w:marTop w:val="0"/>
          <w:marBottom w:val="101"/>
          <w:divBdr>
            <w:top w:val="none" w:sz="0" w:space="0" w:color="auto"/>
            <w:left w:val="none" w:sz="0" w:space="0" w:color="auto"/>
            <w:bottom w:val="none" w:sz="0" w:space="0" w:color="auto"/>
            <w:right w:val="none" w:sz="0" w:space="0" w:color="auto"/>
          </w:divBdr>
        </w:div>
        <w:div w:id="294021256">
          <w:marLeft w:val="0"/>
          <w:marRight w:val="0"/>
          <w:marTop w:val="101"/>
          <w:marBottom w:val="101"/>
          <w:divBdr>
            <w:top w:val="none" w:sz="0" w:space="0" w:color="auto"/>
            <w:left w:val="none" w:sz="0" w:space="0" w:color="auto"/>
            <w:bottom w:val="none" w:sz="0" w:space="0" w:color="auto"/>
            <w:right w:val="none" w:sz="0" w:space="0" w:color="auto"/>
          </w:divBdr>
        </w:div>
        <w:div w:id="1238323453">
          <w:marLeft w:val="0"/>
          <w:marRight w:val="0"/>
          <w:marTop w:val="0"/>
          <w:marBottom w:val="101"/>
          <w:divBdr>
            <w:top w:val="none" w:sz="0" w:space="0" w:color="auto"/>
            <w:left w:val="none" w:sz="0" w:space="0" w:color="auto"/>
            <w:bottom w:val="none" w:sz="0" w:space="0" w:color="auto"/>
            <w:right w:val="none" w:sz="0" w:space="0" w:color="auto"/>
          </w:divBdr>
        </w:div>
        <w:div w:id="130565258">
          <w:marLeft w:val="0"/>
          <w:marRight w:val="0"/>
          <w:marTop w:val="0"/>
          <w:marBottom w:val="101"/>
          <w:divBdr>
            <w:top w:val="none" w:sz="0" w:space="0" w:color="auto"/>
            <w:left w:val="none" w:sz="0" w:space="0" w:color="auto"/>
            <w:bottom w:val="none" w:sz="0" w:space="0" w:color="auto"/>
            <w:right w:val="none" w:sz="0" w:space="0" w:color="auto"/>
          </w:divBdr>
        </w:div>
        <w:div w:id="1967615494">
          <w:marLeft w:val="720"/>
          <w:marRight w:val="0"/>
          <w:marTop w:val="0"/>
          <w:marBottom w:val="101"/>
          <w:divBdr>
            <w:top w:val="none" w:sz="0" w:space="0" w:color="auto"/>
            <w:left w:val="none" w:sz="0" w:space="0" w:color="auto"/>
            <w:bottom w:val="none" w:sz="0" w:space="0" w:color="auto"/>
            <w:right w:val="none" w:sz="0" w:space="0" w:color="auto"/>
          </w:divBdr>
        </w:div>
        <w:div w:id="2048404687">
          <w:marLeft w:val="720"/>
          <w:marRight w:val="0"/>
          <w:marTop w:val="0"/>
          <w:marBottom w:val="101"/>
          <w:divBdr>
            <w:top w:val="none" w:sz="0" w:space="0" w:color="auto"/>
            <w:left w:val="none" w:sz="0" w:space="0" w:color="auto"/>
            <w:bottom w:val="none" w:sz="0" w:space="0" w:color="auto"/>
            <w:right w:val="none" w:sz="0" w:space="0" w:color="auto"/>
          </w:divBdr>
        </w:div>
        <w:div w:id="121459281">
          <w:marLeft w:val="720"/>
          <w:marRight w:val="0"/>
          <w:marTop w:val="0"/>
          <w:marBottom w:val="101"/>
          <w:divBdr>
            <w:top w:val="none" w:sz="0" w:space="0" w:color="auto"/>
            <w:left w:val="none" w:sz="0" w:space="0" w:color="auto"/>
            <w:bottom w:val="none" w:sz="0" w:space="0" w:color="auto"/>
            <w:right w:val="none" w:sz="0" w:space="0" w:color="auto"/>
          </w:divBdr>
        </w:div>
        <w:div w:id="223950587">
          <w:marLeft w:val="720"/>
          <w:marRight w:val="0"/>
          <w:marTop w:val="0"/>
          <w:marBottom w:val="101"/>
          <w:divBdr>
            <w:top w:val="none" w:sz="0" w:space="0" w:color="auto"/>
            <w:left w:val="none" w:sz="0" w:space="0" w:color="auto"/>
            <w:bottom w:val="none" w:sz="0" w:space="0" w:color="auto"/>
            <w:right w:val="none" w:sz="0" w:space="0" w:color="auto"/>
          </w:divBdr>
        </w:div>
        <w:div w:id="1594701664">
          <w:marLeft w:val="720"/>
          <w:marRight w:val="0"/>
          <w:marTop w:val="0"/>
          <w:marBottom w:val="101"/>
          <w:divBdr>
            <w:top w:val="none" w:sz="0" w:space="0" w:color="auto"/>
            <w:left w:val="none" w:sz="0" w:space="0" w:color="auto"/>
            <w:bottom w:val="none" w:sz="0" w:space="0" w:color="auto"/>
            <w:right w:val="none" w:sz="0" w:space="0" w:color="auto"/>
          </w:divBdr>
        </w:div>
        <w:div w:id="1742211521">
          <w:marLeft w:val="0"/>
          <w:marRight w:val="0"/>
          <w:marTop w:val="0"/>
          <w:marBottom w:val="101"/>
          <w:divBdr>
            <w:top w:val="none" w:sz="0" w:space="0" w:color="auto"/>
            <w:left w:val="none" w:sz="0" w:space="0" w:color="auto"/>
            <w:bottom w:val="none" w:sz="0" w:space="0" w:color="auto"/>
            <w:right w:val="none" w:sz="0" w:space="0" w:color="auto"/>
          </w:divBdr>
        </w:div>
        <w:div w:id="1094545665">
          <w:marLeft w:val="0"/>
          <w:marRight w:val="0"/>
          <w:marTop w:val="0"/>
          <w:marBottom w:val="101"/>
          <w:divBdr>
            <w:top w:val="none" w:sz="0" w:space="0" w:color="auto"/>
            <w:left w:val="none" w:sz="0" w:space="0" w:color="auto"/>
            <w:bottom w:val="none" w:sz="0" w:space="0" w:color="auto"/>
            <w:right w:val="none" w:sz="0" w:space="0" w:color="auto"/>
          </w:divBdr>
        </w:div>
        <w:div w:id="1338850876">
          <w:marLeft w:val="720"/>
          <w:marRight w:val="0"/>
          <w:marTop w:val="0"/>
          <w:marBottom w:val="101"/>
          <w:divBdr>
            <w:top w:val="none" w:sz="0" w:space="0" w:color="auto"/>
            <w:left w:val="none" w:sz="0" w:space="0" w:color="auto"/>
            <w:bottom w:val="none" w:sz="0" w:space="0" w:color="auto"/>
            <w:right w:val="none" w:sz="0" w:space="0" w:color="auto"/>
          </w:divBdr>
        </w:div>
        <w:div w:id="439225282">
          <w:marLeft w:val="720"/>
          <w:marRight w:val="0"/>
          <w:marTop w:val="0"/>
          <w:marBottom w:val="101"/>
          <w:divBdr>
            <w:top w:val="none" w:sz="0" w:space="0" w:color="auto"/>
            <w:left w:val="none" w:sz="0" w:space="0" w:color="auto"/>
            <w:bottom w:val="none" w:sz="0" w:space="0" w:color="auto"/>
            <w:right w:val="none" w:sz="0" w:space="0" w:color="auto"/>
          </w:divBdr>
        </w:div>
        <w:div w:id="510680279">
          <w:marLeft w:val="720"/>
          <w:marRight w:val="0"/>
          <w:marTop w:val="0"/>
          <w:marBottom w:val="101"/>
          <w:divBdr>
            <w:top w:val="none" w:sz="0" w:space="0" w:color="auto"/>
            <w:left w:val="none" w:sz="0" w:space="0" w:color="auto"/>
            <w:bottom w:val="none" w:sz="0" w:space="0" w:color="auto"/>
            <w:right w:val="none" w:sz="0" w:space="0" w:color="auto"/>
          </w:divBdr>
        </w:div>
        <w:div w:id="926697399">
          <w:marLeft w:val="720"/>
          <w:marRight w:val="0"/>
          <w:marTop w:val="0"/>
          <w:marBottom w:val="101"/>
          <w:divBdr>
            <w:top w:val="none" w:sz="0" w:space="0" w:color="auto"/>
            <w:left w:val="none" w:sz="0" w:space="0" w:color="auto"/>
            <w:bottom w:val="none" w:sz="0" w:space="0" w:color="auto"/>
            <w:right w:val="none" w:sz="0" w:space="0" w:color="auto"/>
          </w:divBdr>
        </w:div>
        <w:div w:id="1206285229">
          <w:marLeft w:val="720"/>
          <w:marRight w:val="0"/>
          <w:marTop w:val="0"/>
          <w:marBottom w:val="101"/>
          <w:divBdr>
            <w:top w:val="none" w:sz="0" w:space="0" w:color="auto"/>
            <w:left w:val="none" w:sz="0" w:space="0" w:color="auto"/>
            <w:bottom w:val="none" w:sz="0" w:space="0" w:color="auto"/>
            <w:right w:val="none" w:sz="0" w:space="0" w:color="auto"/>
          </w:divBdr>
        </w:div>
        <w:div w:id="1744570210">
          <w:marLeft w:val="1080"/>
          <w:marRight w:val="0"/>
          <w:marTop w:val="0"/>
          <w:marBottom w:val="101"/>
          <w:divBdr>
            <w:top w:val="none" w:sz="0" w:space="0" w:color="auto"/>
            <w:left w:val="none" w:sz="0" w:space="0" w:color="auto"/>
            <w:bottom w:val="none" w:sz="0" w:space="0" w:color="auto"/>
            <w:right w:val="none" w:sz="0" w:space="0" w:color="auto"/>
          </w:divBdr>
        </w:div>
        <w:div w:id="868639696">
          <w:marLeft w:val="1080"/>
          <w:marRight w:val="0"/>
          <w:marTop w:val="0"/>
          <w:marBottom w:val="101"/>
          <w:divBdr>
            <w:top w:val="none" w:sz="0" w:space="0" w:color="auto"/>
            <w:left w:val="none" w:sz="0" w:space="0" w:color="auto"/>
            <w:bottom w:val="none" w:sz="0" w:space="0" w:color="auto"/>
            <w:right w:val="none" w:sz="0" w:space="0" w:color="auto"/>
          </w:divBdr>
        </w:div>
        <w:div w:id="1235118500">
          <w:marLeft w:val="1080"/>
          <w:marRight w:val="0"/>
          <w:marTop w:val="0"/>
          <w:marBottom w:val="101"/>
          <w:divBdr>
            <w:top w:val="none" w:sz="0" w:space="0" w:color="auto"/>
            <w:left w:val="none" w:sz="0" w:space="0" w:color="auto"/>
            <w:bottom w:val="none" w:sz="0" w:space="0" w:color="auto"/>
            <w:right w:val="none" w:sz="0" w:space="0" w:color="auto"/>
          </w:divBdr>
        </w:div>
        <w:div w:id="1554779817">
          <w:marLeft w:val="0"/>
          <w:marRight w:val="0"/>
          <w:marTop w:val="0"/>
          <w:marBottom w:val="101"/>
          <w:divBdr>
            <w:top w:val="none" w:sz="0" w:space="0" w:color="auto"/>
            <w:left w:val="none" w:sz="0" w:space="0" w:color="auto"/>
            <w:bottom w:val="none" w:sz="0" w:space="0" w:color="auto"/>
            <w:right w:val="none" w:sz="0" w:space="0" w:color="auto"/>
          </w:divBdr>
        </w:div>
        <w:div w:id="1983073277">
          <w:marLeft w:val="0"/>
          <w:marRight w:val="0"/>
          <w:marTop w:val="0"/>
          <w:marBottom w:val="101"/>
          <w:divBdr>
            <w:top w:val="none" w:sz="0" w:space="0" w:color="auto"/>
            <w:left w:val="none" w:sz="0" w:space="0" w:color="auto"/>
            <w:bottom w:val="none" w:sz="0" w:space="0" w:color="auto"/>
            <w:right w:val="none" w:sz="0" w:space="0" w:color="auto"/>
          </w:divBdr>
        </w:div>
        <w:div w:id="885801195">
          <w:marLeft w:val="900"/>
          <w:marRight w:val="0"/>
          <w:marTop w:val="0"/>
          <w:marBottom w:val="101"/>
          <w:divBdr>
            <w:top w:val="none" w:sz="0" w:space="0" w:color="auto"/>
            <w:left w:val="none" w:sz="0" w:space="0" w:color="auto"/>
            <w:bottom w:val="none" w:sz="0" w:space="0" w:color="auto"/>
            <w:right w:val="none" w:sz="0" w:space="0" w:color="auto"/>
          </w:divBdr>
        </w:div>
        <w:div w:id="166214511">
          <w:marLeft w:val="720"/>
          <w:marRight w:val="0"/>
          <w:marTop w:val="0"/>
          <w:marBottom w:val="101"/>
          <w:divBdr>
            <w:top w:val="none" w:sz="0" w:space="0" w:color="auto"/>
            <w:left w:val="none" w:sz="0" w:space="0" w:color="auto"/>
            <w:bottom w:val="none" w:sz="0" w:space="0" w:color="auto"/>
            <w:right w:val="none" w:sz="0" w:space="0" w:color="auto"/>
          </w:divBdr>
        </w:div>
        <w:div w:id="740173751">
          <w:marLeft w:val="0"/>
          <w:marRight w:val="0"/>
          <w:marTop w:val="0"/>
          <w:marBottom w:val="101"/>
          <w:divBdr>
            <w:top w:val="none" w:sz="0" w:space="0" w:color="auto"/>
            <w:left w:val="none" w:sz="0" w:space="0" w:color="auto"/>
            <w:bottom w:val="none" w:sz="0" w:space="0" w:color="auto"/>
            <w:right w:val="none" w:sz="0" w:space="0" w:color="auto"/>
          </w:divBdr>
        </w:div>
        <w:div w:id="995298811">
          <w:marLeft w:val="0"/>
          <w:marRight w:val="0"/>
          <w:marTop w:val="0"/>
          <w:marBottom w:val="101"/>
          <w:divBdr>
            <w:top w:val="none" w:sz="0" w:space="0" w:color="auto"/>
            <w:left w:val="none" w:sz="0" w:space="0" w:color="auto"/>
            <w:bottom w:val="none" w:sz="0" w:space="0" w:color="auto"/>
            <w:right w:val="none" w:sz="0" w:space="0" w:color="auto"/>
          </w:divBdr>
        </w:div>
        <w:div w:id="1743717530">
          <w:marLeft w:val="0"/>
          <w:marRight w:val="0"/>
          <w:marTop w:val="0"/>
          <w:marBottom w:val="101"/>
          <w:divBdr>
            <w:top w:val="none" w:sz="0" w:space="0" w:color="auto"/>
            <w:left w:val="none" w:sz="0" w:space="0" w:color="auto"/>
            <w:bottom w:val="none" w:sz="0" w:space="0" w:color="auto"/>
            <w:right w:val="none" w:sz="0" w:space="0" w:color="auto"/>
          </w:divBdr>
        </w:div>
        <w:div w:id="40442106">
          <w:marLeft w:val="0"/>
          <w:marRight w:val="0"/>
          <w:marTop w:val="0"/>
          <w:marBottom w:val="101"/>
          <w:divBdr>
            <w:top w:val="none" w:sz="0" w:space="0" w:color="auto"/>
            <w:left w:val="none" w:sz="0" w:space="0" w:color="auto"/>
            <w:bottom w:val="none" w:sz="0" w:space="0" w:color="auto"/>
            <w:right w:val="none" w:sz="0" w:space="0" w:color="auto"/>
          </w:divBdr>
        </w:div>
        <w:div w:id="766776981">
          <w:marLeft w:val="0"/>
          <w:marRight w:val="0"/>
          <w:marTop w:val="0"/>
          <w:marBottom w:val="101"/>
          <w:divBdr>
            <w:top w:val="none" w:sz="0" w:space="0" w:color="auto"/>
            <w:left w:val="none" w:sz="0" w:space="0" w:color="auto"/>
            <w:bottom w:val="none" w:sz="0" w:space="0" w:color="auto"/>
            <w:right w:val="none" w:sz="0" w:space="0" w:color="auto"/>
          </w:divBdr>
        </w:div>
        <w:div w:id="1512525047">
          <w:marLeft w:val="0"/>
          <w:marRight w:val="0"/>
          <w:marTop w:val="0"/>
          <w:marBottom w:val="101"/>
          <w:divBdr>
            <w:top w:val="none" w:sz="0" w:space="0" w:color="auto"/>
            <w:left w:val="none" w:sz="0" w:space="0" w:color="auto"/>
            <w:bottom w:val="none" w:sz="0" w:space="0" w:color="auto"/>
            <w:right w:val="none" w:sz="0" w:space="0" w:color="auto"/>
          </w:divBdr>
        </w:div>
        <w:div w:id="1322584777">
          <w:marLeft w:val="0"/>
          <w:marRight w:val="0"/>
          <w:marTop w:val="0"/>
          <w:marBottom w:val="101"/>
          <w:divBdr>
            <w:top w:val="none" w:sz="0" w:space="0" w:color="auto"/>
            <w:left w:val="none" w:sz="0" w:space="0" w:color="auto"/>
            <w:bottom w:val="none" w:sz="0" w:space="0" w:color="auto"/>
            <w:right w:val="none" w:sz="0" w:space="0" w:color="auto"/>
          </w:divBdr>
        </w:div>
        <w:div w:id="977300117">
          <w:marLeft w:val="0"/>
          <w:marRight w:val="0"/>
          <w:marTop w:val="0"/>
          <w:marBottom w:val="101"/>
          <w:divBdr>
            <w:top w:val="none" w:sz="0" w:space="0" w:color="auto"/>
            <w:left w:val="none" w:sz="0" w:space="0" w:color="auto"/>
            <w:bottom w:val="none" w:sz="0" w:space="0" w:color="auto"/>
            <w:right w:val="none" w:sz="0" w:space="0" w:color="auto"/>
          </w:divBdr>
        </w:div>
        <w:div w:id="30032310">
          <w:marLeft w:val="720"/>
          <w:marRight w:val="0"/>
          <w:marTop w:val="0"/>
          <w:marBottom w:val="101"/>
          <w:divBdr>
            <w:top w:val="none" w:sz="0" w:space="0" w:color="auto"/>
            <w:left w:val="none" w:sz="0" w:space="0" w:color="auto"/>
            <w:bottom w:val="none" w:sz="0" w:space="0" w:color="auto"/>
            <w:right w:val="none" w:sz="0" w:space="0" w:color="auto"/>
          </w:divBdr>
        </w:div>
        <w:div w:id="42214597">
          <w:marLeft w:val="720"/>
          <w:marRight w:val="0"/>
          <w:marTop w:val="0"/>
          <w:marBottom w:val="101"/>
          <w:divBdr>
            <w:top w:val="none" w:sz="0" w:space="0" w:color="auto"/>
            <w:left w:val="none" w:sz="0" w:space="0" w:color="auto"/>
            <w:bottom w:val="none" w:sz="0" w:space="0" w:color="auto"/>
            <w:right w:val="none" w:sz="0" w:space="0" w:color="auto"/>
          </w:divBdr>
        </w:div>
        <w:div w:id="686833666">
          <w:marLeft w:val="0"/>
          <w:marRight w:val="0"/>
          <w:marTop w:val="0"/>
          <w:marBottom w:val="101"/>
          <w:divBdr>
            <w:top w:val="none" w:sz="0" w:space="0" w:color="auto"/>
            <w:left w:val="none" w:sz="0" w:space="0" w:color="auto"/>
            <w:bottom w:val="none" w:sz="0" w:space="0" w:color="auto"/>
            <w:right w:val="none" w:sz="0" w:space="0" w:color="auto"/>
          </w:divBdr>
        </w:div>
        <w:div w:id="654140960">
          <w:marLeft w:val="0"/>
          <w:marRight w:val="0"/>
          <w:marTop w:val="101"/>
          <w:marBottom w:val="101"/>
          <w:divBdr>
            <w:top w:val="none" w:sz="0" w:space="0" w:color="auto"/>
            <w:left w:val="none" w:sz="0" w:space="0" w:color="auto"/>
            <w:bottom w:val="none" w:sz="0" w:space="0" w:color="auto"/>
            <w:right w:val="none" w:sz="0" w:space="0" w:color="auto"/>
          </w:divBdr>
        </w:div>
        <w:div w:id="148980547">
          <w:marLeft w:val="0"/>
          <w:marRight w:val="0"/>
          <w:marTop w:val="0"/>
          <w:marBottom w:val="101"/>
          <w:divBdr>
            <w:top w:val="none" w:sz="0" w:space="0" w:color="auto"/>
            <w:left w:val="none" w:sz="0" w:space="0" w:color="auto"/>
            <w:bottom w:val="none" w:sz="0" w:space="0" w:color="auto"/>
            <w:right w:val="none" w:sz="0" w:space="0" w:color="auto"/>
          </w:divBdr>
        </w:div>
        <w:div w:id="106046807">
          <w:marLeft w:val="0"/>
          <w:marRight w:val="0"/>
          <w:marTop w:val="0"/>
          <w:marBottom w:val="101"/>
          <w:divBdr>
            <w:top w:val="none" w:sz="0" w:space="0" w:color="auto"/>
            <w:left w:val="none" w:sz="0" w:space="0" w:color="auto"/>
            <w:bottom w:val="none" w:sz="0" w:space="0" w:color="auto"/>
            <w:right w:val="none" w:sz="0" w:space="0" w:color="auto"/>
          </w:divBdr>
        </w:div>
        <w:div w:id="315375098">
          <w:marLeft w:val="0"/>
          <w:marRight w:val="0"/>
          <w:marTop w:val="0"/>
          <w:marBottom w:val="101"/>
          <w:divBdr>
            <w:top w:val="none" w:sz="0" w:space="0" w:color="auto"/>
            <w:left w:val="none" w:sz="0" w:space="0" w:color="auto"/>
            <w:bottom w:val="none" w:sz="0" w:space="0" w:color="auto"/>
            <w:right w:val="none" w:sz="0" w:space="0" w:color="auto"/>
          </w:divBdr>
        </w:div>
        <w:div w:id="1058285067">
          <w:marLeft w:val="0"/>
          <w:marRight w:val="0"/>
          <w:marTop w:val="0"/>
          <w:marBottom w:val="101"/>
          <w:divBdr>
            <w:top w:val="none" w:sz="0" w:space="0" w:color="auto"/>
            <w:left w:val="none" w:sz="0" w:space="0" w:color="auto"/>
            <w:bottom w:val="none" w:sz="0" w:space="0" w:color="auto"/>
            <w:right w:val="none" w:sz="0" w:space="0" w:color="auto"/>
          </w:divBdr>
        </w:div>
      </w:divsChild>
    </w:div>
    <w:div w:id="1966081928">
      <w:bodyDiv w:val="1"/>
      <w:marLeft w:val="0"/>
      <w:marRight w:val="0"/>
      <w:marTop w:val="0"/>
      <w:marBottom w:val="0"/>
      <w:divBdr>
        <w:top w:val="none" w:sz="0" w:space="0" w:color="auto"/>
        <w:left w:val="none" w:sz="0" w:space="0" w:color="auto"/>
        <w:bottom w:val="none" w:sz="0" w:space="0" w:color="auto"/>
        <w:right w:val="none" w:sz="0" w:space="0" w:color="auto"/>
      </w:divBdr>
      <w:divsChild>
        <w:div w:id="1456482682">
          <w:marLeft w:val="0"/>
          <w:marRight w:val="0"/>
          <w:marTop w:val="0"/>
          <w:marBottom w:val="101"/>
          <w:divBdr>
            <w:top w:val="none" w:sz="0" w:space="0" w:color="auto"/>
            <w:left w:val="none" w:sz="0" w:space="0" w:color="auto"/>
            <w:bottom w:val="none" w:sz="0" w:space="0" w:color="auto"/>
            <w:right w:val="none" w:sz="0" w:space="0" w:color="auto"/>
          </w:divBdr>
        </w:div>
        <w:div w:id="1100951604">
          <w:marLeft w:val="0"/>
          <w:marRight w:val="0"/>
          <w:marTop w:val="101"/>
          <w:marBottom w:val="101"/>
          <w:divBdr>
            <w:top w:val="none" w:sz="0" w:space="0" w:color="auto"/>
            <w:left w:val="none" w:sz="0" w:space="0" w:color="auto"/>
            <w:bottom w:val="none" w:sz="0" w:space="0" w:color="auto"/>
            <w:right w:val="none" w:sz="0" w:space="0" w:color="auto"/>
          </w:divBdr>
        </w:div>
        <w:div w:id="1680236103">
          <w:marLeft w:val="0"/>
          <w:marRight w:val="0"/>
          <w:marTop w:val="0"/>
          <w:marBottom w:val="101"/>
          <w:divBdr>
            <w:top w:val="none" w:sz="0" w:space="0" w:color="auto"/>
            <w:left w:val="none" w:sz="0" w:space="0" w:color="auto"/>
            <w:bottom w:val="none" w:sz="0" w:space="0" w:color="auto"/>
            <w:right w:val="none" w:sz="0" w:space="0" w:color="auto"/>
          </w:divBdr>
        </w:div>
        <w:div w:id="1710766522">
          <w:marLeft w:val="0"/>
          <w:marRight w:val="0"/>
          <w:marTop w:val="0"/>
          <w:marBottom w:val="101"/>
          <w:divBdr>
            <w:top w:val="none" w:sz="0" w:space="0" w:color="auto"/>
            <w:left w:val="none" w:sz="0" w:space="0" w:color="auto"/>
            <w:bottom w:val="none" w:sz="0" w:space="0" w:color="auto"/>
            <w:right w:val="none" w:sz="0" w:space="0" w:color="auto"/>
          </w:divBdr>
        </w:div>
        <w:div w:id="709262676">
          <w:marLeft w:val="0"/>
          <w:marRight w:val="0"/>
          <w:marTop w:val="0"/>
          <w:marBottom w:val="101"/>
          <w:divBdr>
            <w:top w:val="none" w:sz="0" w:space="0" w:color="auto"/>
            <w:left w:val="none" w:sz="0" w:space="0" w:color="auto"/>
            <w:bottom w:val="none" w:sz="0" w:space="0" w:color="auto"/>
            <w:right w:val="none" w:sz="0" w:space="0" w:color="auto"/>
          </w:divBdr>
        </w:div>
        <w:div w:id="482746228">
          <w:marLeft w:val="0"/>
          <w:marRight w:val="0"/>
          <w:marTop w:val="101"/>
          <w:marBottom w:val="101"/>
          <w:divBdr>
            <w:top w:val="none" w:sz="0" w:space="0" w:color="auto"/>
            <w:left w:val="none" w:sz="0" w:space="0" w:color="auto"/>
            <w:bottom w:val="none" w:sz="0" w:space="0" w:color="auto"/>
            <w:right w:val="none" w:sz="0" w:space="0" w:color="auto"/>
          </w:divBdr>
        </w:div>
        <w:div w:id="626274447">
          <w:marLeft w:val="0"/>
          <w:marRight w:val="0"/>
          <w:marTop w:val="0"/>
          <w:marBottom w:val="101"/>
          <w:divBdr>
            <w:top w:val="none" w:sz="0" w:space="0" w:color="auto"/>
            <w:left w:val="none" w:sz="0" w:space="0" w:color="auto"/>
            <w:bottom w:val="none" w:sz="0" w:space="0" w:color="auto"/>
            <w:right w:val="none" w:sz="0" w:space="0" w:color="auto"/>
          </w:divBdr>
        </w:div>
        <w:div w:id="61562950">
          <w:marLeft w:val="0"/>
          <w:marRight w:val="0"/>
          <w:marTop w:val="0"/>
          <w:marBottom w:val="101"/>
          <w:divBdr>
            <w:top w:val="none" w:sz="0" w:space="0" w:color="auto"/>
            <w:left w:val="none" w:sz="0" w:space="0" w:color="auto"/>
            <w:bottom w:val="none" w:sz="0" w:space="0" w:color="auto"/>
            <w:right w:val="none" w:sz="0" w:space="0" w:color="auto"/>
          </w:divBdr>
        </w:div>
        <w:div w:id="298658788">
          <w:marLeft w:val="720"/>
          <w:marRight w:val="0"/>
          <w:marTop w:val="0"/>
          <w:marBottom w:val="101"/>
          <w:divBdr>
            <w:top w:val="none" w:sz="0" w:space="0" w:color="auto"/>
            <w:left w:val="none" w:sz="0" w:space="0" w:color="auto"/>
            <w:bottom w:val="none" w:sz="0" w:space="0" w:color="auto"/>
            <w:right w:val="none" w:sz="0" w:space="0" w:color="auto"/>
          </w:divBdr>
        </w:div>
        <w:div w:id="1618485083">
          <w:marLeft w:val="720"/>
          <w:marRight w:val="0"/>
          <w:marTop w:val="0"/>
          <w:marBottom w:val="101"/>
          <w:divBdr>
            <w:top w:val="none" w:sz="0" w:space="0" w:color="auto"/>
            <w:left w:val="none" w:sz="0" w:space="0" w:color="auto"/>
            <w:bottom w:val="none" w:sz="0" w:space="0" w:color="auto"/>
            <w:right w:val="none" w:sz="0" w:space="0" w:color="auto"/>
          </w:divBdr>
        </w:div>
        <w:div w:id="1718777751">
          <w:marLeft w:val="720"/>
          <w:marRight w:val="0"/>
          <w:marTop w:val="0"/>
          <w:marBottom w:val="101"/>
          <w:divBdr>
            <w:top w:val="none" w:sz="0" w:space="0" w:color="auto"/>
            <w:left w:val="none" w:sz="0" w:space="0" w:color="auto"/>
            <w:bottom w:val="none" w:sz="0" w:space="0" w:color="auto"/>
            <w:right w:val="none" w:sz="0" w:space="0" w:color="auto"/>
          </w:divBdr>
        </w:div>
        <w:div w:id="48043184">
          <w:marLeft w:val="720"/>
          <w:marRight w:val="0"/>
          <w:marTop w:val="0"/>
          <w:marBottom w:val="101"/>
          <w:divBdr>
            <w:top w:val="none" w:sz="0" w:space="0" w:color="auto"/>
            <w:left w:val="none" w:sz="0" w:space="0" w:color="auto"/>
            <w:bottom w:val="none" w:sz="0" w:space="0" w:color="auto"/>
            <w:right w:val="none" w:sz="0" w:space="0" w:color="auto"/>
          </w:divBdr>
        </w:div>
        <w:div w:id="552041522">
          <w:marLeft w:val="720"/>
          <w:marRight w:val="0"/>
          <w:marTop w:val="0"/>
          <w:marBottom w:val="101"/>
          <w:divBdr>
            <w:top w:val="none" w:sz="0" w:space="0" w:color="auto"/>
            <w:left w:val="none" w:sz="0" w:space="0" w:color="auto"/>
            <w:bottom w:val="none" w:sz="0" w:space="0" w:color="auto"/>
            <w:right w:val="none" w:sz="0" w:space="0" w:color="auto"/>
          </w:divBdr>
        </w:div>
        <w:div w:id="1176962770">
          <w:marLeft w:val="0"/>
          <w:marRight w:val="0"/>
          <w:marTop w:val="0"/>
          <w:marBottom w:val="101"/>
          <w:divBdr>
            <w:top w:val="none" w:sz="0" w:space="0" w:color="auto"/>
            <w:left w:val="none" w:sz="0" w:space="0" w:color="auto"/>
            <w:bottom w:val="none" w:sz="0" w:space="0" w:color="auto"/>
            <w:right w:val="none" w:sz="0" w:space="0" w:color="auto"/>
          </w:divBdr>
        </w:div>
        <w:div w:id="664359899">
          <w:marLeft w:val="0"/>
          <w:marRight w:val="0"/>
          <w:marTop w:val="0"/>
          <w:marBottom w:val="101"/>
          <w:divBdr>
            <w:top w:val="none" w:sz="0" w:space="0" w:color="auto"/>
            <w:left w:val="none" w:sz="0" w:space="0" w:color="auto"/>
            <w:bottom w:val="none" w:sz="0" w:space="0" w:color="auto"/>
            <w:right w:val="none" w:sz="0" w:space="0" w:color="auto"/>
          </w:divBdr>
        </w:div>
        <w:div w:id="713314068">
          <w:marLeft w:val="720"/>
          <w:marRight w:val="0"/>
          <w:marTop w:val="0"/>
          <w:marBottom w:val="101"/>
          <w:divBdr>
            <w:top w:val="none" w:sz="0" w:space="0" w:color="auto"/>
            <w:left w:val="none" w:sz="0" w:space="0" w:color="auto"/>
            <w:bottom w:val="none" w:sz="0" w:space="0" w:color="auto"/>
            <w:right w:val="none" w:sz="0" w:space="0" w:color="auto"/>
          </w:divBdr>
        </w:div>
        <w:div w:id="1527716692">
          <w:marLeft w:val="720"/>
          <w:marRight w:val="0"/>
          <w:marTop w:val="0"/>
          <w:marBottom w:val="101"/>
          <w:divBdr>
            <w:top w:val="none" w:sz="0" w:space="0" w:color="auto"/>
            <w:left w:val="none" w:sz="0" w:space="0" w:color="auto"/>
            <w:bottom w:val="none" w:sz="0" w:space="0" w:color="auto"/>
            <w:right w:val="none" w:sz="0" w:space="0" w:color="auto"/>
          </w:divBdr>
        </w:div>
        <w:div w:id="2121220901">
          <w:marLeft w:val="720"/>
          <w:marRight w:val="0"/>
          <w:marTop w:val="0"/>
          <w:marBottom w:val="101"/>
          <w:divBdr>
            <w:top w:val="none" w:sz="0" w:space="0" w:color="auto"/>
            <w:left w:val="none" w:sz="0" w:space="0" w:color="auto"/>
            <w:bottom w:val="none" w:sz="0" w:space="0" w:color="auto"/>
            <w:right w:val="none" w:sz="0" w:space="0" w:color="auto"/>
          </w:divBdr>
        </w:div>
        <w:div w:id="287587013">
          <w:marLeft w:val="720"/>
          <w:marRight w:val="0"/>
          <w:marTop w:val="0"/>
          <w:marBottom w:val="101"/>
          <w:divBdr>
            <w:top w:val="none" w:sz="0" w:space="0" w:color="auto"/>
            <w:left w:val="none" w:sz="0" w:space="0" w:color="auto"/>
            <w:bottom w:val="none" w:sz="0" w:space="0" w:color="auto"/>
            <w:right w:val="none" w:sz="0" w:space="0" w:color="auto"/>
          </w:divBdr>
        </w:div>
        <w:div w:id="1005397716">
          <w:marLeft w:val="720"/>
          <w:marRight w:val="0"/>
          <w:marTop w:val="0"/>
          <w:marBottom w:val="101"/>
          <w:divBdr>
            <w:top w:val="none" w:sz="0" w:space="0" w:color="auto"/>
            <w:left w:val="none" w:sz="0" w:space="0" w:color="auto"/>
            <w:bottom w:val="none" w:sz="0" w:space="0" w:color="auto"/>
            <w:right w:val="none" w:sz="0" w:space="0" w:color="auto"/>
          </w:divBdr>
        </w:div>
        <w:div w:id="905186092">
          <w:marLeft w:val="1080"/>
          <w:marRight w:val="0"/>
          <w:marTop w:val="0"/>
          <w:marBottom w:val="101"/>
          <w:divBdr>
            <w:top w:val="none" w:sz="0" w:space="0" w:color="auto"/>
            <w:left w:val="none" w:sz="0" w:space="0" w:color="auto"/>
            <w:bottom w:val="none" w:sz="0" w:space="0" w:color="auto"/>
            <w:right w:val="none" w:sz="0" w:space="0" w:color="auto"/>
          </w:divBdr>
        </w:div>
        <w:div w:id="811752461">
          <w:marLeft w:val="1080"/>
          <w:marRight w:val="0"/>
          <w:marTop w:val="0"/>
          <w:marBottom w:val="101"/>
          <w:divBdr>
            <w:top w:val="none" w:sz="0" w:space="0" w:color="auto"/>
            <w:left w:val="none" w:sz="0" w:space="0" w:color="auto"/>
            <w:bottom w:val="none" w:sz="0" w:space="0" w:color="auto"/>
            <w:right w:val="none" w:sz="0" w:space="0" w:color="auto"/>
          </w:divBdr>
        </w:div>
        <w:div w:id="189147234">
          <w:marLeft w:val="1080"/>
          <w:marRight w:val="0"/>
          <w:marTop w:val="0"/>
          <w:marBottom w:val="101"/>
          <w:divBdr>
            <w:top w:val="none" w:sz="0" w:space="0" w:color="auto"/>
            <w:left w:val="none" w:sz="0" w:space="0" w:color="auto"/>
            <w:bottom w:val="none" w:sz="0" w:space="0" w:color="auto"/>
            <w:right w:val="none" w:sz="0" w:space="0" w:color="auto"/>
          </w:divBdr>
        </w:div>
        <w:div w:id="996301898">
          <w:marLeft w:val="0"/>
          <w:marRight w:val="0"/>
          <w:marTop w:val="0"/>
          <w:marBottom w:val="101"/>
          <w:divBdr>
            <w:top w:val="none" w:sz="0" w:space="0" w:color="auto"/>
            <w:left w:val="none" w:sz="0" w:space="0" w:color="auto"/>
            <w:bottom w:val="none" w:sz="0" w:space="0" w:color="auto"/>
            <w:right w:val="none" w:sz="0" w:space="0" w:color="auto"/>
          </w:divBdr>
        </w:div>
        <w:div w:id="861668195">
          <w:marLeft w:val="0"/>
          <w:marRight w:val="0"/>
          <w:marTop w:val="0"/>
          <w:marBottom w:val="101"/>
          <w:divBdr>
            <w:top w:val="none" w:sz="0" w:space="0" w:color="auto"/>
            <w:left w:val="none" w:sz="0" w:space="0" w:color="auto"/>
            <w:bottom w:val="none" w:sz="0" w:space="0" w:color="auto"/>
            <w:right w:val="none" w:sz="0" w:space="0" w:color="auto"/>
          </w:divBdr>
        </w:div>
        <w:div w:id="104036397">
          <w:marLeft w:val="900"/>
          <w:marRight w:val="0"/>
          <w:marTop w:val="0"/>
          <w:marBottom w:val="101"/>
          <w:divBdr>
            <w:top w:val="none" w:sz="0" w:space="0" w:color="auto"/>
            <w:left w:val="none" w:sz="0" w:space="0" w:color="auto"/>
            <w:bottom w:val="none" w:sz="0" w:space="0" w:color="auto"/>
            <w:right w:val="none" w:sz="0" w:space="0" w:color="auto"/>
          </w:divBdr>
        </w:div>
        <w:div w:id="1885671568">
          <w:marLeft w:val="720"/>
          <w:marRight w:val="0"/>
          <w:marTop w:val="0"/>
          <w:marBottom w:val="101"/>
          <w:divBdr>
            <w:top w:val="none" w:sz="0" w:space="0" w:color="auto"/>
            <w:left w:val="none" w:sz="0" w:space="0" w:color="auto"/>
            <w:bottom w:val="none" w:sz="0" w:space="0" w:color="auto"/>
            <w:right w:val="none" w:sz="0" w:space="0" w:color="auto"/>
          </w:divBdr>
        </w:div>
        <w:div w:id="1896965008">
          <w:marLeft w:val="0"/>
          <w:marRight w:val="0"/>
          <w:marTop w:val="0"/>
          <w:marBottom w:val="101"/>
          <w:divBdr>
            <w:top w:val="none" w:sz="0" w:space="0" w:color="auto"/>
            <w:left w:val="none" w:sz="0" w:space="0" w:color="auto"/>
            <w:bottom w:val="none" w:sz="0" w:space="0" w:color="auto"/>
            <w:right w:val="none" w:sz="0" w:space="0" w:color="auto"/>
          </w:divBdr>
        </w:div>
        <w:div w:id="1046485224">
          <w:marLeft w:val="0"/>
          <w:marRight w:val="0"/>
          <w:marTop w:val="0"/>
          <w:marBottom w:val="101"/>
          <w:divBdr>
            <w:top w:val="none" w:sz="0" w:space="0" w:color="auto"/>
            <w:left w:val="none" w:sz="0" w:space="0" w:color="auto"/>
            <w:bottom w:val="none" w:sz="0" w:space="0" w:color="auto"/>
            <w:right w:val="none" w:sz="0" w:space="0" w:color="auto"/>
          </w:divBdr>
        </w:div>
        <w:div w:id="54085914">
          <w:marLeft w:val="0"/>
          <w:marRight w:val="0"/>
          <w:marTop w:val="0"/>
          <w:marBottom w:val="101"/>
          <w:divBdr>
            <w:top w:val="none" w:sz="0" w:space="0" w:color="auto"/>
            <w:left w:val="none" w:sz="0" w:space="0" w:color="auto"/>
            <w:bottom w:val="none" w:sz="0" w:space="0" w:color="auto"/>
            <w:right w:val="none" w:sz="0" w:space="0" w:color="auto"/>
          </w:divBdr>
        </w:div>
        <w:div w:id="2066759879">
          <w:marLeft w:val="0"/>
          <w:marRight w:val="0"/>
          <w:marTop w:val="0"/>
          <w:marBottom w:val="101"/>
          <w:divBdr>
            <w:top w:val="none" w:sz="0" w:space="0" w:color="auto"/>
            <w:left w:val="none" w:sz="0" w:space="0" w:color="auto"/>
            <w:bottom w:val="none" w:sz="0" w:space="0" w:color="auto"/>
            <w:right w:val="none" w:sz="0" w:space="0" w:color="auto"/>
          </w:divBdr>
        </w:div>
        <w:div w:id="1074089324">
          <w:marLeft w:val="0"/>
          <w:marRight w:val="0"/>
          <w:marTop w:val="0"/>
          <w:marBottom w:val="101"/>
          <w:divBdr>
            <w:top w:val="none" w:sz="0" w:space="0" w:color="auto"/>
            <w:left w:val="none" w:sz="0" w:space="0" w:color="auto"/>
            <w:bottom w:val="none" w:sz="0" w:space="0" w:color="auto"/>
            <w:right w:val="none" w:sz="0" w:space="0" w:color="auto"/>
          </w:divBdr>
        </w:div>
        <w:div w:id="1196234100">
          <w:marLeft w:val="0"/>
          <w:marRight w:val="0"/>
          <w:marTop w:val="0"/>
          <w:marBottom w:val="101"/>
          <w:divBdr>
            <w:top w:val="none" w:sz="0" w:space="0" w:color="auto"/>
            <w:left w:val="none" w:sz="0" w:space="0" w:color="auto"/>
            <w:bottom w:val="none" w:sz="0" w:space="0" w:color="auto"/>
            <w:right w:val="none" w:sz="0" w:space="0" w:color="auto"/>
          </w:divBdr>
        </w:div>
        <w:div w:id="574515343">
          <w:marLeft w:val="0"/>
          <w:marRight w:val="0"/>
          <w:marTop w:val="0"/>
          <w:marBottom w:val="101"/>
          <w:divBdr>
            <w:top w:val="none" w:sz="0" w:space="0" w:color="auto"/>
            <w:left w:val="none" w:sz="0" w:space="0" w:color="auto"/>
            <w:bottom w:val="none" w:sz="0" w:space="0" w:color="auto"/>
            <w:right w:val="none" w:sz="0" w:space="0" w:color="auto"/>
          </w:divBdr>
        </w:div>
        <w:div w:id="1463036372">
          <w:marLeft w:val="0"/>
          <w:marRight w:val="0"/>
          <w:marTop w:val="0"/>
          <w:marBottom w:val="101"/>
          <w:divBdr>
            <w:top w:val="none" w:sz="0" w:space="0" w:color="auto"/>
            <w:left w:val="none" w:sz="0" w:space="0" w:color="auto"/>
            <w:bottom w:val="none" w:sz="0" w:space="0" w:color="auto"/>
            <w:right w:val="none" w:sz="0" w:space="0" w:color="auto"/>
          </w:divBdr>
        </w:div>
        <w:div w:id="1089698863">
          <w:marLeft w:val="720"/>
          <w:marRight w:val="0"/>
          <w:marTop w:val="0"/>
          <w:marBottom w:val="101"/>
          <w:divBdr>
            <w:top w:val="none" w:sz="0" w:space="0" w:color="auto"/>
            <w:left w:val="none" w:sz="0" w:space="0" w:color="auto"/>
            <w:bottom w:val="none" w:sz="0" w:space="0" w:color="auto"/>
            <w:right w:val="none" w:sz="0" w:space="0" w:color="auto"/>
          </w:divBdr>
        </w:div>
        <w:div w:id="901404021">
          <w:marLeft w:val="720"/>
          <w:marRight w:val="0"/>
          <w:marTop w:val="0"/>
          <w:marBottom w:val="101"/>
          <w:divBdr>
            <w:top w:val="none" w:sz="0" w:space="0" w:color="auto"/>
            <w:left w:val="none" w:sz="0" w:space="0" w:color="auto"/>
            <w:bottom w:val="none" w:sz="0" w:space="0" w:color="auto"/>
            <w:right w:val="none" w:sz="0" w:space="0" w:color="auto"/>
          </w:divBdr>
        </w:div>
        <w:div w:id="451634671">
          <w:marLeft w:val="0"/>
          <w:marRight w:val="0"/>
          <w:marTop w:val="0"/>
          <w:marBottom w:val="101"/>
          <w:divBdr>
            <w:top w:val="none" w:sz="0" w:space="0" w:color="auto"/>
            <w:left w:val="none" w:sz="0" w:space="0" w:color="auto"/>
            <w:bottom w:val="none" w:sz="0" w:space="0" w:color="auto"/>
            <w:right w:val="none" w:sz="0" w:space="0" w:color="auto"/>
          </w:divBdr>
        </w:div>
        <w:div w:id="746273126">
          <w:marLeft w:val="0"/>
          <w:marRight w:val="0"/>
          <w:marTop w:val="101"/>
          <w:marBottom w:val="101"/>
          <w:divBdr>
            <w:top w:val="none" w:sz="0" w:space="0" w:color="auto"/>
            <w:left w:val="none" w:sz="0" w:space="0" w:color="auto"/>
            <w:bottom w:val="none" w:sz="0" w:space="0" w:color="auto"/>
            <w:right w:val="none" w:sz="0" w:space="0" w:color="auto"/>
          </w:divBdr>
        </w:div>
        <w:div w:id="622076110">
          <w:marLeft w:val="0"/>
          <w:marRight w:val="0"/>
          <w:marTop w:val="0"/>
          <w:marBottom w:val="101"/>
          <w:divBdr>
            <w:top w:val="none" w:sz="0" w:space="0" w:color="auto"/>
            <w:left w:val="none" w:sz="0" w:space="0" w:color="auto"/>
            <w:bottom w:val="none" w:sz="0" w:space="0" w:color="auto"/>
            <w:right w:val="none" w:sz="0" w:space="0" w:color="auto"/>
          </w:divBdr>
        </w:div>
        <w:div w:id="173962296">
          <w:marLeft w:val="0"/>
          <w:marRight w:val="0"/>
          <w:marTop w:val="0"/>
          <w:marBottom w:val="101"/>
          <w:divBdr>
            <w:top w:val="none" w:sz="0" w:space="0" w:color="auto"/>
            <w:left w:val="none" w:sz="0" w:space="0" w:color="auto"/>
            <w:bottom w:val="none" w:sz="0" w:space="0" w:color="auto"/>
            <w:right w:val="none" w:sz="0" w:space="0" w:color="auto"/>
          </w:divBdr>
        </w:div>
        <w:div w:id="839393987">
          <w:marLeft w:val="0"/>
          <w:marRight w:val="0"/>
          <w:marTop w:val="0"/>
          <w:marBottom w:val="101"/>
          <w:divBdr>
            <w:top w:val="none" w:sz="0" w:space="0" w:color="auto"/>
            <w:left w:val="none" w:sz="0" w:space="0" w:color="auto"/>
            <w:bottom w:val="none" w:sz="0" w:space="0" w:color="auto"/>
            <w:right w:val="none" w:sz="0" w:space="0" w:color="auto"/>
          </w:divBdr>
        </w:div>
        <w:div w:id="7751732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1674</Words>
  <Characters>9213</Characters>
  <Application>Microsoft Office Word</Application>
  <DocSecurity>0</DocSecurity>
  <Lines>76</Lines>
  <Paragraphs>21</Paragraphs>
  <ScaleCrop>false</ScaleCrop>
  <Company>Microsoft</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1</cp:revision>
  <dcterms:created xsi:type="dcterms:W3CDTF">2018-09-04T14:39:00Z</dcterms:created>
  <dcterms:modified xsi:type="dcterms:W3CDTF">2018-09-04T15:19:00Z</dcterms:modified>
</cp:coreProperties>
</file>