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por el que se hace del conocimiento del público en general los días del año 2024, en los cuales la Comisión Nacional para la Protección y Defensa de los Usuarios de Servicios Financieros cerrará sus puertas y suspenderá operaciones, mismos que serán considerados como inhábiles para efectos de los actos y procedimientos administrativos substanciados por la Comisión Nacional</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27 de diciembre de 2023)</w:t>
      </w:r>
    </w:p>
    <w:p w:rsidR="00000000" w:rsidDel="00000000" w:rsidP="00000000" w:rsidRDefault="00000000" w:rsidRPr="00000000" w14:paraId="00000003">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16 y 26, fracciones I y XX de la Ley de Protección y Defensa al Usuario de Servicios Financieros, y 12, primer párrafo del Estatuto Orgánico de la CONDUSEF, y</w:t>
      </w:r>
    </w:p>
    <w:p w:rsidR="00000000" w:rsidDel="00000000" w:rsidP="00000000" w:rsidRDefault="00000000" w:rsidRPr="00000000" w14:paraId="00000005">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w:t>
      </w:r>
    </w:p>
    <w:p w:rsidR="00000000" w:rsidDel="00000000" w:rsidP="00000000" w:rsidRDefault="00000000" w:rsidRPr="00000000" w14:paraId="00000006">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I.     Que la Constitución Política de los Estados Unidos Mexicanos consagra el principio de seguridad jurídica que deben tener los particulares frente a las actuaciones de la autoridad, por lo que es fundamental brindarles certeza a los procedimientos que en ejercicio de sus atribuciones realiza la CONDUSEF.</w:t>
      </w:r>
    </w:p>
    <w:p w:rsidR="00000000" w:rsidDel="00000000" w:rsidP="00000000" w:rsidRDefault="00000000" w:rsidRPr="00000000" w14:paraId="00000007">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II.     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la Ley Federal de Procedimiento Administrativo y la Ley de Adquisiciones, Arrendamientos y Servicios del Sector Público, establecen la forma y plazos en los que la CONDUSEF debe substanciar los procedimientos administrativos de su competencia, así como en los que los usuarios de servicios financieros pueden presentar sus promociones y solicitudes o recibir notificaciones. Asimismo, que dentro de dichos plazos y términos no se deben considerar los días inhábiles;</w:t>
      </w:r>
    </w:p>
    <w:p w:rsidR="00000000" w:rsidDel="00000000" w:rsidP="00000000" w:rsidRDefault="00000000" w:rsidRPr="00000000" w14:paraId="00000008">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III.    Que el artículo 28, primer y segundo párrafo de la Ley Federal de Procedimiento Administrativo, establece que las actuaciones y diligencias administrativas se practicarán en días y horas hábiles; que no se considerarán días hábiles los sábados, los domingos, el 1o. de enero; 5 de febrero; 21 de marzo; 1o. de mayo; 5 de mayo; 1o. y 16 de septiembre; 20 de noviembre; 1o. de diciembre de cada seis años, cuando corresponda a la transmisión del Poder Ejecutivo Federal, y el 25 de diciembre, así como los días en que tengan vacaciones generales las autoridades competentes o aquellos en que se suspendan las labores, los que se harán del conocimiento público mediante acuerdo del titular de la Dependencia respectiva, que se publicará en el Diario Oficial de la Federación.</w:t>
      </w:r>
    </w:p>
    <w:p w:rsidR="00000000" w:rsidDel="00000000" w:rsidP="00000000" w:rsidRDefault="00000000" w:rsidRPr="00000000" w14:paraId="00000009">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IV</w:t>
      </w:r>
      <w:r w:rsidDel="00000000" w:rsidR="00000000" w:rsidRPr="00000000">
        <w:rPr>
          <w:b w:val="1"/>
          <w:color w:val="2f2f2f"/>
          <w:sz w:val="20"/>
          <w:szCs w:val="20"/>
          <w:rtl w:val="0"/>
        </w:rPr>
        <w:t xml:space="preserve">.</w:t>
      </w:r>
      <w:r w:rsidDel="00000000" w:rsidR="00000000" w:rsidRPr="00000000">
        <w:rPr>
          <w:color w:val="2f2f2f"/>
          <w:sz w:val="20"/>
          <w:szCs w:val="20"/>
          <w:rtl w:val="0"/>
        </w:rPr>
        <w:t xml:space="preserve">   Que el artículo 9 de la Ley de Protección y Defensa al Usuario de Servicios Financieros, establece que las relaciones de trabajo entre la CONDUSEF y sus trabajadores se regularán por la Ley Federal de los Trabajadores al Servicio del Estado, Reglamentaria del Apartado B) del artículo 123 Constitucional.</w:t>
      </w:r>
    </w:p>
    <w:p w:rsidR="00000000" w:rsidDel="00000000" w:rsidP="00000000" w:rsidRDefault="00000000" w:rsidRPr="00000000" w14:paraId="0000000A">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V.    Que el artículo 29 de la Ley Federal de los Trabajadores al Servicio del Estado, Reglamentaria del Apartado B) del Artículo 123 Constitucional, establece que son días de descanso obligatorio los que señale el calendario oficial y el que determinen las Leyes Federales y Locales Electorales, en el caso de elecciones ordinarias, para efectuar la jornada electoral.</w:t>
      </w:r>
    </w:p>
    <w:p w:rsidR="00000000" w:rsidDel="00000000" w:rsidP="00000000" w:rsidRDefault="00000000" w:rsidRPr="00000000" w14:paraId="0000000B">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VI.   Que con el objeto de que esta Comisión Nacional lleve a cabo la revisión y en su caso cierre de los trámites concluidos, es necesario contar con dos periodos de días inhábiles que permitirán concluir administrativamente los expedientes aperturados durante el primer y segundo semestre del año respectivamente.</w:t>
      </w:r>
    </w:p>
    <w:p w:rsidR="00000000" w:rsidDel="00000000" w:rsidP="00000000" w:rsidRDefault="00000000" w:rsidRPr="00000000" w14:paraId="0000000C">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VII.   Que el Calendario Oficial señala que son días de descanso obligatorio para los trabajadores de las dependencias y entidades de la Administración Pública Federal, el primer lunes de febrero en conmemoración del 5 de febrero; el tercer lunes de marzo en conmemoración del 21 de marzo; el 1o. de mayo; el 5 de mayo; el 16 de septiembre; el tercer lunes de noviembre en conmemoración del 20 de noviembre; el 1o. de diciembre de cada seis años, con motivo de la transmisión del Poder Ejecutivo Federal y el 25 de diciembre.</w:t>
      </w:r>
    </w:p>
    <w:p w:rsidR="00000000" w:rsidDel="00000000" w:rsidP="00000000" w:rsidRDefault="00000000" w:rsidRPr="00000000" w14:paraId="0000000D">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VIII.  Que el numeral 76, fracciones II y IV de las Disposiciones en las materias de Recursos Humanos y del Servicio Profesional de Carrera, así como el Manual Administrativo de Aplicación General en materia de Recursos Humanos y Organización y el Manual del Servicio Profesional de Carrera, dispone que para el disfrute de vacaciones, días de descanso obligatorios y días en que se suspendan labores, se observarán los días de descanso obligatorio que determinan las leyes aplicables y los previstos por la Secretaría de Gobernación en el calendario oficial y que la suspensión de labores de las Instituciones se deberá publicar en el Diario Oficial de la Federación, con el fin de no afectar la prestación de servicios al público.</w:t>
      </w:r>
    </w:p>
    <w:p w:rsidR="00000000" w:rsidDel="00000000" w:rsidP="00000000" w:rsidRDefault="00000000" w:rsidRPr="00000000" w14:paraId="0000000E">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IX.   Que la CONDUSEF debe considerar en la atención de las solicitudes de acceso a la información pública y de datos personales, los días inhábiles que determine el Instituto Nacional de Transparencia, Acceso a la Información y Protección de Datos Personales, a través de la publicación correspondiente en el Diario Oficial de la Federación, que determina el calendario oficial de días inhábiles de ese Instituto., el citado Instituto.</w:t>
      </w:r>
    </w:p>
    <w:p w:rsidR="00000000" w:rsidDel="00000000" w:rsidP="00000000" w:rsidRDefault="00000000" w:rsidRPr="00000000" w14:paraId="0000000F">
      <w:pPr>
        <w:shd w:fill="ffffff" w:val="clear"/>
        <w:spacing w:after="100" w:lineRule="auto"/>
        <w:ind w:left="1160" w:hanging="440"/>
        <w:jc w:val="both"/>
        <w:rPr>
          <w:color w:val="2f2f2f"/>
          <w:sz w:val="20"/>
          <w:szCs w:val="20"/>
        </w:rPr>
      </w:pPr>
      <w:r w:rsidDel="00000000" w:rsidR="00000000" w:rsidRPr="00000000">
        <w:rPr>
          <w:color w:val="2f2f2f"/>
          <w:sz w:val="20"/>
          <w:szCs w:val="20"/>
          <w:rtl w:val="0"/>
        </w:rPr>
        <w:t xml:space="preserve">X.    Que con el fin de brindar certeza y seguridad jurídica tanto a los usuarios, como a las Instituciones Financieras que tienen asuntos en trámite ante la CONDUSEF, así como a todo el público en general, respecto de los días en que no corren los plazos y términos referentes a los procedimientos administrativos correspondientes, es necesario hacer del conocimiento del público en general los días que se considerarán inhábiles en el año 2024, he tenido a bien expedir el siguiente:</w:t>
      </w:r>
    </w:p>
    <w:p w:rsidR="00000000" w:rsidDel="00000000" w:rsidP="00000000" w:rsidRDefault="00000000" w:rsidRPr="00000000" w14:paraId="00000010">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 POR EL QUE SE HACE DEL CONOCIMIENTO DEL PÚBLICO EN GENERAL LOS DÍAS DEL</w:t>
      </w:r>
    </w:p>
    <w:p w:rsidR="00000000" w:rsidDel="00000000" w:rsidP="00000000" w:rsidRDefault="00000000" w:rsidRPr="00000000" w14:paraId="00000011">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AÑO 2024, EN LOS CUALES LA COMISIÓN NACIONAL PARA LA PROTECCIÓN Y DEFENSA DE LOS</w:t>
      </w:r>
    </w:p>
    <w:p w:rsidR="00000000" w:rsidDel="00000000" w:rsidP="00000000" w:rsidRDefault="00000000" w:rsidRPr="00000000" w14:paraId="00000012">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USUARIOS DE SERVICIOS FINANCIEROS CERRARÁ SUS PUERTAS Y SUSPENDERÁ OPERACIONES,</w:t>
      </w:r>
    </w:p>
    <w:p w:rsidR="00000000" w:rsidDel="00000000" w:rsidP="00000000" w:rsidRDefault="00000000" w:rsidRPr="00000000" w14:paraId="00000013">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MISMOS QUE SERÁN CONSIDERADOS COMO INHÁBILES PARA EFECTOS DE LOS ACTOS Y</w:t>
      </w:r>
    </w:p>
    <w:p w:rsidR="00000000" w:rsidDel="00000000" w:rsidP="00000000" w:rsidRDefault="00000000" w:rsidRPr="00000000" w14:paraId="00000014">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PROCEDIMIENTOS ADMINISTRATIVOS SUBSTANCIADOS POR LA COMISIÓN NACIONAL</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PRIMERO.-</w:t>
      </w:r>
      <w:r w:rsidDel="00000000" w:rsidR="00000000" w:rsidRPr="00000000">
        <w:rPr>
          <w:color w:val="2f2f2f"/>
          <w:sz w:val="20"/>
          <w:szCs w:val="20"/>
          <w:rtl w:val="0"/>
        </w:rPr>
        <w:t xml:space="preserve"> Para efectos de los actos y procedimientos administrativos que en ejercicio de sus atribuciones realizan las distintas unidades administrativas de la CONDUSEF, se considerarán como inhábiles, en razón de que la CONDUSEF cerrará sus puertas y suspenderá operaciones además de los días sábados y domingos, los siguientes días del año 2024:</w:t>
      </w:r>
    </w:p>
    <w:p w:rsidR="00000000" w:rsidDel="00000000" w:rsidP="00000000" w:rsidRDefault="00000000" w:rsidRPr="00000000" w14:paraId="00000016">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w:t>
      </w:r>
      <w:r w:rsidDel="00000000" w:rsidR="00000000" w:rsidRPr="00000000">
        <w:rPr>
          <w:color w:val="2f2f2f"/>
          <w:sz w:val="20"/>
          <w:szCs w:val="20"/>
          <w:rtl w:val="0"/>
        </w:rPr>
        <w:t xml:space="preserve">     El 1 y 2 de enero;</w:t>
      </w:r>
    </w:p>
    <w:p w:rsidR="00000000" w:rsidDel="00000000" w:rsidP="00000000" w:rsidRDefault="00000000" w:rsidRPr="00000000" w14:paraId="00000017">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w:t>
      </w:r>
      <w:r w:rsidDel="00000000" w:rsidR="00000000" w:rsidRPr="00000000">
        <w:rPr>
          <w:color w:val="2f2f2f"/>
          <w:sz w:val="20"/>
          <w:szCs w:val="20"/>
          <w:rtl w:val="0"/>
        </w:rPr>
        <w:t xml:space="preserve">     El 5 de febrero;</w:t>
      </w:r>
    </w:p>
    <w:p w:rsidR="00000000" w:rsidDel="00000000" w:rsidP="00000000" w:rsidRDefault="00000000" w:rsidRPr="00000000" w14:paraId="00000018">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III.</w:t>
      </w:r>
      <w:r w:rsidDel="00000000" w:rsidR="00000000" w:rsidRPr="00000000">
        <w:rPr>
          <w:color w:val="2f2f2f"/>
          <w:sz w:val="20"/>
          <w:szCs w:val="20"/>
          <w:rtl w:val="0"/>
        </w:rPr>
        <w:t xml:space="preserve">    El 18 de marzo, en conmemoración del 21 de marzo;</w:t>
      </w:r>
    </w:p>
    <w:p w:rsidR="00000000" w:rsidDel="00000000" w:rsidP="00000000" w:rsidRDefault="00000000" w:rsidRPr="00000000" w14:paraId="00000019">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IV.</w:t>
      </w:r>
      <w:r w:rsidDel="00000000" w:rsidR="00000000" w:rsidRPr="00000000">
        <w:rPr>
          <w:color w:val="2f2f2f"/>
          <w:sz w:val="20"/>
          <w:szCs w:val="20"/>
          <w:rtl w:val="0"/>
        </w:rPr>
        <w:t xml:space="preserve">   El 28 y 29 de marzo;</w:t>
      </w:r>
    </w:p>
    <w:p w:rsidR="00000000" w:rsidDel="00000000" w:rsidP="00000000" w:rsidRDefault="00000000" w:rsidRPr="00000000" w14:paraId="0000001A">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w:t>
      </w:r>
      <w:r w:rsidDel="00000000" w:rsidR="00000000" w:rsidRPr="00000000">
        <w:rPr>
          <w:color w:val="2f2f2f"/>
          <w:sz w:val="20"/>
          <w:szCs w:val="20"/>
          <w:rtl w:val="0"/>
        </w:rPr>
        <w:t xml:space="preserve">    El 1 de mayo;</w:t>
      </w:r>
    </w:p>
    <w:p w:rsidR="00000000" w:rsidDel="00000000" w:rsidP="00000000" w:rsidRDefault="00000000" w:rsidRPr="00000000" w14:paraId="0000001B">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VI.</w:t>
      </w:r>
      <w:r w:rsidDel="00000000" w:rsidR="00000000" w:rsidRPr="00000000">
        <w:rPr>
          <w:color w:val="2f2f2f"/>
          <w:sz w:val="20"/>
          <w:szCs w:val="20"/>
          <w:rtl w:val="0"/>
        </w:rPr>
        <w:t xml:space="preserve">   Los comprendidos entre el 18 y el 31 de julio;</w:t>
      </w:r>
    </w:p>
    <w:p w:rsidR="00000000" w:rsidDel="00000000" w:rsidP="00000000" w:rsidRDefault="00000000" w:rsidRPr="00000000" w14:paraId="0000001C">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VII.</w:t>
      </w:r>
      <w:r w:rsidDel="00000000" w:rsidR="00000000" w:rsidRPr="00000000">
        <w:rPr>
          <w:color w:val="2f2f2f"/>
          <w:sz w:val="20"/>
          <w:szCs w:val="20"/>
          <w:rtl w:val="0"/>
        </w:rPr>
        <w:t xml:space="preserve">   El 16 de septiembre;</w:t>
      </w:r>
    </w:p>
    <w:p w:rsidR="00000000" w:rsidDel="00000000" w:rsidP="00000000" w:rsidRDefault="00000000" w:rsidRPr="00000000" w14:paraId="0000001D">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VIII.</w:t>
      </w:r>
      <w:r w:rsidDel="00000000" w:rsidR="00000000" w:rsidRPr="00000000">
        <w:rPr>
          <w:color w:val="2f2f2f"/>
          <w:sz w:val="20"/>
          <w:szCs w:val="20"/>
          <w:rtl w:val="0"/>
        </w:rPr>
        <w:t xml:space="preserve">  El 1 de octubre;</w:t>
      </w:r>
    </w:p>
    <w:p w:rsidR="00000000" w:rsidDel="00000000" w:rsidP="00000000" w:rsidRDefault="00000000" w:rsidRPr="00000000" w14:paraId="0000001E">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IX.</w:t>
      </w:r>
      <w:r w:rsidDel="00000000" w:rsidR="00000000" w:rsidRPr="00000000">
        <w:rPr>
          <w:color w:val="2f2f2f"/>
          <w:sz w:val="20"/>
          <w:szCs w:val="20"/>
          <w:rtl w:val="0"/>
        </w:rPr>
        <w:t xml:space="preserve">   El 18 de noviembre, en conmemoración del 20 de noviembre;</w:t>
      </w:r>
    </w:p>
    <w:p w:rsidR="00000000" w:rsidDel="00000000" w:rsidP="00000000" w:rsidRDefault="00000000" w:rsidRPr="00000000" w14:paraId="0000001F">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X.</w:t>
      </w:r>
      <w:r w:rsidDel="00000000" w:rsidR="00000000" w:rsidRPr="00000000">
        <w:rPr>
          <w:color w:val="2f2f2f"/>
          <w:sz w:val="20"/>
          <w:szCs w:val="20"/>
          <w:rtl w:val="0"/>
        </w:rPr>
        <w:t xml:space="preserve">    El 12 de diciembre; y</w:t>
      </w:r>
    </w:p>
    <w:p w:rsidR="00000000" w:rsidDel="00000000" w:rsidP="00000000" w:rsidRDefault="00000000" w:rsidRPr="00000000" w14:paraId="00000020">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XI.</w:t>
      </w:r>
      <w:r w:rsidDel="00000000" w:rsidR="00000000" w:rsidRPr="00000000">
        <w:rPr>
          <w:color w:val="2f2f2f"/>
          <w:sz w:val="20"/>
          <w:szCs w:val="20"/>
          <w:rtl w:val="0"/>
        </w:rPr>
        <w:t xml:space="preserve">   Los comprendidos entre el 19 y 31 de diciembre.</w:t>
      </w:r>
    </w:p>
    <w:p w:rsidR="00000000" w:rsidDel="00000000" w:rsidP="00000000" w:rsidRDefault="00000000" w:rsidRPr="00000000" w14:paraId="0000002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Lo anterior, sin perjuicio de la facultad de la CONDUSEF y de sus unidades administrativas para habilitar los días y horas que requiera para el cumplimiento de sus atribuciones en términos del último párrafo del artículo 28 de la Ley Federal de Procedimiento Administrativo, así como para asignar las guardias de personal que cada una de las unidades administrativas de la CONDUSEF ameriten.</w:t>
      </w:r>
    </w:p>
    <w:p w:rsidR="00000000" w:rsidDel="00000000" w:rsidP="00000000" w:rsidRDefault="00000000" w:rsidRPr="00000000" w14:paraId="00000022">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SEGUNDO.-</w:t>
      </w:r>
      <w:r w:rsidDel="00000000" w:rsidR="00000000" w:rsidRPr="00000000">
        <w:rPr>
          <w:color w:val="2f2f2f"/>
          <w:sz w:val="20"/>
          <w:szCs w:val="20"/>
          <w:rtl w:val="0"/>
        </w:rPr>
        <w:t xml:space="preserve"> Durante los días citados en el artículo PRIMERO no se practicarán actuaciones y diligencias administrativas ni se computarán los plazos y términos correspondientes en los procedimientos que en ejercicio de sus atribuciones realizan las distintas unidades administrativas de la CONDUSEF.</w:t>
      </w:r>
    </w:p>
    <w:p w:rsidR="00000000" w:rsidDel="00000000" w:rsidP="00000000" w:rsidRDefault="00000000" w:rsidRPr="00000000" w14:paraId="00000023">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TERCERO.-</w:t>
      </w:r>
      <w:r w:rsidDel="00000000" w:rsidR="00000000" w:rsidRPr="00000000">
        <w:rPr>
          <w:color w:val="2f2f2f"/>
          <w:sz w:val="20"/>
          <w:szCs w:val="20"/>
          <w:rtl w:val="0"/>
        </w:rPr>
        <w:t xml:space="preserve"> En la recepción, procesamiento y trámite de las solicitudes de acceso a la información pública que formulen los particulares a la CONDUSEF, así como de las solicitudes en materia de acceso a datos personales y de los recursos de revisión en estas materias, adicionalmente a los días señalados en el artículo PRIMERO del presente acuerdo se consideran inhábiles, los días que anualmente determine el Instituto Nacional de Transparencia, Acceso a la Información y Protección de Datos Personales en su calendario oficial de días inhábiles, a través de la publicación correspondiente en el Diario Oficial de la Federación.</w:t>
      </w:r>
    </w:p>
    <w:p w:rsidR="00000000" w:rsidDel="00000000" w:rsidP="00000000" w:rsidRDefault="00000000" w:rsidRPr="00000000" w14:paraId="0000002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CUARTO.-</w:t>
      </w:r>
      <w:r w:rsidDel="00000000" w:rsidR="00000000" w:rsidRPr="00000000">
        <w:rPr>
          <w:color w:val="2f2f2f"/>
          <w:sz w:val="20"/>
          <w:szCs w:val="20"/>
          <w:rtl w:val="0"/>
        </w:rPr>
        <w:t xml:space="preserve"> La CONDUSEF podrá ordenar el cierre de sus puertas y la suspensión de sus operaciones en días distintos a los señalados en el artículo PRIMERO, cuando así lo considere necesario, por tratarse de casos extraordinarios, así como por causas de fuerza mayor o caso fortuito.</w:t>
      </w:r>
    </w:p>
    <w:p w:rsidR="00000000" w:rsidDel="00000000" w:rsidP="00000000" w:rsidRDefault="00000000" w:rsidRPr="00000000" w14:paraId="00000025">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TRANSITORIO</w:t>
      </w:r>
    </w:p>
    <w:p w:rsidR="00000000" w:rsidDel="00000000" w:rsidP="00000000" w:rsidRDefault="00000000" w:rsidRPr="00000000" w14:paraId="0000002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ARTÍCULO ÚNICO.- </w:t>
      </w:r>
      <w:r w:rsidDel="00000000" w:rsidR="00000000" w:rsidRPr="00000000">
        <w:rPr>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2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Atentamente,</w:t>
      </w:r>
    </w:p>
    <w:p w:rsidR="00000000" w:rsidDel="00000000" w:rsidP="00000000" w:rsidRDefault="00000000" w:rsidRPr="00000000" w14:paraId="0000002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Ciudad de México, a 15 de diciembre de 2023.- Presidente de la Comisión Nacional para la Protección y Defensa de los Usuarios de Servicios Financieros, </w:t>
      </w:r>
      <w:r w:rsidDel="00000000" w:rsidR="00000000" w:rsidRPr="00000000">
        <w:rPr>
          <w:b w:val="1"/>
          <w:color w:val="2f2f2f"/>
          <w:sz w:val="20"/>
          <w:szCs w:val="20"/>
          <w:rtl w:val="0"/>
        </w:rPr>
        <w:t xml:space="preserve">Oscar Rosado Jiménez</w:t>
      </w:r>
      <w:r w:rsidDel="00000000" w:rsidR="00000000" w:rsidRPr="00000000">
        <w:rPr>
          <w:color w:val="2f2f2f"/>
          <w:sz w:val="20"/>
          <w:szCs w:val="20"/>
          <w:rtl w:val="0"/>
        </w:rPr>
        <w:t xml:space="preserve">.- Rúbrica.</w:t>
      </w:r>
    </w:p>
    <w:p w:rsidR="00000000" w:rsidDel="00000000" w:rsidP="00000000" w:rsidRDefault="00000000" w:rsidRPr="00000000" w14:paraId="00000029">
      <w:pPr>
        <w:rPr>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