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Resolución por la que se declara el inicio del procedimiento administrativo del examen de vigencia de las cuotas compensatorias impuestas a las importaciones de lámina rolada en caliente originarias de Rusia y Ucrania, independientemente del país de procedencia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26 de marzo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 margen un sello con el Escudo Nacional, que dice: Estados Unidos Mexicanos.- Secretaría de Economía.</w:t>
      </w:r>
    </w:p>
    <w:p w:rsidR="00000000" w:rsidDel="00000000" w:rsidP="00000000" w:rsidRDefault="00000000" w:rsidRPr="00000000" w14:paraId="0000000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RESOLUCIÓN POR LA QUE SE DECLARA EL INICIO DEL PROCEDIMIENTO ADMINISTRATIVO DEL EXAMEN DE VIGENCIA DE LAS CUOTAS COMPENSATORIAS IMPUESTAS A LAS IMPORTACIONES DE LÁMINA ROLADA EN CALIENTE ORIGINARIAS DE RUSIA Y UCRANIA, INDEPENDIENTEMENTE DEL PAÍS DE PROCEDENCIA</w:t>
      </w:r>
    </w:p>
    <w:p w:rsidR="00000000" w:rsidDel="00000000" w:rsidP="00000000" w:rsidRDefault="00000000" w:rsidRPr="00000000" w14:paraId="0000000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Visto para resolver en la etapa de inicio el expediente administrativo E.C. 02/20 radicado en la Unidad de Prácticas Comerciales Internacionales (UPCI) de la Secretaría de Economía (la "Secretaría"), se emite la presente Resolución de conformidad con los siguientes</w:t>
      </w:r>
    </w:p>
    <w:p w:rsidR="00000000" w:rsidDel="00000000" w:rsidP="00000000" w:rsidRDefault="00000000" w:rsidRPr="00000000" w14:paraId="0000000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RESULTANDOS</w:t>
      </w:r>
    </w:p>
    <w:p w:rsidR="00000000" w:rsidDel="00000000" w:rsidP="00000000" w:rsidRDefault="00000000" w:rsidRPr="00000000" w14:paraId="0000000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Resolución final de la investigación antidumping</w:t>
      </w:r>
    </w:p>
    <w:p w:rsidR="00000000" w:rsidDel="00000000" w:rsidP="00000000" w:rsidRDefault="00000000" w:rsidRPr="00000000" w14:paraId="0000000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El 28 de marzo de 2000 se publicó en el Diario Oficial de la Federación (DOF) la Resolución final de la investigación antidumping sobre las importaciones de lámina rolada en caliente originarias de la Federación de Rusia ("Rusia") y de Ucrania, independientemente del país de procedencia. Mediante dicha Resolución, se determinaron cuotas compensatorias definitivas de 30.31% y 46.66% para las importaciones provenientes de Rusia y de Ucrania, respectivamente.</w:t>
      </w:r>
    </w:p>
    <w:p w:rsidR="00000000" w:rsidDel="00000000" w:rsidP="00000000" w:rsidRDefault="00000000" w:rsidRPr="00000000" w14:paraId="0000000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Exámenes de vigencia previos</w:t>
      </w:r>
    </w:p>
    <w:p w:rsidR="00000000" w:rsidDel="00000000" w:rsidP="00000000" w:rsidRDefault="00000000" w:rsidRPr="00000000" w14:paraId="0000000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El 17 de marzo de 2006 se publicó en el DOF la Resolución final del primer examen de vigencia de las cuotas compensatorias. Se determinó prorrogarlas por cinco años más.</w:t>
      </w:r>
    </w:p>
    <w:p w:rsidR="00000000" w:rsidDel="00000000" w:rsidP="00000000" w:rsidRDefault="00000000" w:rsidRPr="00000000" w14:paraId="0000000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El 8 de septiembre de 2011 se publicó en el DOF la Resolución final del segundo examen de vigencia de las cuotas compensatorias. Se determinó modificar las cuotas compensatorias a 21% y 25% para las importaciones originarias de Rusia y de Ucrania, respectivamente, y prorrogarlas por cinco años más.</w:t>
      </w:r>
    </w:p>
    <w:p w:rsidR="00000000" w:rsidDel="00000000" w:rsidP="00000000" w:rsidRDefault="00000000" w:rsidRPr="00000000" w14:paraId="0000000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El 28 de enero de 2016 se publicó en el DOF la Resolución final del tercer examen de vigencia de las cuotas compensatorias. Se determinó prorrogarlas en los términos del párrafo anterior, por cinco años más.</w:t>
      </w:r>
    </w:p>
    <w:p w:rsidR="00000000" w:rsidDel="00000000" w:rsidP="00000000" w:rsidRDefault="00000000" w:rsidRPr="00000000" w14:paraId="0000000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 Elusión de cuotas compensatoria</w:t>
      </w:r>
    </w:p>
    <w:p w:rsidR="00000000" w:rsidDel="00000000" w:rsidP="00000000" w:rsidRDefault="00000000" w:rsidRPr="00000000" w14:paraId="0000000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 El 21 de marzo de 2014 se publicó en el DOF la Resolución final de la investigación sobre elusión del pago de la cuota compensatoria impuesta a las importaciones de lámina rolada en caliente, originarias de Rusia, independientemente del país de procedencia, mediante la cual se determinó la imposición de la cuota compensatoria de 21% a las importaciones de lámina rolada en caliente con un contenido de boro, igual o superior a 0.0008%, de ancho igual o superior a 600 milímetros (mm) y de espesor inferior a 4.75 mm, independientemente del largo, originarias de Rusia, que ingresan por las fracciones arancelarias 7225.30.04, 7225.30.05, 7225.40.03 y 7225.40.04 de la Tarifa de la Ley de los Impuestos Generales de Importación y de Exportación (TIGIE).</w:t>
      </w:r>
    </w:p>
    <w:p w:rsidR="00000000" w:rsidDel="00000000" w:rsidP="00000000" w:rsidRDefault="00000000" w:rsidRPr="00000000" w14:paraId="00000010">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 Aviso sobre la vigencia de cuotas compensatorias</w:t>
      </w:r>
    </w:p>
    <w:p w:rsidR="00000000" w:rsidDel="00000000" w:rsidP="00000000" w:rsidRDefault="00000000" w:rsidRPr="00000000" w14:paraId="00000011">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 El 28 de agosto de 2019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a la lámina rolada en caliente originaria de Rusia y Ucrania, objeto de este examen.</w:t>
      </w:r>
    </w:p>
    <w:p w:rsidR="00000000" w:rsidDel="00000000" w:rsidP="00000000" w:rsidRDefault="00000000" w:rsidRPr="00000000" w14:paraId="00000012">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 Manifestación de interés</w:t>
      </w:r>
    </w:p>
    <w:p w:rsidR="00000000" w:rsidDel="00000000" w:rsidP="00000000" w:rsidRDefault="00000000" w:rsidRPr="00000000" w14:paraId="00000013">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 El 19 y 20 de febrero de 2020 Ternium México, S.A. de C.V. ("Ternium") y Altos Hornos de México, S.A.B. de C.V. (AHMSA), respectivamente, manifestaron su interés en que la Secretaría inicie el examen de vigencia de la cuota compensatoria definitiva impuesta a las importaciones de lámina rolada en caliente originarias de Rusia y Ucrania. Propusieron como periodo de examen el comprendido del 1 de enero al 31 de diciembre de 2019.</w:t>
      </w:r>
    </w:p>
    <w:p w:rsidR="00000000" w:rsidDel="00000000" w:rsidP="00000000" w:rsidRDefault="00000000" w:rsidRPr="00000000" w14:paraId="0000001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1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 AHMSA y Ternium son empresas constituidas conforme a las leyes mexicanas. Entre sus principales actividades se encuentran la fabricación, transformación y comercialización de diversos productos siderúrgicos, entre ellos, la lámina rolada en caliente. Para acreditar su calidad de productores nacionales presentaron una carta de la Cámara Nacional de la Industria del Hierro y del Acero, que así los acredita.</w:t>
      </w:r>
    </w:p>
    <w:p w:rsidR="00000000" w:rsidDel="00000000" w:rsidP="00000000" w:rsidRDefault="00000000" w:rsidRPr="00000000" w14:paraId="0000001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 Producto objeto de examen</w:t>
      </w:r>
    </w:p>
    <w:p w:rsidR="00000000" w:rsidDel="00000000" w:rsidP="00000000" w:rsidRDefault="00000000" w:rsidRPr="00000000" w14:paraId="0000001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Descripción del producto</w:t>
      </w:r>
    </w:p>
    <w:p w:rsidR="00000000" w:rsidDel="00000000" w:rsidP="00000000" w:rsidRDefault="00000000" w:rsidRPr="00000000" w14:paraId="0000001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9. El producto objeto de examen es la lámina rolada en caliente sin alear y la aleada con un contenido de boro, igual o superior a 0.0008%, de ancho igual o superior a 600 mm y de espesor inferior a 4.75 mm, independientemente del largo.</w:t>
      </w:r>
    </w:p>
    <w:p w:rsidR="00000000" w:rsidDel="00000000" w:rsidP="00000000" w:rsidRDefault="00000000" w:rsidRPr="00000000" w14:paraId="0000001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Tratamiento arancelario</w:t>
      </w:r>
    </w:p>
    <w:p w:rsidR="00000000" w:rsidDel="00000000" w:rsidP="00000000" w:rsidRDefault="00000000" w:rsidRPr="00000000" w14:paraId="0000001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 El producto objeto de examen ingresa por las fracciones arancelarias 7208.10.99, 7208.26.01, 7208.27.01, 7208.38.01, 7208.39.01, 7225.30.04, 7225.30.05, 7225.40.03 y 7225.40.04 de la TIGIE, cuya descripción es la siguiente:</w:t>
      </w:r>
    </w:p>
    <w:p w:rsidR="00000000" w:rsidDel="00000000" w:rsidP="00000000" w:rsidRDefault="00000000" w:rsidRPr="00000000" w14:paraId="0000001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Codificación</w:t>
      </w:r>
    </w:p>
    <w:p w:rsidR="00000000" w:rsidDel="00000000" w:rsidP="00000000" w:rsidRDefault="00000000" w:rsidRPr="00000000" w14:paraId="0000001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arancelaria</w:t>
      </w:r>
    </w:p>
    <w:p w:rsidR="00000000" w:rsidDel="00000000" w:rsidP="00000000" w:rsidRDefault="00000000" w:rsidRPr="00000000" w14:paraId="0000001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Descripción</w:t>
      </w:r>
    </w:p>
    <w:p w:rsidR="00000000" w:rsidDel="00000000" w:rsidP="00000000" w:rsidRDefault="00000000" w:rsidRPr="00000000" w14:paraId="0000001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Capítulo 72</w:t>
      </w:r>
    </w:p>
    <w:p w:rsidR="00000000" w:rsidDel="00000000" w:rsidP="00000000" w:rsidRDefault="00000000" w:rsidRPr="00000000" w14:paraId="0000001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Fundición, hierro y acero.</w:t>
      </w:r>
    </w:p>
    <w:p w:rsidR="00000000" w:rsidDel="00000000" w:rsidP="00000000" w:rsidRDefault="00000000" w:rsidRPr="00000000" w14:paraId="00000020">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Partida 7208</w:t>
      </w:r>
    </w:p>
    <w:p w:rsidR="00000000" w:rsidDel="00000000" w:rsidP="00000000" w:rsidRDefault="00000000" w:rsidRPr="00000000" w14:paraId="00000021">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Productos laminados planos de hierro o acero sin alear, de anchura superior o igual a 600 mm, laminados en caliente, sin chapar ni revestir.</w:t>
      </w:r>
    </w:p>
    <w:p w:rsidR="00000000" w:rsidDel="00000000" w:rsidP="00000000" w:rsidRDefault="00000000" w:rsidRPr="00000000" w14:paraId="00000022">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Subpartida 7208.10</w:t>
      </w:r>
    </w:p>
    <w:p w:rsidR="00000000" w:rsidDel="00000000" w:rsidP="00000000" w:rsidRDefault="00000000" w:rsidRPr="00000000" w14:paraId="00000023">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Enrollados, simplemente laminados en caliente, con motivos en relieve.</w:t>
      </w:r>
    </w:p>
    <w:p w:rsidR="00000000" w:rsidDel="00000000" w:rsidP="00000000" w:rsidRDefault="00000000" w:rsidRPr="00000000" w14:paraId="0000002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Fracción 7208.10.99</w:t>
      </w:r>
    </w:p>
    <w:p w:rsidR="00000000" w:rsidDel="00000000" w:rsidP="00000000" w:rsidRDefault="00000000" w:rsidRPr="00000000" w14:paraId="0000002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Los demás.</w:t>
      </w:r>
    </w:p>
    <w:p w:rsidR="00000000" w:rsidDel="00000000" w:rsidP="00000000" w:rsidRDefault="00000000" w:rsidRPr="00000000" w14:paraId="0000002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Subpartida 7208.26</w:t>
      </w:r>
    </w:p>
    <w:p w:rsidR="00000000" w:rsidDel="00000000" w:rsidP="00000000" w:rsidRDefault="00000000" w:rsidRPr="00000000" w14:paraId="0000002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Los demás, enrollados, simplemente laminados en caliente, decapados:</w:t>
      </w:r>
    </w:p>
    <w:p w:rsidR="00000000" w:rsidDel="00000000" w:rsidP="00000000" w:rsidRDefault="00000000" w:rsidRPr="00000000" w14:paraId="0000002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De espesor superior o igual a 3 mm pero inferior a 4.75 mm.</w:t>
      </w:r>
    </w:p>
    <w:p w:rsidR="00000000" w:rsidDel="00000000" w:rsidP="00000000" w:rsidRDefault="00000000" w:rsidRPr="00000000" w14:paraId="0000002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Fracción 7208.26.01</w:t>
      </w:r>
    </w:p>
    <w:p w:rsidR="00000000" w:rsidDel="00000000" w:rsidP="00000000" w:rsidRDefault="00000000" w:rsidRPr="00000000" w14:paraId="0000002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espesor superior o igual a 3 mm pero inferior a 4.75 mm.</w:t>
      </w:r>
    </w:p>
    <w:p w:rsidR="00000000" w:rsidDel="00000000" w:rsidP="00000000" w:rsidRDefault="00000000" w:rsidRPr="00000000" w14:paraId="0000002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Subpartida 7208.27</w:t>
      </w:r>
    </w:p>
    <w:p w:rsidR="00000000" w:rsidDel="00000000" w:rsidP="00000000" w:rsidRDefault="00000000" w:rsidRPr="00000000" w14:paraId="0000002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Los demás, enrollados, simplemente laminados en caliente, decapados:</w:t>
      </w:r>
    </w:p>
    <w:p w:rsidR="00000000" w:rsidDel="00000000" w:rsidP="00000000" w:rsidRDefault="00000000" w:rsidRPr="00000000" w14:paraId="0000002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De espesor inferior a 3 mm.</w:t>
      </w:r>
    </w:p>
    <w:p w:rsidR="00000000" w:rsidDel="00000000" w:rsidP="00000000" w:rsidRDefault="00000000" w:rsidRPr="00000000" w14:paraId="0000002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Fracción 7208.27.01</w:t>
      </w:r>
    </w:p>
    <w:p w:rsidR="00000000" w:rsidDel="00000000" w:rsidP="00000000" w:rsidRDefault="00000000" w:rsidRPr="00000000" w14:paraId="0000002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espesor inferior a 3 mm.</w:t>
      </w:r>
    </w:p>
    <w:p w:rsidR="00000000" w:rsidDel="00000000" w:rsidP="00000000" w:rsidRDefault="00000000" w:rsidRPr="00000000" w14:paraId="00000030">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Subpartida 7208.38</w:t>
      </w:r>
    </w:p>
    <w:p w:rsidR="00000000" w:rsidDel="00000000" w:rsidP="00000000" w:rsidRDefault="00000000" w:rsidRPr="00000000" w14:paraId="00000031">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Los demás, enrollados, simplemente laminados en caliente:</w:t>
      </w:r>
    </w:p>
    <w:p w:rsidR="00000000" w:rsidDel="00000000" w:rsidP="00000000" w:rsidRDefault="00000000" w:rsidRPr="00000000" w14:paraId="00000032">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De espesor superior o igual a 3 mm pero inferior a 4.75 mm.</w:t>
      </w:r>
    </w:p>
    <w:p w:rsidR="00000000" w:rsidDel="00000000" w:rsidP="00000000" w:rsidRDefault="00000000" w:rsidRPr="00000000" w14:paraId="00000033">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Fracción 7208.38.01</w:t>
      </w:r>
    </w:p>
    <w:p w:rsidR="00000000" w:rsidDel="00000000" w:rsidP="00000000" w:rsidRDefault="00000000" w:rsidRPr="00000000" w14:paraId="0000003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espesor superior o igual a 3 mm pero inferior a 4.75 mm.</w:t>
      </w:r>
    </w:p>
    <w:p w:rsidR="00000000" w:rsidDel="00000000" w:rsidP="00000000" w:rsidRDefault="00000000" w:rsidRPr="00000000" w14:paraId="0000003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Subpartida 7208.39</w:t>
      </w:r>
    </w:p>
    <w:p w:rsidR="00000000" w:rsidDel="00000000" w:rsidP="00000000" w:rsidRDefault="00000000" w:rsidRPr="00000000" w14:paraId="0000003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Los demás, enrollados, simplemente laminados en caliente:</w:t>
      </w:r>
    </w:p>
    <w:p w:rsidR="00000000" w:rsidDel="00000000" w:rsidP="00000000" w:rsidRDefault="00000000" w:rsidRPr="00000000" w14:paraId="0000003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De espesor inferior a 3 mm.</w:t>
      </w:r>
    </w:p>
    <w:p w:rsidR="00000000" w:rsidDel="00000000" w:rsidP="00000000" w:rsidRDefault="00000000" w:rsidRPr="00000000" w14:paraId="0000003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Fracción 7208.39.01</w:t>
      </w:r>
    </w:p>
    <w:p w:rsidR="00000000" w:rsidDel="00000000" w:rsidP="00000000" w:rsidRDefault="00000000" w:rsidRPr="00000000" w14:paraId="0000003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espesor inferior a 3 mm.</w:t>
      </w:r>
    </w:p>
    <w:p w:rsidR="00000000" w:rsidDel="00000000" w:rsidP="00000000" w:rsidRDefault="00000000" w:rsidRPr="00000000" w14:paraId="0000003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3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Partida 7225</w:t>
      </w:r>
    </w:p>
    <w:p w:rsidR="00000000" w:rsidDel="00000000" w:rsidP="00000000" w:rsidRDefault="00000000" w:rsidRPr="00000000" w14:paraId="0000003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Productos laminados planos de los demás aceros aleados, de anchura superior o igual a 600 mm.</w:t>
      </w:r>
    </w:p>
    <w:p w:rsidR="00000000" w:rsidDel="00000000" w:rsidP="00000000" w:rsidRDefault="00000000" w:rsidRPr="00000000" w14:paraId="0000003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Subpartida 7225.30</w:t>
      </w:r>
    </w:p>
    <w:p w:rsidR="00000000" w:rsidDel="00000000" w:rsidP="00000000" w:rsidRDefault="00000000" w:rsidRPr="00000000" w14:paraId="0000003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Los demás, simplemente laminados en caliente, enrollados.</w:t>
      </w:r>
    </w:p>
    <w:p w:rsidR="00000000" w:rsidDel="00000000" w:rsidP="00000000" w:rsidRDefault="00000000" w:rsidRPr="00000000" w14:paraId="0000003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Fracción 7225.30.04</w:t>
      </w:r>
    </w:p>
    <w:p w:rsidR="00000000" w:rsidDel="00000000" w:rsidP="00000000" w:rsidRDefault="00000000" w:rsidRPr="00000000" w14:paraId="00000040">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 un contenido de boro igual o superior a 0.0008%, de espesor superior o igual a 3 mm, pero inferior a 4.75 mm, excepto lo comprendido en la fracción 7225.30.08.</w:t>
      </w:r>
    </w:p>
    <w:p w:rsidR="00000000" w:rsidDel="00000000" w:rsidP="00000000" w:rsidRDefault="00000000" w:rsidRPr="00000000" w14:paraId="00000041">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Fracción 7225.30.05</w:t>
      </w:r>
    </w:p>
    <w:p w:rsidR="00000000" w:rsidDel="00000000" w:rsidP="00000000" w:rsidRDefault="00000000" w:rsidRPr="00000000" w14:paraId="00000042">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 un contenido de boro igual o superior a 0.0008%, de espesor inferior a 3 mm, excepto lo comprendido en la fracción 7225.30.08.</w:t>
      </w:r>
    </w:p>
    <w:p w:rsidR="00000000" w:rsidDel="00000000" w:rsidP="00000000" w:rsidRDefault="00000000" w:rsidRPr="00000000" w14:paraId="00000043">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Subpartida 7225.40</w:t>
      </w:r>
    </w:p>
    <w:p w:rsidR="00000000" w:rsidDel="00000000" w:rsidP="00000000" w:rsidRDefault="00000000" w:rsidRPr="00000000" w14:paraId="0000004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Los demás, simplemente laminados en caliente, sin enrollar.</w:t>
      </w:r>
    </w:p>
    <w:p w:rsidR="00000000" w:rsidDel="00000000" w:rsidP="00000000" w:rsidRDefault="00000000" w:rsidRPr="00000000" w14:paraId="0000004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Fracción 7225.40.03</w:t>
      </w:r>
    </w:p>
    <w:p w:rsidR="00000000" w:rsidDel="00000000" w:rsidP="00000000" w:rsidRDefault="00000000" w:rsidRPr="00000000" w14:paraId="0000004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 un contenido de boro igual o superior a 0.0008%, de espesor superior o igual a 3 mm, pero inferior a 4.75 mm, excepto lo comprendido en la fracción 7225.40.07.</w:t>
      </w:r>
    </w:p>
    <w:p w:rsidR="00000000" w:rsidDel="00000000" w:rsidP="00000000" w:rsidRDefault="00000000" w:rsidRPr="00000000" w14:paraId="0000004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Fracción 7225.40.04</w:t>
      </w:r>
    </w:p>
    <w:p w:rsidR="00000000" w:rsidDel="00000000" w:rsidP="00000000" w:rsidRDefault="00000000" w:rsidRPr="00000000" w14:paraId="0000004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 un contenido de boro igual o superior a 0.0008%, de espesor inferior a 3 mm, excepto lo comprendido en la fracción 7225.40.07.</w:t>
      </w:r>
    </w:p>
    <w:p w:rsidR="00000000" w:rsidDel="00000000" w:rsidP="00000000" w:rsidRDefault="00000000" w:rsidRPr="00000000" w14:paraId="0000004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Fuente: Sistema de Información Arancelaria Vía Internet (SIAVI).</w:t>
      </w:r>
    </w:p>
    <w:p w:rsidR="00000000" w:rsidDel="00000000" w:rsidP="00000000" w:rsidRDefault="00000000" w:rsidRPr="00000000" w14:paraId="0000004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11. La unidad de medida para operaciones comerciales es la tonelada; conforme a la TIGIE es el kilogramo.</w:t>
      </w:r>
    </w:p>
    <w:p w:rsidR="00000000" w:rsidDel="00000000" w:rsidP="00000000" w:rsidRDefault="00000000" w:rsidRPr="00000000" w14:paraId="0000004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12. De acuerdo con el SIAVI, las importaciones que ingresan por las fracciones arancelarias 7208.10.99, 7208.26.01, 7208.27.01, 7208.38.01, 7208.39.01, 7225.30.04, 7225.30.05, 7225.40.03 y 7225.40.04 de la TIGIE, están sujetas a un arancel del 15% a partir del 22 de septiembre de 2019. Las importaciones originarias de países con los que México ha celebrado tratados de libre comercio están exentas de arancel.</w:t>
      </w:r>
    </w:p>
    <w:p w:rsidR="00000000" w:rsidDel="00000000" w:rsidP="00000000" w:rsidRDefault="00000000" w:rsidRPr="00000000" w14:paraId="0000004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13. El 19 de diciembre de 2013 se publicó en el DOF el "Acuerdo que modifica al diverso por el que la Secretaría de Economía emite reglas y criterios de carácter general en materia de Comercio Exterior", y se sujetan a la presentación de un aviso automático ante la Secretaría las mercancías descritas en el punto 10 de la presente Resolución, para efectos de monitoreo estadístico comercial cuando se destinen al régimen aduanero de importación definitiva.</w:t>
      </w:r>
    </w:p>
    <w:p w:rsidR="00000000" w:rsidDel="00000000" w:rsidP="00000000" w:rsidRDefault="00000000" w:rsidRPr="00000000" w14:paraId="0000004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Proceso productivo</w:t>
      </w:r>
    </w:p>
    <w:p w:rsidR="00000000" w:rsidDel="00000000" w:rsidP="00000000" w:rsidRDefault="00000000" w:rsidRPr="00000000" w14:paraId="0000004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14. El producto objeto de examen se produce con aceros al carbono, que se componen de mineral de hierro, carbono y cantidades pequeñas de otros elementos, por ejemplo, el manganeso, fósforo, azufre y un contenido de boro igual o mayor a 0.0008%, que le brindan ciertas características físicas. Se fabrica en anchos mayores o iguales a 600 mm y espesores menores a 4.75 mm. El proceso inicia con la obtención del acero líquido, fundamentalmente mediante la fundición en hornos básicos al oxígeno, en hornos de arco eléctrico y en hornos de hogar abierto. El acero líquido que se obtiene por cualquiera de estos procesos se lleva al horno olla, donde se refina con base en el agregado de ferroaleaciones; en el caso de los aceros aleados al boro, es en esta etapa donde se añade ferroboro, ya sea como inyección de alambre, o bien, a granel. Posteriormente, el acero líquido se transporta en ollas que se vacían en una máquina de colado continuo para obtener lingotes o planchones, que se recalientan y pasan por un molino que las reduce hasta formar una lámina con el espesor y ancho deseados, que finalmente se enrollan. La lámina puede producirse decapada (libre de escamas y óxidos y otras impurezas) o sin esté terminado.</w:t>
      </w:r>
    </w:p>
    <w:p w:rsidR="00000000" w:rsidDel="00000000" w:rsidP="00000000" w:rsidRDefault="00000000" w:rsidRPr="00000000" w14:paraId="0000004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Normas</w:t>
      </w:r>
    </w:p>
    <w:p w:rsidR="00000000" w:rsidDel="00000000" w:rsidP="00000000" w:rsidRDefault="00000000" w:rsidRPr="00000000" w14:paraId="00000050">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15. El producto objeto de examen se produce en las siderúrgicas del mundo, comúnmente conforme especificaciones de las normas de la Sociedad Americana para Pruebas y Materiales (ASTM, por las siglas en inglés de "American Society for Testing and Materials"), la Sociedad de Ingenieros Automotrices (SAE, por las siglas en inglés de "Society of Automotive Engineers"), el Instituto Alemán de Normas (DIN, por las siglas en alemán de "Deustches Institut für Normung") y de las Normas Industriales de Japón (JIS, por las siglas en inglés de "Japanese Industrial Standards"), que publica la Asociación de Estándares de Japón (JSA, por las siglas en inglés de "Japanese Standards Association"). Asimismo, las normas mexicanas NMX-B-248, NMX-B-257, NMX-B-264, NMX-B-266 y NMX-B-275, también establecen especificaciones para el producto objeto de examen.</w:t>
      </w:r>
    </w:p>
    <w:p w:rsidR="00000000" w:rsidDel="00000000" w:rsidP="00000000" w:rsidRDefault="00000000" w:rsidRPr="00000000" w14:paraId="00000051">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52">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 Usos</w:t>
      </w:r>
    </w:p>
    <w:p w:rsidR="00000000" w:rsidDel="00000000" w:rsidP="00000000" w:rsidRDefault="00000000" w:rsidRPr="00000000" w14:paraId="00000053">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16. El producto objeto de examen se utiliza como materia prima fundamentalmente en las industrias de la construcción, de línea blanca, automotriz, metalmecánica y de maquinaria para fabricar diversos bienes, por ejemplo, calderas, pisos antiderrapantes, perfiles, piezas troqueladas, corazas de compresoras, recipientes a presión o de baja e intermedia resistencia a la tensión, tanques de gas estacionarios y portátiles, tubería, filtros, polines, herramientas, cuchillas, palas, carcazas, implementos agrícolas, embragues, soportes de carrocerías, aros, centros de rines, postes, luminarias y torres de comunicación. También se utiliza como insumo para producir lámina rolada en frío.</w:t>
      </w:r>
    </w:p>
    <w:p w:rsidR="00000000" w:rsidDel="00000000" w:rsidP="00000000" w:rsidRDefault="00000000" w:rsidRPr="00000000" w14:paraId="0000005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 Posibles partes interesadas</w:t>
      </w:r>
    </w:p>
    <w:p w:rsidR="00000000" w:rsidDel="00000000" w:rsidP="00000000" w:rsidRDefault="00000000" w:rsidRPr="00000000" w14:paraId="0000005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17. Las partes de que la Secretaría tiene conocimiento y que podrían tener interés en comparecer al presente procedimiento, son las siguientes:</w:t>
      </w:r>
    </w:p>
    <w:p w:rsidR="00000000" w:rsidDel="00000000" w:rsidP="00000000" w:rsidRDefault="00000000" w:rsidRPr="00000000" w14:paraId="0000005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Productora nacional</w:t>
      </w:r>
    </w:p>
    <w:p w:rsidR="00000000" w:rsidDel="00000000" w:rsidP="00000000" w:rsidRDefault="00000000" w:rsidRPr="00000000" w14:paraId="0000005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Altos Hornos de México, S.A.B. de C.V.</w:t>
      </w:r>
    </w:p>
    <w:p w:rsidR="00000000" w:rsidDel="00000000" w:rsidP="00000000" w:rsidRDefault="00000000" w:rsidRPr="00000000" w14:paraId="0000005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Avenida Campos Elíseos No. 29, piso 4</w:t>
      </w:r>
    </w:p>
    <w:p w:rsidR="00000000" w:rsidDel="00000000" w:rsidP="00000000" w:rsidRDefault="00000000" w:rsidRPr="00000000" w14:paraId="0000005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Col. Rincón del Bosque</w:t>
      </w:r>
    </w:p>
    <w:p w:rsidR="00000000" w:rsidDel="00000000" w:rsidP="00000000" w:rsidRDefault="00000000" w:rsidRPr="00000000" w14:paraId="0000005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C.P. 11580, México, Ciudad de México</w:t>
      </w:r>
    </w:p>
    <w:p w:rsidR="00000000" w:rsidDel="00000000" w:rsidP="00000000" w:rsidRDefault="00000000" w:rsidRPr="00000000" w14:paraId="0000005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Ternium México, S.A. de C.V.</w:t>
      </w:r>
    </w:p>
    <w:p w:rsidR="00000000" w:rsidDel="00000000" w:rsidP="00000000" w:rsidRDefault="00000000" w:rsidRPr="00000000" w14:paraId="0000005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Avenida Múnich No. 101</w:t>
      </w:r>
    </w:p>
    <w:p w:rsidR="00000000" w:rsidDel="00000000" w:rsidP="00000000" w:rsidRDefault="00000000" w:rsidRPr="00000000" w14:paraId="0000005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Col. Cuauhtémoc</w:t>
      </w:r>
    </w:p>
    <w:p w:rsidR="00000000" w:rsidDel="00000000" w:rsidP="00000000" w:rsidRDefault="00000000" w:rsidRPr="00000000" w14:paraId="0000005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C.P. 66450, San Nicolás de los Garza, Nuevo León</w:t>
      </w:r>
    </w:p>
    <w:p w:rsidR="00000000" w:rsidDel="00000000" w:rsidP="00000000" w:rsidRDefault="00000000" w:rsidRPr="00000000" w14:paraId="0000005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Gobiernos</w:t>
      </w:r>
    </w:p>
    <w:p w:rsidR="00000000" w:rsidDel="00000000" w:rsidP="00000000" w:rsidRDefault="00000000" w:rsidRPr="00000000" w14:paraId="00000060">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Embajada de Rusia en México</w:t>
      </w:r>
    </w:p>
    <w:p w:rsidR="00000000" w:rsidDel="00000000" w:rsidP="00000000" w:rsidRDefault="00000000" w:rsidRPr="00000000" w14:paraId="00000061">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Av. José Vasconcelos 204</w:t>
      </w:r>
    </w:p>
    <w:p w:rsidR="00000000" w:rsidDel="00000000" w:rsidP="00000000" w:rsidRDefault="00000000" w:rsidRPr="00000000" w14:paraId="00000062">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Col. Hipódromo Condesa</w:t>
      </w:r>
    </w:p>
    <w:p w:rsidR="00000000" w:rsidDel="00000000" w:rsidP="00000000" w:rsidRDefault="00000000" w:rsidRPr="00000000" w14:paraId="00000063">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C.P. 06140, Ciudad de México</w:t>
      </w:r>
    </w:p>
    <w:p w:rsidR="00000000" w:rsidDel="00000000" w:rsidP="00000000" w:rsidRDefault="00000000" w:rsidRPr="00000000" w14:paraId="0000006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Embajada de Ucrania en México</w:t>
      </w:r>
    </w:p>
    <w:p w:rsidR="00000000" w:rsidDel="00000000" w:rsidP="00000000" w:rsidRDefault="00000000" w:rsidRPr="00000000" w14:paraId="0000006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Paseo de la Reforma No. 730</w:t>
      </w:r>
    </w:p>
    <w:p w:rsidR="00000000" w:rsidDel="00000000" w:rsidP="00000000" w:rsidRDefault="00000000" w:rsidRPr="00000000" w14:paraId="0000006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Col. Lomas de Chapultepec</w:t>
      </w:r>
    </w:p>
    <w:p w:rsidR="00000000" w:rsidDel="00000000" w:rsidP="00000000" w:rsidRDefault="00000000" w:rsidRPr="00000000" w14:paraId="0000006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C.P. 11000, Ciudad de México</w:t>
      </w:r>
    </w:p>
    <w:p w:rsidR="00000000" w:rsidDel="00000000" w:rsidP="00000000" w:rsidRDefault="00000000" w:rsidRPr="00000000" w14:paraId="0000006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CONSIDERANDOS</w:t>
      </w:r>
    </w:p>
    <w:p w:rsidR="00000000" w:rsidDel="00000000" w:rsidP="00000000" w:rsidRDefault="00000000" w:rsidRPr="00000000" w14:paraId="0000006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Competencia</w:t>
      </w:r>
    </w:p>
    <w:p w:rsidR="00000000" w:rsidDel="00000000" w:rsidP="00000000" w:rsidRDefault="00000000" w:rsidRPr="00000000" w14:paraId="0000006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18. La Secretaría es competente para emitir la presente Resolución, conforme a los artículos 16 y 34 fracciones V y XXXIII de la Ley Orgánica de la Administración Pública Federal; 1, 2 apartado A fracción II numeral 7 y 19 fracciones I y IV del Reglamento Interior de la Secretaría de Economía; 11.3, 12.1 y 12.3 del Acuerdo relativo a la Aplicación del Artículo VI del Acuerdo General sobre Aranceles Aduaneros y Comercio de 1994 (el "Acuerdo Antidumping"); 5 fracción VII, 70 fracción II, 70 B y 89 F de la Ley de Comercio Exterior (LCE), y 80 y 81 del Reglamento de la Ley de Comercio Exterior (RLCE).</w:t>
      </w:r>
    </w:p>
    <w:p w:rsidR="00000000" w:rsidDel="00000000" w:rsidP="00000000" w:rsidRDefault="00000000" w:rsidRPr="00000000" w14:paraId="0000006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Legislación aplicable</w:t>
      </w:r>
    </w:p>
    <w:p w:rsidR="00000000" w:rsidDel="00000000" w:rsidP="00000000" w:rsidRDefault="00000000" w:rsidRPr="00000000" w14:paraId="0000006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19. Para efectos de este procedimiento son aplicables el Acuerdo Antidumping, la LCE, el RLCE, el Código Fiscal de la Federación, la Ley Federal de Procedimiento Contencioso Administrativo y el Código Federal de Procedimientos Civiles, estos tres últimos de aplicación supletoria.</w:t>
      </w:r>
    </w:p>
    <w:p w:rsidR="00000000" w:rsidDel="00000000" w:rsidP="00000000" w:rsidRDefault="00000000" w:rsidRPr="00000000" w14:paraId="0000006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 Protección de la información confidencial</w:t>
      </w:r>
    </w:p>
    <w:p w:rsidR="00000000" w:rsidDel="00000000" w:rsidP="00000000" w:rsidRDefault="00000000" w:rsidRPr="00000000" w14:paraId="0000006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 La Secretaría no puede revelar públicamente la información confidencial que las partes interesadas le presenten, ni la información confidencial de que ella misma se allegue, de conformidad con los artículos 6.5 del Acuerdo Antidumping, 80 de la LCE y 152 y 158 del RLCE. No obstante, las partes interesadas podrán obtener el acceso a la información confidencial, siempre y cuando satisfagan los requisitos establecidos en los artículos 159 y 160 del RLCE.</w:t>
      </w:r>
    </w:p>
    <w:p w:rsidR="00000000" w:rsidDel="00000000" w:rsidP="00000000" w:rsidRDefault="00000000" w:rsidRPr="00000000" w14:paraId="0000006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 Legitimación para el inicio del examen de vigencia de cuota</w:t>
      </w:r>
    </w:p>
    <w:p w:rsidR="00000000" w:rsidDel="00000000" w:rsidP="00000000" w:rsidRDefault="00000000" w:rsidRPr="00000000" w14:paraId="00000070">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21. Conforme a los artículos 11.3 del Acuerdo Antidumping, 70 fracción II y 70 B de la LCE, las cuotas compensatorias definitivas se eliminarán en un plazo de cinco años contados a partir de su entrada en vigor, a menos que la Secretaría haya iniciado, antes de concluir dicho plazo, un examen de vigencia derivado de la manifestación de interés de uno o más productores nacionales.</w:t>
      </w:r>
    </w:p>
    <w:p w:rsidR="00000000" w:rsidDel="00000000" w:rsidP="00000000" w:rsidRDefault="00000000" w:rsidRPr="00000000" w14:paraId="00000071">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22. En el presente caso, AHMSA y Ternium en su calidad de productoras nacionales del producto objeto de examen, manifestaron en tiempo y forma, su interés en que se inicie el examen de vigencia de las cuotas compensatorias definitivas impuestas a las importaciones de lámina rolada en caliente originarias de Rusia y Ucrania, por lo que se actualizan los supuestos previstos en la legislación de la materia y, en consecuencia, procede iniciarlo.</w:t>
      </w:r>
    </w:p>
    <w:p w:rsidR="00000000" w:rsidDel="00000000" w:rsidP="00000000" w:rsidRDefault="00000000" w:rsidRPr="00000000" w14:paraId="00000072">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 Periodo de examen y de análisis</w:t>
      </w:r>
    </w:p>
    <w:p w:rsidR="00000000" w:rsidDel="00000000" w:rsidP="00000000" w:rsidRDefault="00000000" w:rsidRPr="00000000" w14:paraId="00000073">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23. La Secretaría determina fijar como periodo de examen el propuesto por AHMSA y Ternium, comprendido del 1 de enero al 31 de diciembre de 2019 y como periodo de análisis el comprendido del 1 de enero de 2015 al 31 de diciembre de 2019, toda vez que éste se apega a lo previsto en el artículo 76 del RLCE y a la recomendación del Comité de Prácticas Antidumping de la Organización Mundial del Comercio (documento G/AD/6 adoptado el 5 de mayo de 2000).</w:t>
      </w:r>
    </w:p>
    <w:p w:rsidR="00000000" w:rsidDel="00000000" w:rsidP="00000000" w:rsidRDefault="00000000" w:rsidRPr="00000000" w14:paraId="0000007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24. Por lo expuesto, con fundamento en los artículos 11.1 y 11.3 del Acuerdo Antidumping, y 67, 70 fracción II, 70 B y 89 F de la LCE, se emite la siguiente</w:t>
      </w:r>
    </w:p>
    <w:p w:rsidR="00000000" w:rsidDel="00000000" w:rsidP="00000000" w:rsidRDefault="00000000" w:rsidRPr="00000000" w14:paraId="0000007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RESOLUCIÓN</w:t>
      </w:r>
    </w:p>
    <w:p w:rsidR="00000000" w:rsidDel="00000000" w:rsidP="00000000" w:rsidRDefault="00000000" w:rsidRPr="00000000" w14:paraId="0000007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25. Se declara el inicio del examen de vigencia de la cuota compensatoria definitiva impuesta a las importaciones de lámina rolada en caliente originarias de Rusia y Ucrania, independientemente del país de procedencia, y de la lámina rolada en caliente aleada con boro, originarias de Rusia, independientemente del país de procedencia, que ingresan a través de las fracciones arancelarias 7208.10.99, 7208.26.01, 7208.27.01, 7208.38.01, 7208.39.01, 7225.30.04, 7225.30.05, 7225.40.03 y 7225.40.04 de la TIGIE, o por cualquier otra.</w:t>
      </w:r>
    </w:p>
    <w:p w:rsidR="00000000" w:rsidDel="00000000" w:rsidP="00000000" w:rsidRDefault="00000000" w:rsidRPr="00000000" w14:paraId="0000007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26. Se fija como periodo de examen el comprendido del 1 de enero al 31 de diciembre de 2019 y como periodo de análisis el comprendido del 1 de enero de 2015 al 31 de diciembre de 2019.</w:t>
      </w:r>
    </w:p>
    <w:p w:rsidR="00000000" w:rsidDel="00000000" w:rsidP="00000000" w:rsidRDefault="00000000" w:rsidRPr="00000000" w14:paraId="0000007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27. Conforme a lo establecido en los artículos 11.3 del Acuerdo Antidumping, 70 fracción II y 89 F de la LCE y 94 del RLCE, las cuotas compensatorias definitivas a que se refieren los puntos 3 y 5 de la presente Resolución, continuarán vigentes mientras se tramita el presente procedimiento de examen de vigencia.</w:t>
      </w:r>
    </w:p>
    <w:p w:rsidR="00000000" w:rsidDel="00000000" w:rsidP="00000000" w:rsidRDefault="00000000" w:rsidRPr="00000000" w14:paraId="0000007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28. De conformidad con los artículos 6.1 y 11.4 del Acuerdo Antidumping y 3 último párrafo y 89 F de la LCE, los productores nacionales, importadores, exportadores, personas morales extranjeras o cualquier persona que acredite tener interés jurídico en el resultado de este procedimiento de examen, contarán con un plazo de veintiocho días hábiles para acreditar su interés jurídico y presentar la respuesta al formulario oficial establecido para tal efecto, y los argumentos y las pruebas que consideren convenientes. El plazo de veintiocho días hábiles se contará a partir del día siguiente de la publicación en el DOF de la presente Resolución y concluirá a las 14:00 horas del día de su vencimiento.</w:t>
      </w:r>
    </w:p>
    <w:p w:rsidR="00000000" w:rsidDel="00000000" w:rsidP="00000000" w:rsidRDefault="00000000" w:rsidRPr="00000000" w14:paraId="0000007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29. El formulario oficial a que se refiere el punto anterior, se podrá obtener en la oficialía de partes de la UPCI, sita en Insurgentes Sur No. 1940, planta baja, Col. Florida, C.P. 01030, en la Ciudad de México, de lunes a viernes de 9:00 a 14:00 horas o en la página de Internet de la Secretaría.</w:t>
      </w:r>
    </w:p>
    <w:p w:rsidR="00000000" w:rsidDel="00000000" w:rsidP="00000000" w:rsidRDefault="00000000" w:rsidRPr="00000000" w14:paraId="0000007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 Notifíquese la presente Resolución a las partes de que se tenga conocimiento.</w:t>
      </w:r>
    </w:p>
    <w:p w:rsidR="00000000" w:rsidDel="00000000" w:rsidP="00000000" w:rsidRDefault="00000000" w:rsidRPr="00000000" w14:paraId="0000007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31. Comuníquese esta Resolución al Servicio de Administración Tributaria, para los efectos legales correspondientes.</w:t>
      </w:r>
    </w:p>
    <w:p w:rsidR="00000000" w:rsidDel="00000000" w:rsidP="00000000" w:rsidRDefault="00000000" w:rsidRPr="00000000" w14:paraId="0000007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32. La presente Resolución entrará en vigor al día siguiente de su publicación en el DOF.</w:t>
      </w:r>
    </w:p>
    <w:p w:rsidR="00000000" w:rsidDel="00000000" w:rsidP="00000000" w:rsidRDefault="00000000" w:rsidRPr="00000000" w14:paraId="0000007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7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Ciudad de México, a 18 de marzo de 2020.- La Secretaria de Economía, Graciela Márquez Colín.- Rúbrica.</w:t>
      </w:r>
    </w:p>
    <w:p w:rsidR="00000000" w:rsidDel="00000000" w:rsidP="00000000" w:rsidRDefault="00000000" w:rsidRPr="00000000" w14:paraId="00000080">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