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DC" w:rsidRPr="00841D9A" w:rsidRDefault="00450CDC" w:rsidP="00450CDC">
      <w:pPr>
        <w:jc w:val="center"/>
        <w:rPr>
          <w:rFonts w:ascii="Verdana" w:eastAsia="Verdana" w:hAnsi="Verdana" w:cs="Verdana"/>
          <w:b/>
          <w:color w:val="0000FF"/>
          <w:sz w:val="24"/>
          <w:szCs w:val="24"/>
        </w:rPr>
      </w:pPr>
      <w:r w:rsidRPr="00450CDC">
        <w:rPr>
          <w:rFonts w:ascii="Verdana" w:eastAsia="Verdana" w:hAnsi="Verdana" w:cs="Verdana"/>
          <w:b/>
          <w:color w:val="0000FF"/>
          <w:sz w:val="24"/>
          <w:szCs w:val="24"/>
        </w:rPr>
        <w:t>ACUERDO del Comité Interinstitucional para la aplicación del estímulo fiscal al Deporte de Alto Rendimiento por el que se da a conocer la distribución del monto otorgado durante el ejercicio fiscal de 2022 por concepto del estímulo fiscal a que se refiere el artículo 203, cuarto párrafo, fracción III de la Ley del Impuesto sobre la Renta.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febrero de 2023</w:t>
      </w:r>
      <w:r w:rsidRPr="0099730F">
        <w:rPr>
          <w:rFonts w:ascii="Verdana" w:eastAsia="Verdana" w:hAnsi="Verdana" w:cs="Verdana"/>
          <w:b/>
          <w:color w:val="0000FF"/>
          <w:sz w:val="24"/>
          <w:szCs w:val="24"/>
        </w:rPr>
        <w:t>)</w:t>
      </w:r>
      <w:bookmarkEnd w:id="0"/>
    </w:p>
    <w:p w:rsidR="00C518FC" w:rsidRDefault="00450CDC" w:rsidP="00450CDC">
      <w:pPr>
        <w:jc w:val="right"/>
        <w:rPr>
          <w:rFonts w:ascii="Arial" w:hAnsi="Arial" w:cs="Arial"/>
          <w:b/>
          <w:bCs/>
          <w:color w:val="2F2F2F"/>
          <w:sz w:val="18"/>
          <w:szCs w:val="18"/>
          <w:shd w:val="clear" w:color="auto" w:fill="FFFFFF"/>
        </w:rPr>
      </w:pPr>
      <w:r w:rsidRPr="00450CDC">
        <w:rPr>
          <w:rFonts w:ascii="Arial" w:hAnsi="Arial" w:cs="Arial"/>
          <w:b/>
          <w:bCs/>
          <w:color w:val="2F2F2F"/>
          <w:sz w:val="18"/>
          <w:szCs w:val="18"/>
          <w:shd w:val="clear" w:color="auto" w:fill="FFFFFF"/>
        </w:rPr>
        <w:t>Comité Interinstitucional para la Aplicación del Estímulo Fiscal al Deporte de Alto Rendimiento</w:t>
      </w:r>
    </w:p>
    <w:p w:rsidR="00450CDC" w:rsidRPr="00450CDC" w:rsidRDefault="00450CDC" w:rsidP="00450CDC">
      <w:pPr>
        <w:shd w:val="clear" w:color="auto" w:fill="FFFFFF"/>
        <w:spacing w:after="80" w:line="240" w:lineRule="auto"/>
        <w:ind w:firstLine="288"/>
        <w:jc w:val="both"/>
        <w:rPr>
          <w:rFonts w:ascii="Arial" w:eastAsia="Times New Roman" w:hAnsi="Arial" w:cs="Arial"/>
          <w:color w:val="2F2F2F"/>
          <w:sz w:val="18"/>
          <w:szCs w:val="18"/>
          <w:lang w:eastAsia="es-MX"/>
        </w:rPr>
      </w:pPr>
      <w:r w:rsidRPr="00450CDC">
        <w:rPr>
          <w:rFonts w:ascii="Arial" w:eastAsia="Times New Roman" w:hAnsi="Arial" w:cs="Arial"/>
          <w:color w:val="2F2F2F"/>
          <w:sz w:val="18"/>
          <w:szCs w:val="18"/>
          <w:lang w:eastAsia="es-MX"/>
        </w:rPr>
        <w:t>El Comité Interinstitucional para la aplicación del estímulo fiscal al Deporte de Alto Rendimiento (Comité Interinstitucional), con fundamento en lo dispuesto por el artículo 203, cuarto párrafo, fracción III de la Ley del Impuesto sobre la Renta y en cumplimiento a lo que establece la regla 6, inciso e) de las Reglas Generales para la aplicación del estímulo fiscal al deporte de alto rendimiento, publicadas en el Diario Oficial de la Federación el 28 de febrero de 2017, las cuales fueron modificadas mediante acuerdos publicados en el mismo órgano de difusión oficial el 26 de enero de 2018, el 28 de febrero de 2020 y el 12 de febrero de 2021 (Reglas Generales), informa:</w:t>
      </w:r>
    </w:p>
    <w:p w:rsidR="00450CDC" w:rsidRPr="00450CDC" w:rsidRDefault="00450CDC" w:rsidP="00450CDC">
      <w:pPr>
        <w:shd w:val="clear" w:color="auto" w:fill="FFFFFF"/>
        <w:spacing w:after="80" w:line="240" w:lineRule="auto"/>
        <w:ind w:firstLine="288"/>
        <w:jc w:val="both"/>
        <w:rPr>
          <w:rFonts w:ascii="Arial" w:eastAsia="Times New Roman" w:hAnsi="Arial" w:cs="Arial"/>
          <w:color w:val="2F2F2F"/>
          <w:sz w:val="18"/>
          <w:szCs w:val="18"/>
          <w:lang w:eastAsia="es-MX"/>
        </w:rPr>
      </w:pPr>
      <w:r w:rsidRPr="00450CDC">
        <w:rPr>
          <w:rFonts w:ascii="Arial" w:eastAsia="Times New Roman" w:hAnsi="Arial" w:cs="Arial"/>
          <w:color w:val="2F2F2F"/>
          <w:sz w:val="18"/>
          <w:szCs w:val="18"/>
          <w:lang w:eastAsia="es-MX"/>
        </w:rPr>
        <w:t>Que durante el ejercicio fiscal de 2022, se distribuyeron $47</w:t>
      </w:r>
      <w:proofErr w:type="gramStart"/>
      <w:r w:rsidRPr="00450CDC">
        <w:rPr>
          <w:rFonts w:ascii="Arial" w:eastAsia="Times New Roman" w:hAnsi="Arial" w:cs="Arial"/>
          <w:color w:val="2F2F2F"/>
          <w:sz w:val="18"/>
          <w:szCs w:val="18"/>
          <w:lang w:eastAsia="es-MX"/>
        </w:rPr>
        <w:t>,000,000.00</w:t>
      </w:r>
      <w:proofErr w:type="gramEnd"/>
      <w:r w:rsidRPr="00450CDC">
        <w:rPr>
          <w:rFonts w:ascii="Arial" w:eastAsia="Times New Roman" w:hAnsi="Arial" w:cs="Arial"/>
          <w:color w:val="2F2F2F"/>
          <w:sz w:val="18"/>
          <w:szCs w:val="18"/>
          <w:lang w:eastAsia="es-MX"/>
        </w:rPr>
        <w:t xml:space="preserve"> (Cuarenta y siete millones de pesos 00/100 M.N.)(1), por concepto del Estímulo Fiscal al Deporte de Alto Rendimiento. A continuación, se señalan los contribuyentes beneficiados, los Proyectos de inversión en infraestructura e instalaciones deportivas altamente especializadas (PII) y el monto del estímulo fiscal otorgado en cada caso: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3"/>
        <w:gridCol w:w="990"/>
        <w:gridCol w:w="3326"/>
        <w:gridCol w:w="2520"/>
        <w:gridCol w:w="1533"/>
      </w:tblGrid>
      <w:tr w:rsidR="00450CDC" w:rsidRPr="00450CDC" w:rsidTr="00450CDC">
        <w:trPr>
          <w:trHeight w:val="241"/>
        </w:trPr>
        <w:tc>
          <w:tcPr>
            <w:tcW w:w="61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b/>
                <w:bCs/>
                <w:color w:val="000000"/>
                <w:sz w:val="16"/>
                <w:szCs w:val="16"/>
                <w:lang w:eastAsia="es-MX"/>
              </w:rPr>
              <w:t>Núm.</w:t>
            </w:r>
          </w:p>
        </w:tc>
        <w:tc>
          <w:tcPr>
            <w:tcW w:w="990"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b/>
                <w:bCs/>
                <w:color w:val="000000"/>
                <w:sz w:val="16"/>
                <w:szCs w:val="16"/>
                <w:lang w:eastAsia="es-MX"/>
              </w:rPr>
              <w:t>Categoría</w:t>
            </w:r>
          </w:p>
        </w:tc>
        <w:tc>
          <w:tcPr>
            <w:tcW w:w="332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b/>
                <w:bCs/>
                <w:color w:val="000000"/>
                <w:sz w:val="16"/>
                <w:szCs w:val="16"/>
                <w:lang w:eastAsia="es-MX"/>
              </w:rPr>
              <w:t>Proyecto de inversión</w:t>
            </w:r>
          </w:p>
        </w:tc>
        <w:tc>
          <w:tcPr>
            <w:tcW w:w="252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b/>
                <w:bCs/>
                <w:color w:val="000000"/>
                <w:sz w:val="16"/>
                <w:szCs w:val="16"/>
                <w:lang w:eastAsia="es-MX"/>
              </w:rPr>
              <w:t>Contribuyente aportante</w:t>
            </w:r>
          </w:p>
        </w:tc>
        <w:tc>
          <w:tcPr>
            <w:tcW w:w="153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b/>
                <w:bCs/>
                <w:color w:val="000000"/>
                <w:sz w:val="16"/>
                <w:szCs w:val="16"/>
                <w:lang w:eastAsia="es-MX"/>
              </w:rPr>
              <w:t>Monto autorizado</w:t>
            </w:r>
          </w:p>
        </w:tc>
      </w:tr>
      <w:tr w:rsidR="00450CDC" w:rsidRPr="00450CDC" w:rsidTr="00450CDC">
        <w:trPr>
          <w:trHeight w:val="422"/>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PII</w:t>
            </w:r>
          </w:p>
        </w:tc>
        <w:tc>
          <w:tcPr>
            <w:tcW w:w="3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REMODELACIÓN COMEDOR-COCINA</w:t>
            </w:r>
            <w:r w:rsidRPr="00450CDC">
              <w:rPr>
                <w:rFonts w:ascii="Arial" w:eastAsia="Times New Roman" w:hAnsi="Arial" w:cs="Arial"/>
                <w:color w:val="000000"/>
                <w:sz w:val="16"/>
                <w:szCs w:val="16"/>
                <w:lang w:eastAsia="es-MX"/>
              </w:rPr>
              <w:br/>
              <w:t>CNAR-CONADE</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GRUPO GUSI, S.P.R. DE R.L.</w:t>
            </w:r>
            <w:r w:rsidRPr="00450CDC">
              <w:rPr>
                <w:rFonts w:ascii="Arial" w:eastAsia="Times New Roman" w:hAnsi="Arial" w:cs="Arial"/>
                <w:color w:val="000000"/>
                <w:sz w:val="16"/>
                <w:szCs w:val="16"/>
                <w:lang w:eastAsia="es-MX"/>
              </w:rPr>
              <w:br/>
              <w:t>DE C.V.</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right"/>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$7,000,000.00</w:t>
            </w:r>
          </w:p>
        </w:tc>
      </w:tr>
      <w:tr w:rsidR="00450CDC" w:rsidRPr="00450CDC" w:rsidTr="00450CDC">
        <w:trPr>
          <w:trHeight w:val="608"/>
        </w:trPr>
        <w:tc>
          <w:tcPr>
            <w:tcW w:w="61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2</w:t>
            </w:r>
          </w:p>
        </w:tc>
        <w:tc>
          <w:tcPr>
            <w:tcW w:w="990"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PII</w:t>
            </w:r>
          </w:p>
        </w:tc>
        <w:tc>
          <w:tcPr>
            <w:tcW w:w="332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EQUIPAMIENTO DE EVALUACIÓN</w:t>
            </w:r>
            <w:r w:rsidRPr="00450CDC">
              <w:rPr>
                <w:rFonts w:ascii="Arial" w:eastAsia="Times New Roman" w:hAnsi="Arial" w:cs="Arial"/>
                <w:color w:val="000000"/>
                <w:sz w:val="16"/>
                <w:szCs w:val="16"/>
                <w:lang w:eastAsia="es-MX"/>
              </w:rPr>
              <w:br/>
              <w:t>MORFOFUNCIONAL PARA ALTO</w:t>
            </w:r>
            <w:r w:rsidRPr="00450CDC">
              <w:rPr>
                <w:rFonts w:ascii="Arial" w:eastAsia="Times New Roman" w:hAnsi="Arial" w:cs="Arial"/>
                <w:color w:val="000000"/>
                <w:sz w:val="16"/>
                <w:szCs w:val="16"/>
                <w:lang w:eastAsia="es-MX"/>
              </w:rPr>
              <w:br/>
              <w:t>RENDIMIENTO DEL CNAR</w:t>
            </w:r>
          </w:p>
        </w:tc>
        <w:tc>
          <w:tcPr>
            <w:tcW w:w="252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AEROENLACES NACIONALES,</w:t>
            </w:r>
            <w:r w:rsidRPr="00450CDC">
              <w:rPr>
                <w:rFonts w:ascii="Arial" w:eastAsia="Times New Roman" w:hAnsi="Arial" w:cs="Arial"/>
                <w:color w:val="000000"/>
                <w:sz w:val="16"/>
                <w:szCs w:val="16"/>
                <w:lang w:eastAsia="es-MX"/>
              </w:rPr>
              <w:br/>
              <w:t>S.A. DE C.V.</w:t>
            </w:r>
          </w:p>
        </w:tc>
        <w:tc>
          <w:tcPr>
            <w:tcW w:w="1533" w:type="dxa"/>
            <w:tcBorders>
              <w:top w:val="single" w:sz="4" w:space="0" w:color="000000"/>
              <w:left w:val="single" w:sz="4" w:space="0" w:color="000000"/>
              <w:bottom w:val="single" w:sz="4" w:space="0" w:color="000000"/>
              <w:right w:val="single" w:sz="4" w:space="0" w:color="000000"/>
            </w:tcBorders>
            <w:shd w:val="clear" w:color="auto" w:fill="E0E0E0"/>
            <w:tcMar>
              <w:top w:w="15" w:type="dxa"/>
              <w:left w:w="72" w:type="dxa"/>
              <w:bottom w:w="15" w:type="dxa"/>
              <w:right w:w="72" w:type="dxa"/>
            </w:tcMar>
            <w:vAlign w:val="center"/>
            <w:hideMark/>
          </w:tcPr>
          <w:p w:rsidR="00450CDC" w:rsidRPr="00450CDC" w:rsidRDefault="00450CDC" w:rsidP="00450CDC">
            <w:pPr>
              <w:spacing w:after="20" w:line="240" w:lineRule="auto"/>
              <w:jc w:val="right"/>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$20,000,000.00</w:t>
            </w:r>
          </w:p>
        </w:tc>
      </w:tr>
      <w:tr w:rsidR="00450CDC" w:rsidRPr="00450CDC" w:rsidTr="00450CDC">
        <w:trPr>
          <w:trHeight w:val="608"/>
        </w:trPr>
        <w:tc>
          <w:tcPr>
            <w:tcW w:w="614"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3</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PII</w:t>
            </w:r>
          </w:p>
        </w:tc>
        <w:tc>
          <w:tcPr>
            <w:tcW w:w="3328"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REHABILITACION DEL CENTRO</w:t>
            </w:r>
            <w:r w:rsidRPr="00450CDC">
              <w:rPr>
                <w:rFonts w:ascii="Arial" w:eastAsia="Times New Roman" w:hAnsi="Arial" w:cs="Arial"/>
                <w:color w:val="000000"/>
                <w:sz w:val="16"/>
                <w:szCs w:val="16"/>
                <w:lang w:eastAsia="es-MX"/>
              </w:rPr>
              <w:br/>
              <w:t>ACUÁTICO EN LA UNIDAD</w:t>
            </w:r>
            <w:r w:rsidRPr="00450CDC">
              <w:rPr>
                <w:rFonts w:ascii="Arial" w:eastAsia="Times New Roman" w:hAnsi="Arial" w:cs="Arial"/>
                <w:color w:val="000000"/>
                <w:sz w:val="16"/>
                <w:szCs w:val="16"/>
                <w:lang w:eastAsia="es-MX"/>
              </w:rPr>
              <w:br/>
              <w:t>CUAUHTÉMOC</w:t>
            </w:r>
          </w:p>
        </w:tc>
        <w:tc>
          <w:tcPr>
            <w:tcW w:w="2521"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CONSERVAS LA COSTEÑA,</w:t>
            </w:r>
            <w:r w:rsidRPr="00450CDC">
              <w:rPr>
                <w:rFonts w:ascii="Arial" w:eastAsia="Times New Roman" w:hAnsi="Arial" w:cs="Arial"/>
                <w:color w:val="000000"/>
                <w:sz w:val="16"/>
                <w:szCs w:val="16"/>
                <w:lang w:eastAsia="es-MX"/>
              </w:rPr>
              <w:br/>
              <w:t>S.A. DE C.V.</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right"/>
              <w:rPr>
                <w:rFonts w:ascii="Arial" w:eastAsia="Times New Roman" w:hAnsi="Arial" w:cs="Arial"/>
                <w:color w:val="000000"/>
                <w:sz w:val="16"/>
                <w:szCs w:val="16"/>
                <w:lang w:eastAsia="es-MX"/>
              </w:rPr>
            </w:pPr>
            <w:r w:rsidRPr="00450CDC">
              <w:rPr>
                <w:rFonts w:ascii="Arial" w:eastAsia="Times New Roman" w:hAnsi="Arial" w:cs="Arial"/>
                <w:color w:val="000000"/>
                <w:sz w:val="16"/>
                <w:szCs w:val="16"/>
                <w:lang w:eastAsia="es-MX"/>
              </w:rPr>
              <w:t>$20,000,000.00</w:t>
            </w:r>
          </w:p>
        </w:tc>
      </w:tr>
      <w:tr w:rsidR="00450CDC" w:rsidRPr="00450CDC" w:rsidTr="00450CDC">
        <w:trPr>
          <w:trHeight w:val="241"/>
        </w:trPr>
        <w:tc>
          <w:tcPr>
            <w:tcW w:w="7453" w:type="dxa"/>
            <w:gridSpan w:val="4"/>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center"/>
              <w:rPr>
                <w:rFonts w:ascii="Arial" w:eastAsia="Times New Roman" w:hAnsi="Arial" w:cs="Arial"/>
                <w:color w:val="000000"/>
                <w:sz w:val="16"/>
                <w:szCs w:val="16"/>
                <w:lang w:eastAsia="es-MX"/>
              </w:rPr>
            </w:pPr>
            <w:r w:rsidRPr="00450CDC">
              <w:rPr>
                <w:rFonts w:ascii="Arial" w:eastAsia="Times New Roman" w:hAnsi="Arial" w:cs="Arial"/>
                <w:b/>
                <w:bCs/>
                <w:color w:val="000000"/>
                <w:sz w:val="16"/>
                <w:szCs w:val="16"/>
                <w:lang w:eastAsia="es-MX"/>
              </w:rPr>
              <w:t>Total</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72" w:type="dxa"/>
              <w:bottom w:w="15" w:type="dxa"/>
              <w:right w:w="72" w:type="dxa"/>
            </w:tcMar>
            <w:vAlign w:val="center"/>
            <w:hideMark/>
          </w:tcPr>
          <w:p w:rsidR="00450CDC" w:rsidRPr="00450CDC" w:rsidRDefault="00450CDC" w:rsidP="00450CDC">
            <w:pPr>
              <w:spacing w:after="20" w:line="240" w:lineRule="auto"/>
              <w:jc w:val="right"/>
              <w:rPr>
                <w:rFonts w:ascii="Arial" w:eastAsia="Times New Roman" w:hAnsi="Arial" w:cs="Arial"/>
                <w:color w:val="000000"/>
                <w:sz w:val="16"/>
                <w:szCs w:val="16"/>
                <w:lang w:eastAsia="es-MX"/>
              </w:rPr>
            </w:pPr>
            <w:r w:rsidRPr="00450CDC">
              <w:rPr>
                <w:rFonts w:ascii="Arial" w:eastAsia="Times New Roman" w:hAnsi="Arial" w:cs="Arial"/>
                <w:b/>
                <w:bCs/>
                <w:color w:val="000000"/>
                <w:sz w:val="16"/>
                <w:szCs w:val="16"/>
                <w:lang w:eastAsia="es-MX"/>
              </w:rPr>
              <w:t>$47,000,000.00</w:t>
            </w:r>
          </w:p>
        </w:tc>
      </w:tr>
    </w:tbl>
    <w:p w:rsidR="00450CDC" w:rsidRPr="00450CDC" w:rsidRDefault="00450CDC" w:rsidP="00450CDC">
      <w:pPr>
        <w:shd w:val="clear" w:color="auto" w:fill="FFFFFF"/>
        <w:spacing w:after="80" w:line="240" w:lineRule="auto"/>
        <w:ind w:firstLine="288"/>
        <w:jc w:val="both"/>
        <w:rPr>
          <w:rFonts w:ascii="Arial" w:eastAsia="Times New Roman" w:hAnsi="Arial" w:cs="Arial"/>
          <w:color w:val="2F2F2F"/>
          <w:sz w:val="18"/>
          <w:szCs w:val="18"/>
          <w:lang w:eastAsia="es-MX"/>
        </w:rPr>
      </w:pPr>
      <w:r w:rsidRPr="00450CDC">
        <w:rPr>
          <w:rFonts w:ascii="Arial" w:eastAsia="Times New Roman" w:hAnsi="Arial" w:cs="Arial"/>
          <w:color w:val="2F2F2F"/>
          <w:sz w:val="18"/>
          <w:szCs w:val="18"/>
          <w:lang w:eastAsia="es-MX"/>
        </w:rPr>
        <w:t> </w:t>
      </w:r>
    </w:p>
    <w:p w:rsidR="00450CDC" w:rsidRPr="00450CDC" w:rsidRDefault="00450CDC" w:rsidP="00450CDC">
      <w:pPr>
        <w:shd w:val="clear" w:color="auto" w:fill="FFFFFF"/>
        <w:spacing w:after="80" w:line="240" w:lineRule="auto"/>
        <w:ind w:firstLine="288"/>
        <w:jc w:val="both"/>
        <w:rPr>
          <w:rFonts w:ascii="Arial" w:eastAsia="Times New Roman" w:hAnsi="Arial" w:cs="Arial"/>
          <w:color w:val="2F2F2F"/>
          <w:sz w:val="18"/>
          <w:szCs w:val="18"/>
          <w:lang w:eastAsia="es-MX"/>
        </w:rPr>
      </w:pPr>
      <w:r w:rsidRPr="00450CDC">
        <w:rPr>
          <w:rFonts w:ascii="Arial" w:eastAsia="Times New Roman" w:hAnsi="Arial" w:cs="Arial"/>
          <w:color w:val="2F2F2F"/>
          <w:sz w:val="18"/>
          <w:szCs w:val="18"/>
          <w:lang w:eastAsia="es-MX"/>
        </w:rPr>
        <w:t>Atentamente,</w:t>
      </w:r>
    </w:p>
    <w:p w:rsidR="00450CDC" w:rsidRPr="00450CDC" w:rsidRDefault="00450CDC" w:rsidP="00450CDC">
      <w:pPr>
        <w:shd w:val="clear" w:color="auto" w:fill="FFFFFF"/>
        <w:spacing w:after="80" w:line="240" w:lineRule="auto"/>
        <w:ind w:firstLine="288"/>
        <w:jc w:val="both"/>
        <w:rPr>
          <w:rFonts w:ascii="Arial" w:eastAsia="Times New Roman" w:hAnsi="Arial" w:cs="Arial"/>
          <w:color w:val="2F2F2F"/>
          <w:sz w:val="18"/>
          <w:szCs w:val="18"/>
          <w:lang w:eastAsia="es-MX"/>
        </w:rPr>
      </w:pPr>
      <w:r w:rsidRPr="00450CDC">
        <w:rPr>
          <w:rFonts w:ascii="Arial" w:eastAsia="Times New Roman" w:hAnsi="Arial" w:cs="Arial"/>
          <w:color w:val="2F2F2F"/>
          <w:sz w:val="18"/>
          <w:szCs w:val="18"/>
          <w:lang w:eastAsia="es-MX"/>
        </w:rPr>
        <w:t>Ciudad de México, a 14 de febrero de 2023.- Representante Titular de la Comisión Nacional de Cultura Física y Deporte, </w:t>
      </w:r>
      <w:r w:rsidRPr="00450CDC">
        <w:rPr>
          <w:rFonts w:ascii="Arial" w:eastAsia="Times New Roman" w:hAnsi="Arial" w:cs="Arial"/>
          <w:b/>
          <w:bCs/>
          <w:color w:val="2F2F2F"/>
          <w:sz w:val="18"/>
          <w:szCs w:val="18"/>
          <w:lang w:eastAsia="es-MX"/>
        </w:rPr>
        <w:t>Ana Gabriela Guevara Espinoza</w:t>
      </w:r>
      <w:r w:rsidRPr="00450CDC">
        <w:rPr>
          <w:rFonts w:ascii="Arial" w:eastAsia="Times New Roman" w:hAnsi="Arial" w:cs="Arial"/>
          <w:color w:val="2F2F2F"/>
          <w:sz w:val="18"/>
          <w:szCs w:val="18"/>
          <w:lang w:eastAsia="es-MX"/>
        </w:rPr>
        <w:t>.- Rúbrica.- Representante Titular del Comité Olímpico Mexicano, </w:t>
      </w:r>
      <w:r w:rsidRPr="00450CDC">
        <w:rPr>
          <w:rFonts w:ascii="Arial" w:eastAsia="Times New Roman" w:hAnsi="Arial" w:cs="Arial"/>
          <w:b/>
          <w:bCs/>
          <w:color w:val="2F2F2F"/>
          <w:sz w:val="18"/>
          <w:szCs w:val="18"/>
          <w:lang w:eastAsia="es-MX"/>
        </w:rPr>
        <w:t xml:space="preserve">María José Alcalá </w:t>
      </w:r>
      <w:proofErr w:type="spellStart"/>
      <w:r w:rsidRPr="00450CDC">
        <w:rPr>
          <w:rFonts w:ascii="Arial" w:eastAsia="Times New Roman" w:hAnsi="Arial" w:cs="Arial"/>
          <w:b/>
          <w:bCs/>
          <w:color w:val="2F2F2F"/>
          <w:sz w:val="18"/>
          <w:szCs w:val="18"/>
          <w:lang w:eastAsia="es-MX"/>
        </w:rPr>
        <w:t>Izguerra</w:t>
      </w:r>
      <w:proofErr w:type="spellEnd"/>
      <w:r w:rsidRPr="00450CDC">
        <w:rPr>
          <w:rFonts w:ascii="Arial" w:eastAsia="Times New Roman" w:hAnsi="Arial" w:cs="Arial"/>
          <w:color w:val="2F2F2F"/>
          <w:sz w:val="18"/>
          <w:szCs w:val="18"/>
          <w:lang w:eastAsia="es-MX"/>
        </w:rPr>
        <w:t>.- Rúbrica.- Representante Suplente de la Secretaría de Hacienda y Crédito Público, </w:t>
      </w:r>
      <w:r w:rsidRPr="00450CDC">
        <w:rPr>
          <w:rFonts w:ascii="Arial" w:eastAsia="Times New Roman" w:hAnsi="Arial" w:cs="Arial"/>
          <w:b/>
          <w:bCs/>
          <w:color w:val="2F2F2F"/>
          <w:sz w:val="18"/>
          <w:szCs w:val="18"/>
          <w:lang w:eastAsia="es-MX"/>
        </w:rPr>
        <w:t>Francisco Javier Arias Vázquez</w:t>
      </w:r>
      <w:r w:rsidRPr="00450CDC">
        <w:rPr>
          <w:rFonts w:ascii="Arial" w:eastAsia="Times New Roman" w:hAnsi="Arial" w:cs="Arial"/>
          <w:color w:val="2F2F2F"/>
          <w:sz w:val="18"/>
          <w:szCs w:val="18"/>
          <w:lang w:eastAsia="es-MX"/>
        </w:rPr>
        <w:t>.- Rúbrica.- Representante Titular del Servicio de Administración Tributaria, </w:t>
      </w:r>
      <w:proofErr w:type="spellStart"/>
      <w:r w:rsidRPr="00450CDC">
        <w:rPr>
          <w:rFonts w:ascii="Arial" w:eastAsia="Times New Roman" w:hAnsi="Arial" w:cs="Arial"/>
          <w:b/>
          <w:bCs/>
          <w:color w:val="2F2F2F"/>
          <w:sz w:val="18"/>
          <w:szCs w:val="18"/>
          <w:lang w:eastAsia="es-MX"/>
        </w:rPr>
        <w:t>Rodulfo</w:t>
      </w:r>
      <w:proofErr w:type="spellEnd"/>
      <w:r w:rsidRPr="00450CDC">
        <w:rPr>
          <w:rFonts w:ascii="Arial" w:eastAsia="Times New Roman" w:hAnsi="Arial" w:cs="Arial"/>
          <w:b/>
          <w:bCs/>
          <w:color w:val="2F2F2F"/>
          <w:sz w:val="18"/>
          <w:szCs w:val="18"/>
          <w:lang w:eastAsia="es-MX"/>
        </w:rPr>
        <w:t xml:space="preserve"> Herrera de los Santos</w:t>
      </w:r>
      <w:r w:rsidRPr="00450CDC">
        <w:rPr>
          <w:rFonts w:ascii="Arial" w:eastAsia="Times New Roman" w:hAnsi="Arial" w:cs="Arial"/>
          <w:color w:val="2F2F2F"/>
          <w:sz w:val="18"/>
          <w:szCs w:val="18"/>
          <w:lang w:eastAsia="es-MX"/>
        </w:rPr>
        <w:t>.- Rúbrica.</w:t>
      </w:r>
    </w:p>
    <w:p w:rsidR="00450CDC" w:rsidRPr="00450CDC" w:rsidRDefault="00450CDC" w:rsidP="00450CDC">
      <w:pPr>
        <w:shd w:val="clear" w:color="auto" w:fill="FFFFFF"/>
        <w:spacing w:after="101" w:line="240" w:lineRule="auto"/>
        <w:ind w:firstLine="288"/>
        <w:jc w:val="both"/>
        <w:rPr>
          <w:rFonts w:ascii="Arial" w:eastAsia="Times New Roman" w:hAnsi="Arial" w:cs="Arial"/>
          <w:color w:val="2F2F2F"/>
          <w:sz w:val="18"/>
          <w:szCs w:val="18"/>
          <w:lang w:eastAsia="es-MX"/>
        </w:rPr>
      </w:pPr>
      <w:r w:rsidRPr="00450CDC">
        <w:rPr>
          <w:rFonts w:ascii="Arial" w:eastAsia="Times New Roman" w:hAnsi="Arial" w:cs="Arial"/>
          <w:color w:val="2F2F2F"/>
          <w:sz w:val="18"/>
          <w:szCs w:val="18"/>
          <w:lang w:eastAsia="es-MX"/>
        </w:rPr>
        <w:t> </w:t>
      </w:r>
    </w:p>
    <w:p w:rsidR="00450CDC" w:rsidRPr="00450CDC" w:rsidRDefault="00450CDC" w:rsidP="00450CDC">
      <w:pPr>
        <w:shd w:val="clear" w:color="auto" w:fill="FFFFFF"/>
        <w:spacing w:after="101" w:line="240" w:lineRule="auto"/>
        <w:ind w:firstLine="288"/>
        <w:jc w:val="both"/>
        <w:rPr>
          <w:rFonts w:ascii="Arial" w:eastAsia="Times New Roman" w:hAnsi="Arial" w:cs="Arial"/>
          <w:color w:val="2F2F2F"/>
          <w:sz w:val="16"/>
          <w:szCs w:val="16"/>
          <w:lang w:eastAsia="es-MX"/>
        </w:rPr>
      </w:pPr>
      <w:r w:rsidRPr="00450CDC">
        <w:rPr>
          <w:rFonts w:ascii="Arial" w:eastAsia="Times New Roman" w:hAnsi="Arial" w:cs="Arial"/>
          <w:color w:val="2F2F2F"/>
          <w:sz w:val="16"/>
          <w:szCs w:val="16"/>
          <w:lang w:eastAsia="es-MX"/>
        </w:rPr>
        <w:t>1</w:t>
      </w:r>
      <w:r w:rsidRPr="00450CDC">
        <w:rPr>
          <w:rFonts w:ascii="Arial" w:eastAsia="Times New Roman" w:hAnsi="Arial" w:cs="Arial"/>
          <w:color w:val="2F2F2F"/>
          <w:sz w:val="20"/>
          <w:szCs w:val="20"/>
          <w:lang w:eastAsia="es-MX"/>
        </w:rPr>
        <w:t>     </w:t>
      </w:r>
      <w:r w:rsidRPr="00450CDC">
        <w:rPr>
          <w:rFonts w:ascii="Arial" w:eastAsia="Times New Roman" w:hAnsi="Arial" w:cs="Arial"/>
          <w:color w:val="2F2F2F"/>
          <w:sz w:val="16"/>
          <w:szCs w:val="16"/>
          <w:lang w:eastAsia="es-MX"/>
        </w:rPr>
        <w:t>De conformidad con el artículo 203, cuarto párrafo, fracción II del de Ley del Impuesto sobre la Renta, el monto total del estímulo fiscal al Deporte de Alto Rendimiento a distribuir entre los aspirantes al mismo, no debe exceder de 400 millones de pesos por cada ejercicio fiscal ni de 20 millones de pesos por cada contribuyente aportante, proyecto de inversión o programa.</w:t>
      </w:r>
    </w:p>
    <w:p w:rsidR="00450CDC" w:rsidRPr="00450CDC" w:rsidRDefault="00450CDC" w:rsidP="00450CDC">
      <w:pPr>
        <w:shd w:val="clear" w:color="auto" w:fill="FFFFFF"/>
        <w:spacing w:after="101" w:line="240" w:lineRule="auto"/>
        <w:ind w:firstLine="288"/>
        <w:jc w:val="both"/>
        <w:rPr>
          <w:rFonts w:ascii="Arial" w:eastAsia="Times New Roman" w:hAnsi="Arial" w:cs="Arial"/>
          <w:color w:val="2F2F2F"/>
          <w:sz w:val="16"/>
          <w:szCs w:val="16"/>
          <w:lang w:eastAsia="es-MX"/>
        </w:rPr>
      </w:pPr>
      <w:r w:rsidRPr="00450CDC">
        <w:rPr>
          <w:rFonts w:ascii="Arial" w:eastAsia="Times New Roman" w:hAnsi="Arial" w:cs="Arial"/>
          <w:color w:val="2F2F2F"/>
          <w:sz w:val="16"/>
          <w:szCs w:val="16"/>
          <w:lang w:eastAsia="es-MX"/>
        </w:rPr>
        <w:t>El Comité Interinstitucional en el periodo ordinario 2022, asignó el monto de $7</w:t>
      </w:r>
      <w:proofErr w:type="gramStart"/>
      <w:r w:rsidRPr="00450CDC">
        <w:rPr>
          <w:rFonts w:ascii="Arial" w:eastAsia="Times New Roman" w:hAnsi="Arial" w:cs="Arial"/>
          <w:color w:val="2F2F2F"/>
          <w:sz w:val="16"/>
          <w:szCs w:val="16"/>
          <w:lang w:eastAsia="es-MX"/>
        </w:rPr>
        <w:t>,000,000.00</w:t>
      </w:r>
      <w:proofErr w:type="gramEnd"/>
      <w:r w:rsidRPr="00450CDC">
        <w:rPr>
          <w:rFonts w:ascii="Arial" w:eastAsia="Times New Roman" w:hAnsi="Arial" w:cs="Arial"/>
          <w:color w:val="2F2F2F"/>
          <w:sz w:val="16"/>
          <w:szCs w:val="16"/>
          <w:lang w:eastAsia="es-MX"/>
        </w:rPr>
        <w:t xml:space="preserve"> (Siete millones de pesos 00/100 M.N.), quedando un remanente del estímulo por la cantidad de $393,000,000.00 (Trescientos noventa y tres millones de pesos 00/100 M.N.) Por lo anterior, con fundamento en la regla 11 de las Reglas Generales, el Comité emitió el Acuerdo 0018/2022, mediante el cual aprobó abrir un periodo extraordinario de recepción de solicitudes, en el que se autorizó un monto de $40</w:t>
      </w:r>
      <w:proofErr w:type="gramStart"/>
      <w:r w:rsidRPr="00450CDC">
        <w:rPr>
          <w:rFonts w:ascii="Arial" w:eastAsia="Times New Roman" w:hAnsi="Arial" w:cs="Arial"/>
          <w:color w:val="2F2F2F"/>
          <w:sz w:val="16"/>
          <w:szCs w:val="16"/>
          <w:lang w:eastAsia="es-MX"/>
        </w:rPr>
        <w:t>,000,000.00</w:t>
      </w:r>
      <w:proofErr w:type="gramEnd"/>
      <w:r w:rsidRPr="00450CDC">
        <w:rPr>
          <w:rFonts w:ascii="Arial" w:eastAsia="Times New Roman" w:hAnsi="Arial" w:cs="Arial"/>
          <w:color w:val="2F2F2F"/>
          <w:sz w:val="16"/>
          <w:szCs w:val="16"/>
          <w:lang w:eastAsia="es-MX"/>
        </w:rPr>
        <w:t xml:space="preserve"> (Cuarenta millones de pesos 00/100 M.N.) para dos PII.</w:t>
      </w:r>
    </w:p>
    <w:p w:rsidR="00450CDC" w:rsidRPr="00450CDC" w:rsidRDefault="00450CDC" w:rsidP="00450CDC">
      <w:pPr>
        <w:shd w:val="clear" w:color="auto" w:fill="FFFFFF"/>
        <w:spacing w:after="101" w:line="240" w:lineRule="auto"/>
        <w:ind w:firstLine="288"/>
        <w:jc w:val="both"/>
        <w:rPr>
          <w:rFonts w:ascii="Arial" w:eastAsia="Times New Roman" w:hAnsi="Arial" w:cs="Arial"/>
          <w:color w:val="2F2F2F"/>
          <w:sz w:val="16"/>
          <w:szCs w:val="16"/>
          <w:lang w:eastAsia="es-MX"/>
        </w:rPr>
      </w:pPr>
      <w:r w:rsidRPr="00450CDC">
        <w:rPr>
          <w:rFonts w:ascii="Arial" w:eastAsia="Times New Roman" w:hAnsi="Arial" w:cs="Arial"/>
          <w:color w:val="2F2F2F"/>
          <w:sz w:val="16"/>
          <w:szCs w:val="16"/>
          <w:lang w:eastAsia="es-MX"/>
        </w:rPr>
        <w:t>Con posterioridad a la autorización del estímulo fiscal por parte del Comité Interinstitucional, ningún contribuyente aportante declinó la aplicación del estímulo. Conforme a lo antes señalado, el monto final distribuido para los proyectos es la suma de las cantidades que se presentan en la tabla de este Acuerdo.</w:t>
      </w:r>
    </w:p>
    <w:p w:rsidR="00450CDC" w:rsidRDefault="00450CDC" w:rsidP="00450CDC">
      <w:pPr>
        <w:jc w:val="right"/>
      </w:pPr>
    </w:p>
    <w:sectPr w:rsidR="00450C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DC"/>
    <w:rsid w:val="00450CDC"/>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D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D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3604">
      <w:bodyDiv w:val="1"/>
      <w:marLeft w:val="0"/>
      <w:marRight w:val="0"/>
      <w:marTop w:val="0"/>
      <w:marBottom w:val="0"/>
      <w:divBdr>
        <w:top w:val="none" w:sz="0" w:space="0" w:color="auto"/>
        <w:left w:val="none" w:sz="0" w:space="0" w:color="auto"/>
        <w:bottom w:val="none" w:sz="0" w:space="0" w:color="auto"/>
        <w:right w:val="none" w:sz="0" w:space="0" w:color="auto"/>
      </w:divBdr>
      <w:divsChild>
        <w:div w:id="282352310">
          <w:marLeft w:val="0"/>
          <w:marRight w:val="0"/>
          <w:marTop w:val="0"/>
          <w:marBottom w:val="80"/>
          <w:divBdr>
            <w:top w:val="none" w:sz="0" w:space="0" w:color="auto"/>
            <w:left w:val="none" w:sz="0" w:space="0" w:color="auto"/>
            <w:bottom w:val="none" w:sz="0" w:space="0" w:color="auto"/>
            <w:right w:val="none" w:sz="0" w:space="0" w:color="auto"/>
          </w:divBdr>
        </w:div>
        <w:div w:id="167409042">
          <w:marLeft w:val="0"/>
          <w:marRight w:val="0"/>
          <w:marTop w:val="0"/>
          <w:marBottom w:val="80"/>
          <w:divBdr>
            <w:top w:val="none" w:sz="0" w:space="0" w:color="auto"/>
            <w:left w:val="none" w:sz="0" w:space="0" w:color="auto"/>
            <w:bottom w:val="none" w:sz="0" w:space="0" w:color="auto"/>
            <w:right w:val="none" w:sz="0" w:space="0" w:color="auto"/>
          </w:divBdr>
        </w:div>
        <w:div w:id="352532072">
          <w:marLeft w:val="0"/>
          <w:marRight w:val="0"/>
          <w:marTop w:val="20"/>
          <w:marBottom w:val="20"/>
          <w:divBdr>
            <w:top w:val="none" w:sz="0" w:space="0" w:color="auto"/>
            <w:left w:val="none" w:sz="0" w:space="0" w:color="auto"/>
            <w:bottom w:val="none" w:sz="0" w:space="0" w:color="auto"/>
            <w:right w:val="none" w:sz="0" w:space="0" w:color="auto"/>
          </w:divBdr>
        </w:div>
        <w:div w:id="1429154958">
          <w:marLeft w:val="0"/>
          <w:marRight w:val="0"/>
          <w:marTop w:val="20"/>
          <w:marBottom w:val="20"/>
          <w:divBdr>
            <w:top w:val="none" w:sz="0" w:space="0" w:color="auto"/>
            <w:left w:val="none" w:sz="0" w:space="0" w:color="auto"/>
            <w:bottom w:val="none" w:sz="0" w:space="0" w:color="auto"/>
            <w:right w:val="none" w:sz="0" w:space="0" w:color="auto"/>
          </w:divBdr>
        </w:div>
        <w:div w:id="1642661119">
          <w:marLeft w:val="0"/>
          <w:marRight w:val="0"/>
          <w:marTop w:val="20"/>
          <w:marBottom w:val="20"/>
          <w:divBdr>
            <w:top w:val="none" w:sz="0" w:space="0" w:color="auto"/>
            <w:left w:val="none" w:sz="0" w:space="0" w:color="auto"/>
            <w:bottom w:val="none" w:sz="0" w:space="0" w:color="auto"/>
            <w:right w:val="none" w:sz="0" w:space="0" w:color="auto"/>
          </w:divBdr>
        </w:div>
        <w:div w:id="925184692">
          <w:marLeft w:val="0"/>
          <w:marRight w:val="0"/>
          <w:marTop w:val="20"/>
          <w:marBottom w:val="20"/>
          <w:divBdr>
            <w:top w:val="none" w:sz="0" w:space="0" w:color="auto"/>
            <w:left w:val="none" w:sz="0" w:space="0" w:color="auto"/>
            <w:bottom w:val="none" w:sz="0" w:space="0" w:color="auto"/>
            <w:right w:val="none" w:sz="0" w:space="0" w:color="auto"/>
          </w:divBdr>
        </w:div>
        <w:div w:id="947204385">
          <w:marLeft w:val="0"/>
          <w:marRight w:val="0"/>
          <w:marTop w:val="20"/>
          <w:marBottom w:val="20"/>
          <w:divBdr>
            <w:top w:val="none" w:sz="0" w:space="0" w:color="auto"/>
            <w:left w:val="none" w:sz="0" w:space="0" w:color="auto"/>
            <w:bottom w:val="none" w:sz="0" w:space="0" w:color="auto"/>
            <w:right w:val="none" w:sz="0" w:space="0" w:color="auto"/>
          </w:divBdr>
        </w:div>
        <w:div w:id="1705130950">
          <w:marLeft w:val="0"/>
          <w:marRight w:val="0"/>
          <w:marTop w:val="20"/>
          <w:marBottom w:val="20"/>
          <w:divBdr>
            <w:top w:val="none" w:sz="0" w:space="0" w:color="auto"/>
            <w:left w:val="none" w:sz="0" w:space="0" w:color="auto"/>
            <w:bottom w:val="none" w:sz="0" w:space="0" w:color="auto"/>
            <w:right w:val="none" w:sz="0" w:space="0" w:color="auto"/>
          </w:divBdr>
        </w:div>
        <w:div w:id="677121660">
          <w:marLeft w:val="0"/>
          <w:marRight w:val="0"/>
          <w:marTop w:val="20"/>
          <w:marBottom w:val="20"/>
          <w:divBdr>
            <w:top w:val="none" w:sz="0" w:space="0" w:color="auto"/>
            <w:left w:val="none" w:sz="0" w:space="0" w:color="auto"/>
            <w:bottom w:val="none" w:sz="0" w:space="0" w:color="auto"/>
            <w:right w:val="none" w:sz="0" w:space="0" w:color="auto"/>
          </w:divBdr>
        </w:div>
        <w:div w:id="1178154234">
          <w:marLeft w:val="0"/>
          <w:marRight w:val="0"/>
          <w:marTop w:val="20"/>
          <w:marBottom w:val="20"/>
          <w:divBdr>
            <w:top w:val="none" w:sz="0" w:space="0" w:color="auto"/>
            <w:left w:val="none" w:sz="0" w:space="0" w:color="auto"/>
            <w:bottom w:val="none" w:sz="0" w:space="0" w:color="auto"/>
            <w:right w:val="none" w:sz="0" w:space="0" w:color="auto"/>
          </w:divBdr>
        </w:div>
        <w:div w:id="1984918861">
          <w:marLeft w:val="0"/>
          <w:marRight w:val="0"/>
          <w:marTop w:val="20"/>
          <w:marBottom w:val="20"/>
          <w:divBdr>
            <w:top w:val="none" w:sz="0" w:space="0" w:color="auto"/>
            <w:left w:val="none" w:sz="0" w:space="0" w:color="auto"/>
            <w:bottom w:val="none" w:sz="0" w:space="0" w:color="auto"/>
            <w:right w:val="none" w:sz="0" w:space="0" w:color="auto"/>
          </w:divBdr>
        </w:div>
        <w:div w:id="951280639">
          <w:marLeft w:val="0"/>
          <w:marRight w:val="0"/>
          <w:marTop w:val="20"/>
          <w:marBottom w:val="20"/>
          <w:divBdr>
            <w:top w:val="none" w:sz="0" w:space="0" w:color="auto"/>
            <w:left w:val="none" w:sz="0" w:space="0" w:color="auto"/>
            <w:bottom w:val="none" w:sz="0" w:space="0" w:color="auto"/>
            <w:right w:val="none" w:sz="0" w:space="0" w:color="auto"/>
          </w:divBdr>
        </w:div>
        <w:div w:id="1080172857">
          <w:marLeft w:val="0"/>
          <w:marRight w:val="0"/>
          <w:marTop w:val="20"/>
          <w:marBottom w:val="20"/>
          <w:divBdr>
            <w:top w:val="none" w:sz="0" w:space="0" w:color="auto"/>
            <w:left w:val="none" w:sz="0" w:space="0" w:color="auto"/>
            <w:bottom w:val="none" w:sz="0" w:space="0" w:color="auto"/>
            <w:right w:val="none" w:sz="0" w:space="0" w:color="auto"/>
          </w:divBdr>
        </w:div>
        <w:div w:id="382607890">
          <w:marLeft w:val="0"/>
          <w:marRight w:val="0"/>
          <w:marTop w:val="20"/>
          <w:marBottom w:val="20"/>
          <w:divBdr>
            <w:top w:val="none" w:sz="0" w:space="0" w:color="auto"/>
            <w:left w:val="none" w:sz="0" w:space="0" w:color="auto"/>
            <w:bottom w:val="none" w:sz="0" w:space="0" w:color="auto"/>
            <w:right w:val="none" w:sz="0" w:space="0" w:color="auto"/>
          </w:divBdr>
        </w:div>
        <w:div w:id="429740707">
          <w:marLeft w:val="0"/>
          <w:marRight w:val="0"/>
          <w:marTop w:val="20"/>
          <w:marBottom w:val="20"/>
          <w:divBdr>
            <w:top w:val="none" w:sz="0" w:space="0" w:color="auto"/>
            <w:left w:val="none" w:sz="0" w:space="0" w:color="auto"/>
            <w:bottom w:val="none" w:sz="0" w:space="0" w:color="auto"/>
            <w:right w:val="none" w:sz="0" w:space="0" w:color="auto"/>
          </w:divBdr>
        </w:div>
        <w:div w:id="1450663276">
          <w:marLeft w:val="0"/>
          <w:marRight w:val="0"/>
          <w:marTop w:val="20"/>
          <w:marBottom w:val="20"/>
          <w:divBdr>
            <w:top w:val="none" w:sz="0" w:space="0" w:color="auto"/>
            <w:left w:val="none" w:sz="0" w:space="0" w:color="auto"/>
            <w:bottom w:val="none" w:sz="0" w:space="0" w:color="auto"/>
            <w:right w:val="none" w:sz="0" w:space="0" w:color="auto"/>
          </w:divBdr>
        </w:div>
        <w:div w:id="273365254">
          <w:marLeft w:val="0"/>
          <w:marRight w:val="0"/>
          <w:marTop w:val="20"/>
          <w:marBottom w:val="20"/>
          <w:divBdr>
            <w:top w:val="none" w:sz="0" w:space="0" w:color="auto"/>
            <w:left w:val="none" w:sz="0" w:space="0" w:color="auto"/>
            <w:bottom w:val="none" w:sz="0" w:space="0" w:color="auto"/>
            <w:right w:val="none" w:sz="0" w:space="0" w:color="auto"/>
          </w:divBdr>
        </w:div>
        <w:div w:id="650981059">
          <w:marLeft w:val="0"/>
          <w:marRight w:val="0"/>
          <w:marTop w:val="20"/>
          <w:marBottom w:val="20"/>
          <w:divBdr>
            <w:top w:val="none" w:sz="0" w:space="0" w:color="auto"/>
            <w:left w:val="none" w:sz="0" w:space="0" w:color="auto"/>
            <w:bottom w:val="none" w:sz="0" w:space="0" w:color="auto"/>
            <w:right w:val="none" w:sz="0" w:space="0" w:color="auto"/>
          </w:divBdr>
        </w:div>
        <w:div w:id="213393518">
          <w:marLeft w:val="0"/>
          <w:marRight w:val="0"/>
          <w:marTop w:val="20"/>
          <w:marBottom w:val="20"/>
          <w:divBdr>
            <w:top w:val="none" w:sz="0" w:space="0" w:color="auto"/>
            <w:left w:val="none" w:sz="0" w:space="0" w:color="auto"/>
            <w:bottom w:val="none" w:sz="0" w:space="0" w:color="auto"/>
            <w:right w:val="none" w:sz="0" w:space="0" w:color="auto"/>
          </w:divBdr>
        </w:div>
        <w:div w:id="989410275">
          <w:marLeft w:val="0"/>
          <w:marRight w:val="0"/>
          <w:marTop w:val="20"/>
          <w:marBottom w:val="20"/>
          <w:divBdr>
            <w:top w:val="none" w:sz="0" w:space="0" w:color="auto"/>
            <w:left w:val="none" w:sz="0" w:space="0" w:color="auto"/>
            <w:bottom w:val="none" w:sz="0" w:space="0" w:color="auto"/>
            <w:right w:val="none" w:sz="0" w:space="0" w:color="auto"/>
          </w:divBdr>
        </w:div>
        <w:div w:id="570241373">
          <w:marLeft w:val="0"/>
          <w:marRight w:val="0"/>
          <w:marTop w:val="20"/>
          <w:marBottom w:val="20"/>
          <w:divBdr>
            <w:top w:val="none" w:sz="0" w:space="0" w:color="auto"/>
            <w:left w:val="none" w:sz="0" w:space="0" w:color="auto"/>
            <w:bottom w:val="none" w:sz="0" w:space="0" w:color="auto"/>
            <w:right w:val="none" w:sz="0" w:space="0" w:color="auto"/>
          </w:divBdr>
        </w:div>
        <w:div w:id="1173570793">
          <w:marLeft w:val="0"/>
          <w:marRight w:val="0"/>
          <w:marTop w:val="20"/>
          <w:marBottom w:val="20"/>
          <w:divBdr>
            <w:top w:val="none" w:sz="0" w:space="0" w:color="auto"/>
            <w:left w:val="none" w:sz="0" w:space="0" w:color="auto"/>
            <w:bottom w:val="none" w:sz="0" w:space="0" w:color="auto"/>
            <w:right w:val="none" w:sz="0" w:space="0" w:color="auto"/>
          </w:divBdr>
        </w:div>
        <w:div w:id="1112480506">
          <w:marLeft w:val="0"/>
          <w:marRight w:val="0"/>
          <w:marTop w:val="20"/>
          <w:marBottom w:val="20"/>
          <w:divBdr>
            <w:top w:val="none" w:sz="0" w:space="0" w:color="auto"/>
            <w:left w:val="none" w:sz="0" w:space="0" w:color="auto"/>
            <w:bottom w:val="none" w:sz="0" w:space="0" w:color="auto"/>
            <w:right w:val="none" w:sz="0" w:space="0" w:color="auto"/>
          </w:divBdr>
        </w:div>
        <w:div w:id="2079404511">
          <w:marLeft w:val="0"/>
          <w:marRight w:val="0"/>
          <w:marTop w:val="20"/>
          <w:marBottom w:val="20"/>
          <w:divBdr>
            <w:top w:val="none" w:sz="0" w:space="0" w:color="auto"/>
            <w:left w:val="none" w:sz="0" w:space="0" w:color="auto"/>
            <w:bottom w:val="none" w:sz="0" w:space="0" w:color="auto"/>
            <w:right w:val="none" w:sz="0" w:space="0" w:color="auto"/>
          </w:divBdr>
        </w:div>
        <w:div w:id="932396111">
          <w:marLeft w:val="0"/>
          <w:marRight w:val="0"/>
          <w:marTop w:val="0"/>
          <w:marBottom w:val="80"/>
          <w:divBdr>
            <w:top w:val="none" w:sz="0" w:space="0" w:color="auto"/>
            <w:left w:val="none" w:sz="0" w:space="0" w:color="auto"/>
            <w:bottom w:val="none" w:sz="0" w:space="0" w:color="auto"/>
            <w:right w:val="none" w:sz="0" w:space="0" w:color="auto"/>
          </w:divBdr>
        </w:div>
        <w:div w:id="1201436648">
          <w:marLeft w:val="0"/>
          <w:marRight w:val="0"/>
          <w:marTop w:val="0"/>
          <w:marBottom w:val="80"/>
          <w:divBdr>
            <w:top w:val="none" w:sz="0" w:space="0" w:color="auto"/>
            <w:left w:val="none" w:sz="0" w:space="0" w:color="auto"/>
            <w:bottom w:val="none" w:sz="0" w:space="0" w:color="auto"/>
            <w:right w:val="none" w:sz="0" w:space="0" w:color="auto"/>
          </w:divBdr>
        </w:div>
        <w:div w:id="675302579">
          <w:marLeft w:val="0"/>
          <w:marRight w:val="0"/>
          <w:marTop w:val="0"/>
          <w:marBottom w:val="80"/>
          <w:divBdr>
            <w:top w:val="none" w:sz="0" w:space="0" w:color="auto"/>
            <w:left w:val="none" w:sz="0" w:space="0" w:color="auto"/>
            <w:bottom w:val="none" w:sz="0" w:space="0" w:color="auto"/>
            <w:right w:val="none" w:sz="0" w:space="0" w:color="auto"/>
          </w:divBdr>
        </w:div>
        <w:div w:id="290943537">
          <w:marLeft w:val="0"/>
          <w:marRight w:val="0"/>
          <w:marTop w:val="0"/>
          <w:marBottom w:val="101"/>
          <w:divBdr>
            <w:top w:val="none" w:sz="0" w:space="0" w:color="auto"/>
            <w:left w:val="none" w:sz="0" w:space="0" w:color="auto"/>
            <w:bottom w:val="none" w:sz="0" w:space="0" w:color="auto"/>
            <w:right w:val="none" w:sz="0" w:space="0" w:color="auto"/>
          </w:divBdr>
        </w:div>
        <w:div w:id="1653485099">
          <w:marLeft w:val="0"/>
          <w:marRight w:val="0"/>
          <w:marTop w:val="0"/>
          <w:marBottom w:val="101"/>
          <w:divBdr>
            <w:top w:val="none" w:sz="0" w:space="0" w:color="auto"/>
            <w:left w:val="none" w:sz="0" w:space="0" w:color="auto"/>
            <w:bottom w:val="none" w:sz="0" w:space="0" w:color="auto"/>
            <w:right w:val="none" w:sz="0" w:space="0" w:color="auto"/>
          </w:divBdr>
        </w:div>
        <w:div w:id="993873388">
          <w:marLeft w:val="0"/>
          <w:marRight w:val="0"/>
          <w:marTop w:val="0"/>
          <w:marBottom w:val="101"/>
          <w:divBdr>
            <w:top w:val="none" w:sz="0" w:space="0" w:color="auto"/>
            <w:left w:val="none" w:sz="0" w:space="0" w:color="auto"/>
            <w:bottom w:val="none" w:sz="0" w:space="0" w:color="auto"/>
            <w:right w:val="none" w:sz="0" w:space="0" w:color="auto"/>
          </w:divBdr>
        </w:div>
        <w:div w:id="183186962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576</Words>
  <Characters>3173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2023-02-27T14:27:00Z</dcterms:created>
  <dcterms:modified xsi:type="dcterms:W3CDTF">2023-02-27T14:29:00Z</dcterms:modified>
</cp:coreProperties>
</file>