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66" w:rsidRPr="00CD4F66" w:rsidRDefault="00CD4F66" w:rsidP="00CD4F66">
      <w:pPr>
        <w:pStyle w:val="cabeza"/>
        <w:spacing w:before="0" w:beforeAutospacing="0" w:after="0" w:afterAutospacing="0"/>
        <w:rPr>
          <w:rFonts w:ascii="Verdana" w:hAnsi="Verdana"/>
          <w:b/>
          <w:bCs/>
          <w:color w:val="000000"/>
          <w:sz w:val="20"/>
          <w:szCs w:val="20"/>
          <w:lang w:val="es-ES_tradnl"/>
        </w:rPr>
      </w:pPr>
    </w:p>
    <w:p w:rsidR="00CD4F66" w:rsidRPr="00CD4F66" w:rsidRDefault="00CD4F66" w:rsidP="00CD4F66">
      <w:pPr>
        <w:pStyle w:val="titulo1"/>
        <w:spacing w:before="120" w:beforeAutospacing="0" w:after="0" w:afterAutospacing="0"/>
        <w:jc w:val="center"/>
        <w:rPr>
          <w:rStyle w:val="Textoennegrita"/>
          <w:rFonts w:ascii="Verdana" w:hAnsi="Verdana"/>
          <w:color w:val="548DD4" w:themeColor="text2" w:themeTint="99"/>
          <w:sz w:val="22"/>
          <w:szCs w:val="22"/>
        </w:rPr>
      </w:pPr>
      <w:r w:rsidRPr="00CD4F66">
        <w:rPr>
          <w:rStyle w:val="Textoennegrita"/>
          <w:rFonts w:ascii="Verdana" w:hAnsi="Verdana"/>
          <w:color w:val="548DD4" w:themeColor="text2" w:themeTint="99"/>
          <w:sz w:val="22"/>
          <w:szCs w:val="22"/>
        </w:rPr>
        <w:t>Acuerdo SS/9/2015 por el que se reforman, adicionan y derogan diversas disposiciones del Reglamento Interior del Tribunal Federal de Justicia Fiscal y Administrativa</w:t>
      </w:r>
    </w:p>
    <w:p w:rsidR="00CD4F66" w:rsidRPr="00CD4F66" w:rsidRDefault="00CD4F66" w:rsidP="00CD4F66">
      <w:pPr>
        <w:pStyle w:val="titulo1"/>
        <w:spacing w:before="120" w:beforeAutospacing="0" w:after="0" w:afterAutospacing="0"/>
        <w:jc w:val="center"/>
        <w:rPr>
          <w:rStyle w:val="Textoennegrita"/>
          <w:rFonts w:ascii="Verdana" w:hAnsi="Verdana"/>
          <w:color w:val="548DD4" w:themeColor="text2" w:themeTint="99"/>
          <w:sz w:val="22"/>
          <w:szCs w:val="22"/>
        </w:rPr>
      </w:pPr>
      <w:r w:rsidRPr="00CD4F66">
        <w:rPr>
          <w:rStyle w:val="Textoennegrita"/>
          <w:rFonts w:ascii="Verdana" w:hAnsi="Verdana"/>
          <w:color w:val="548DD4" w:themeColor="text2" w:themeTint="99"/>
          <w:sz w:val="22"/>
          <w:szCs w:val="22"/>
        </w:rPr>
        <w:t>(DOF 26 de agosto de 2015)</w:t>
      </w:r>
    </w:p>
    <w:p w:rsidR="00CD4F66" w:rsidRPr="00CD4F66" w:rsidRDefault="00CD4F66" w:rsidP="00CD4F66">
      <w:pPr>
        <w:pStyle w:val="titulo1"/>
        <w:spacing w:before="120" w:beforeAutospacing="0" w:after="0" w:afterAutospacing="0"/>
        <w:jc w:val="center"/>
        <w:rPr>
          <w:rStyle w:val="Textoennegrita"/>
          <w:color w:val="548DD4" w:themeColor="text2" w:themeTint="99"/>
        </w:rPr>
      </w:pPr>
    </w:p>
    <w:p w:rsidR="00CD4F66" w:rsidRPr="00CD4F66" w:rsidRDefault="00CD4F66" w:rsidP="00CD4F66">
      <w:pPr>
        <w:pStyle w:val="titulo2"/>
        <w:spacing w:before="0" w:beforeAutospacing="0" w:after="101" w:afterAutospacing="0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color w:val="000000"/>
          <w:sz w:val="20"/>
          <w:szCs w:val="20"/>
        </w:rPr>
        <w:t>Al margen un sello con el Escudo Nacional, que dice: Estados Unidos Mexicanos.- Tribunal Federal de Justicia Fiscal y Administrativa.-Sala Superior.</w:t>
      </w:r>
    </w:p>
    <w:p w:rsidR="00CD4F66" w:rsidRPr="00CD4F66" w:rsidRDefault="00CD4F66" w:rsidP="00CD4F66">
      <w:pPr>
        <w:pStyle w:val="anotacion"/>
        <w:spacing w:before="101" w:beforeAutospacing="0" w:after="101" w:afterAutospacing="0" w:line="218" w:lineRule="atLeast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CD4F66">
        <w:rPr>
          <w:rFonts w:ascii="Verdana" w:hAnsi="Verdana"/>
          <w:b/>
          <w:bCs/>
          <w:color w:val="000000"/>
          <w:sz w:val="20"/>
          <w:szCs w:val="20"/>
          <w:lang w:val="es-ES_tradnl"/>
        </w:rPr>
        <w:t>ACUERDO SS/9/2015</w:t>
      </w:r>
    </w:p>
    <w:p w:rsidR="00CD4F66" w:rsidRPr="00CD4F66" w:rsidRDefault="00CD4F66" w:rsidP="00CD4F66">
      <w:pPr>
        <w:pStyle w:val="texto"/>
        <w:spacing w:before="0" w:beforeAutospacing="0" w:after="60" w:afterAutospacing="0" w:line="218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color w:val="000000"/>
          <w:sz w:val="20"/>
          <w:szCs w:val="20"/>
        </w:rPr>
        <w:t>POR EL QUE SE REFORMAN, ADICIONAN Y DEROGAN DIVERSAS DISPOSICIONES DEL REGLAMENTO INTERIOR DEL TRIBUNAL FEDERAL DE JUSTICIA FISCAL Y ADMINISTRATIVA.</w:t>
      </w:r>
    </w:p>
    <w:p w:rsidR="00CD4F66" w:rsidRPr="00CD4F66" w:rsidRDefault="00CD4F66" w:rsidP="00CD4F66">
      <w:pPr>
        <w:pStyle w:val="texto"/>
        <w:spacing w:before="0" w:beforeAutospacing="0" w:after="60" w:afterAutospacing="0" w:line="218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La Sala Superior con fundamento en los artículos 2, 16 y 18, fracción II, de la Ley Orgánica del Tribunal Federal de Justicia Fiscal y Administrativa; y 8, fracciones III y V, del Reglamento Interior de este Órgano Jurisdiccional, y</w:t>
      </w:r>
    </w:p>
    <w:p w:rsidR="00CD4F66" w:rsidRPr="00CD4F66" w:rsidRDefault="00CD4F66" w:rsidP="00CD4F66">
      <w:pPr>
        <w:pStyle w:val="anotacion"/>
        <w:spacing w:before="101" w:beforeAutospacing="0" w:after="60" w:afterAutospacing="0" w:line="218" w:lineRule="atLeast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CD4F66">
        <w:rPr>
          <w:rFonts w:ascii="Verdana" w:hAnsi="Verdana"/>
          <w:b/>
          <w:bCs/>
          <w:color w:val="000000"/>
          <w:sz w:val="20"/>
          <w:szCs w:val="20"/>
          <w:lang w:val="es-ES_tradnl"/>
        </w:rPr>
        <w:t>CONSIDERANDO</w:t>
      </w:r>
    </w:p>
    <w:p w:rsidR="00CD4F66" w:rsidRPr="00CD4F66" w:rsidRDefault="00CD4F66" w:rsidP="00CD4F66">
      <w:pPr>
        <w:pStyle w:val="texto"/>
        <w:spacing w:before="0" w:beforeAutospacing="0" w:after="60" w:afterAutospacing="0" w:line="218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PRIMERO.-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Que el Tribunal Federal de Justicia Fiscal y Administrativa es un tribunal de lo contencioso-administrativo, dotado de plena autonomía para dictar sus fallos para dirimir las controversias entre la administración pública federal y los particulares, conforme lo establece el artículo 73, fracción XXIX-H de la Constitución Política de los Estados Unidos Mexicanos, en relación con el diverso Octavo Transitorio, último párrafo, del Decreto por el que se reforman, adicionan y derogan diversas disposiciones de la Constitución Política de los Estados Unidos Mexicanos en materia de combate a la corrupción, publicado en el Diario Oficial de la Federación el 27 de mayo de 2015;</w:t>
      </w:r>
    </w:p>
    <w:p w:rsidR="00CD4F66" w:rsidRPr="00CD4F66" w:rsidRDefault="00CD4F66" w:rsidP="00CD4F66">
      <w:pPr>
        <w:pStyle w:val="texto"/>
        <w:spacing w:before="0" w:beforeAutospacing="0" w:after="60" w:afterAutospacing="0" w:line="218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SEGUNDO.-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Que el artículo 17 de la Constitución Política de los Estados Unidos Mexicanos establece que los tribunales del país estarán expeditos para impartir justicia de manera pronta, completa e imparcial, por lo que el Tribunal Federal de Justicia Fiscal y Administrativa se encuentra obligado a garantizar a los gobernados este mandato de la Carta Magna de manera puntual;</w:t>
      </w:r>
    </w:p>
    <w:p w:rsidR="00CD4F66" w:rsidRPr="00CD4F66" w:rsidRDefault="00CD4F66" w:rsidP="00CD4F66">
      <w:pPr>
        <w:pStyle w:val="texto"/>
        <w:spacing w:before="0" w:beforeAutospacing="0" w:after="60" w:afterAutospacing="0" w:line="218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TERCERO.-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Que la Contraloría Interna del Tribunal Federal de Justicia Fiscal y Administrativa, de conformidad con lo que establece el artículo 94 del Reglamento Interior del Tribunal Federal de Justicia Fiscal y Administrativa, es el órgano, dependiente del Pleno del Tribunal, encargado de auditar, visitar, inspeccionar y revisar a las unidades administrativas que integran el Tribunal, así como realizar las actividades relacionadas con la Situación Patrimonial de los mencionados servidores públicos y resolver las quejas, denuncias y responsabilidades que se les imputen.</w:t>
      </w:r>
    </w:p>
    <w:p w:rsidR="00CD4F66" w:rsidRPr="00CD4F66" w:rsidRDefault="00CD4F66" w:rsidP="00CD4F66">
      <w:pPr>
        <w:pStyle w:val="texto"/>
        <w:spacing w:before="0" w:beforeAutospacing="0" w:after="60" w:afterAutospacing="0" w:line="217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CUARTO.-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Que en concordancia con el Acuerdo E/JGA/18/2015 por el que se establecen las Disposiciones del Marco de Control Interno Institucional del Tribunal Federal de Justicia Fiscal y Administrativa, publicado en el Diario Oficial de la Federación el 14 de julio de 2015, es necesario fortalecer a la Contraloría Interna del Tribunal Federal de Justicia Fiscal y Administrativa y dotarla con las facultades necesarias para el adecuado desarrollo de sus funciones.</w:t>
      </w:r>
    </w:p>
    <w:p w:rsidR="00CD4F66" w:rsidRPr="00CD4F66" w:rsidRDefault="00CD4F66" w:rsidP="00CD4F66">
      <w:pPr>
        <w:pStyle w:val="texto"/>
        <w:spacing w:before="0" w:beforeAutospacing="0" w:after="60" w:afterAutospacing="0" w:line="217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QUINTO.-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Que el artículo 39 de la Ley Orgánica del Tribunal establece que la Junta de Gobierno y Administración será el órgano del Tribunal que tendrá a su cargo la administración, vigilancia, disciplina y carrera jurisdiccional, y ejercerá sus funciones con autonomía técnica y de gestión para el adecuado cumplimiento de sus funciones.</w:t>
      </w:r>
    </w:p>
    <w:p w:rsidR="00CD4F66" w:rsidRPr="00CD4F66" w:rsidRDefault="00CD4F66" w:rsidP="00CD4F66">
      <w:pPr>
        <w:pStyle w:val="texto"/>
        <w:spacing w:before="0" w:beforeAutospacing="0" w:after="60" w:afterAutospacing="0" w:line="217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lastRenderedPageBreak/>
        <w:t>SEXTO.-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Que la Junta de Gobierno y Administración está facultada para emitir el dictamen correspondiente a toda propuesta para adicionar, reformar o derogar las disposiciones del Reglamento Interior del Tribunal, el cual en caso de ser positivo deberá remitirse al Presidente del Tribunal con el objeto de que sea sometido a consideración de la Sala Superior, de conformidad con el artículo 8 de dicho ordenamiento.</w:t>
      </w:r>
    </w:p>
    <w:p w:rsidR="00CD4F66" w:rsidRPr="00CD4F66" w:rsidRDefault="00CD4F66" w:rsidP="00CD4F66">
      <w:pPr>
        <w:pStyle w:val="texto"/>
        <w:spacing w:before="0" w:beforeAutospacing="0" w:after="60" w:afterAutospacing="0" w:line="217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SÉPTIMO.-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Que el día 11 de agosto de 2015, la Junta de Gobierno y Administración emitió dictamen en sentido positivo respecto del proyecto por el que se reforman los artículos 94, 97, 98 y 99 y se derogan los artículos 96 y 100, todos del Reglamento Interior del Tribunal Federal de Justicia Fiscal y Administrativa.</w:t>
      </w:r>
    </w:p>
    <w:p w:rsidR="00CD4F66" w:rsidRPr="00CD4F66" w:rsidRDefault="00CD4F66" w:rsidP="00CD4F66">
      <w:pPr>
        <w:pStyle w:val="texto"/>
        <w:spacing w:before="0" w:beforeAutospacing="0" w:after="60" w:afterAutospacing="0" w:line="217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OCTAVO.-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Que de conformidad con estos razonamientos y con base en los dispositivos jurídicos antes mencionados, la Sala Superior ha estimado procedente reformar el Reglamento Interior del Tribunal al tenor del siguiente:</w:t>
      </w:r>
    </w:p>
    <w:p w:rsidR="00CD4F66" w:rsidRPr="00CD4F66" w:rsidRDefault="00CD4F66" w:rsidP="00CD4F66">
      <w:pPr>
        <w:pStyle w:val="anotacion"/>
        <w:spacing w:before="101" w:beforeAutospacing="0" w:after="60" w:afterAutospacing="0" w:line="217" w:lineRule="atLeast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CD4F66">
        <w:rPr>
          <w:rFonts w:ascii="Verdana" w:hAnsi="Verdana"/>
          <w:b/>
          <w:bCs/>
          <w:color w:val="000000"/>
          <w:sz w:val="20"/>
          <w:szCs w:val="20"/>
          <w:lang w:val="es-ES_tradnl"/>
        </w:rPr>
        <w:t>ACUERDO POR EL QUE SE REFORMAN, ADICIONAN Y DEROGAN DIVERSAS DISPOSICIONES DEL REGLAMENTO INTERIOR DEL TRIBUNAL FEDERAL DE JUSTICIA FISCAL Y ADMINISTRATIVA</w:t>
      </w:r>
    </w:p>
    <w:p w:rsidR="00CD4F66" w:rsidRPr="00CD4F66" w:rsidRDefault="00CD4F66" w:rsidP="00CD4F66">
      <w:pPr>
        <w:pStyle w:val="texto"/>
        <w:spacing w:before="0" w:beforeAutospacing="0" w:after="101" w:afterAutospacing="0" w:line="217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ARTÍCULO ÚNICO.-</w:t>
      </w:r>
      <w:r w:rsidRPr="00CD4F66">
        <w:rPr>
          <w:rStyle w:val="apple-converted-space"/>
          <w:rFonts w:ascii="Verdana" w:hAnsi="Verdana" w:cs="Arial"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Se</w:t>
      </w:r>
      <w:r w:rsidRPr="00CD4F66">
        <w:rPr>
          <w:rStyle w:val="apple-converted-space"/>
          <w:rFonts w:ascii="Verdana" w:hAnsi="Verdana" w:cs="Arial"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REFORMAN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los artículos 94, fracciones VII y XIII, y último párrafo; 97, primer párrafo, fracción X; 98, primer párrafo, fracciones I, II, III, IV y X; y 99, primer párrafo, fracciones I, II, III, IV, V, VI y VII, VIII; se</w:t>
      </w:r>
      <w:r w:rsidRPr="00CD4F66">
        <w:rPr>
          <w:rStyle w:val="apple-converted-space"/>
          <w:rFonts w:ascii="Verdana" w:hAnsi="Verdana" w:cs="Arial"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ADICIONAN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las fracciones XIV, XV, XVI, al artículo 94, la fracción XI, y un último párrafo, al artículo 97; las fracciones XI, XII, XIII, XIV, XV, XVI, XVII, XVIII, XIX, XX, XXI, XXII, XXIII, XXIV, XXV y XXVI y un último párrafo, al artículo 98; y las fracciones IX, X, XI, XII, XIII, XIV y un último párrafo, al artículo 99; y se</w:t>
      </w:r>
      <w:r w:rsidRPr="00CD4F66">
        <w:rPr>
          <w:rStyle w:val="apple-converted-space"/>
          <w:rFonts w:ascii="Verdana" w:hAnsi="Verdana" w:cs="Arial"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DEROGAN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los artículos</w:t>
      </w:r>
      <w:r w:rsidRPr="00CD4F66">
        <w:rPr>
          <w:rStyle w:val="apple-converted-space"/>
          <w:rFonts w:ascii="Verdana" w:hAnsi="Verdana" w:cs="Arial"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96 y 100 del Reglamento Interior del Tribunal Federal de Justicia Fiscal y Administrativa, para quedar como sigue:</w:t>
      </w:r>
    </w:p>
    <w:p w:rsidR="00CD4F66" w:rsidRPr="00CD4F66" w:rsidRDefault="00CD4F66" w:rsidP="00CD4F66">
      <w:pPr>
        <w:pStyle w:val="texto"/>
        <w:spacing w:before="0" w:beforeAutospacing="0" w:after="80" w:afterAutospacing="0" w:line="219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Artículo 94.-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(…)</w:t>
      </w:r>
    </w:p>
    <w:p w:rsidR="00CD4F66" w:rsidRPr="00CD4F66" w:rsidRDefault="00CD4F66" w:rsidP="00CD4F66">
      <w:pPr>
        <w:pStyle w:val="texto"/>
        <w:spacing w:before="0" w:beforeAutospacing="0" w:after="80" w:afterAutospacing="0" w:line="219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(…)</w:t>
      </w:r>
    </w:p>
    <w:p w:rsidR="00CD4F66" w:rsidRPr="00CD4F66" w:rsidRDefault="00CD4F66" w:rsidP="00CD4F66">
      <w:pPr>
        <w:pStyle w:val="texto"/>
        <w:spacing w:before="0" w:beforeAutospacing="0" w:after="80" w:afterAutospacing="0" w:line="219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I.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a</w:t>
      </w:r>
      <w:r w:rsidRPr="00CD4F66">
        <w:rPr>
          <w:rStyle w:val="apple-converted-space"/>
          <w:rFonts w:ascii="Verdana" w:hAnsi="Verdana" w:cs="Arial"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VI.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(…)</w:t>
      </w:r>
    </w:p>
    <w:p w:rsidR="00CD4F66" w:rsidRPr="00CD4F66" w:rsidRDefault="00CD4F66" w:rsidP="00CD4F66">
      <w:pPr>
        <w:pStyle w:val="texto"/>
        <w:spacing w:before="0" w:beforeAutospacing="0" w:after="80" w:afterAutospacing="0" w:line="219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VII.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Instruir los procedimientos, resolver los recursos, así como representar legalmente a la Contraloría Interna ante las instancias jurisdiccionales que conozcan de asuntos promovidos con motivo del ejercicio de sus atribuciones, dicha facultad de representación legal podrá ser ejercida conjunta o separadamente por los titulares de las áreas adscritas o mediante delegación a las mismas, de conformidad con el ámbito de su competencia. Asimismo, la Dirección General de Asuntos Jurídicos podrá ejercer directamente la representación legal ante las instancias jurisdiccionales a que se refiere esta fracción.</w:t>
      </w:r>
    </w:p>
    <w:p w:rsidR="00CD4F66" w:rsidRPr="00CD4F66" w:rsidRDefault="00CD4F66" w:rsidP="00CD4F66">
      <w:pPr>
        <w:pStyle w:val="texto"/>
        <w:spacing w:before="0" w:beforeAutospacing="0" w:after="80" w:afterAutospacing="0" w:line="219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VIII.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a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XII.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(…)</w:t>
      </w:r>
    </w:p>
    <w:p w:rsidR="00CD4F66" w:rsidRPr="00CD4F66" w:rsidRDefault="00CD4F66" w:rsidP="00CD4F66">
      <w:pPr>
        <w:pStyle w:val="texto"/>
        <w:spacing w:before="0" w:beforeAutospacing="0" w:after="80" w:afterAutospacing="0" w:line="219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XIII.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Propiciar y vigilar la implementación, actualización, supervisión y seguimiento del Sistema de Control Interno Institucional;</w:t>
      </w:r>
    </w:p>
    <w:p w:rsidR="00CD4F66" w:rsidRPr="00CD4F66" w:rsidRDefault="00CD4F66" w:rsidP="00CD4F66">
      <w:pPr>
        <w:pStyle w:val="texto"/>
        <w:spacing w:before="0" w:beforeAutospacing="0" w:after="80" w:afterAutospacing="0" w:line="219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XIV.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Promover conjuntamente con las coordinaciones adscritas a la Contraloría Interna la celebración y actualización de convenios con las autoridades federales y locales competentes, en materia de Contraloría y gestionar el intercambio de información, previa autorización del Pleno Jurisdiccional;</w:t>
      </w:r>
    </w:p>
    <w:p w:rsidR="00CD4F66" w:rsidRPr="00CD4F66" w:rsidRDefault="00CD4F66" w:rsidP="00CD4F66">
      <w:pPr>
        <w:pStyle w:val="texto"/>
        <w:spacing w:before="0" w:beforeAutospacing="0" w:after="80" w:afterAutospacing="0" w:line="219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XV.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Intervenir, por conducto de la Coordinación General de Control Interno y Auditoría del Desempeño, como asesor en los Comités de Adquisiciones, Arrendamientos y Servicios, de Bienes Muebles, Obras Públicas y Servicios relacionados con las mismas, y de Control Interno; y</w:t>
      </w:r>
    </w:p>
    <w:p w:rsidR="00CD4F66" w:rsidRPr="00CD4F66" w:rsidRDefault="00CD4F66" w:rsidP="00CD4F66">
      <w:pPr>
        <w:pStyle w:val="texto"/>
        <w:spacing w:before="0" w:beforeAutospacing="0" w:after="80" w:afterAutospacing="0" w:line="219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XVI.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 xml:space="preserve">Las demás que le confieran las disposiciones jurídicas aplicables y los acuerdos que expida el Pleno Jurisdiccional de la Sala Superior y la Junta, en el ámbito de sus 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lastRenderedPageBreak/>
        <w:t>respectivas competencias, así como las que competan a las unidades administrativas que tenga adscritas.</w:t>
      </w:r>
    </w:p>
    <w:p w:rsidR="00CD4F66" w:rsidRPr="00CD4F66" w:rsidRDefault="00CD4F66" w:rsidP="00CD4F66">
      <w:pPr>
        <w:pStyle w:val="texto"/>
        <w:spacing w:before="0" w:beforeAutospacing="0" w:after="80" w:afterAutospacing="0" w:line="219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Para el desempeño de sus funciones, la Contraloría Interna contará y tendrá adscritas a las Coordinaciones Generales de Auditoría; la de Quejas, Denuncias, Responsabilidades y Registro Patrimonial y la de Control Interno y Auditoría del Desempeño, y para el ejercicio de las atribuciones previstas en la fracción XII de este artículo contará con la Unidad de Seguimiento de Visitas.</w:t>
      </w:r>
    </w:p>
    <w:p w:rsidR="00CD4F66" w:rsidRPr="00CD4F66" w:rsidRDefault="00CD4F66" w:rsidP="00CD4F66">
      <w:pPr>
        <w:pStyle w:val="texto"/>
        <w:spacing w:before="0" w:beforeAutospacing="0" w:after="80" w:afterAutospacing="0" w:line="219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Artículo 96.-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Se deroga.</w:t>
      </w:r>
    </w:p>
    <w:p w:rsidR="00CD4F66" w:rsidRPr="00CD4F66" w:rsidRDefault="00CD4F66" w:rsidP="00CD4F66">
      <w:pPr>
        <w:pStyle w:val="texto"/>
        <w:spacing w:before="0" w:beforeAutospacing="0" w:after="80" w:afterAutospacing="0" w:line="219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Artículo 97.-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Corresponde a la Coordinación General de Auditoría:</w:t>
      </w:r>
    </w:p>
    <w:p w:rsidR="00CD4F66" w:rsidRPr="00CD4F66" w:rsidRDefault="00CD4F66" w:rsidP="00CD4F66">
      <w:pPr>
        <w:pStyle w:val="texto"/>
        <w:spacing w:before="0" w:beforeAutospacing="0" w:after="80" w:afterAutospacing="0" w:line="219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I.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a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IX.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(…)</w:t>
      </w:r>
    </w:p>
    <w:p w:rsidR="00CD4F66" w:rsidRPr="00CD4F66" w:rsidRDefault="00CD4F66" w:rsidP="00CD4F66">
      <w:pPr>
        <w:pStyle w:val="texto"/>
        <w:spacing w:before="0" w:beforeAutospacing="0" w:after="80" w:afterAutospacing="0" w:line="219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X.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Expedir y certificar las copias de documentos o constancias que existan en sus archivos, cuando proceda o a petición de autoridad competente; y</w:t>
      </w:r>
    </w:p>
    <w:p w:rsidR="00CD4F66" w:rsidRPr="00CD4F66" w:rsidRDefault="00CD4F66" w:rsidP="00CD4F66">
      <w:pPr>
        <w:pStyle w:val="texto"/>
        <w:spacing w:before="0" w:beforeAutospacing="0" w:after="80" w:afterAutospacing="0" w:line="219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XI.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Las demás que le confieran otras disposiciones jurídicas y el Pleno Jurisdiccional de la Sala Superior.</w:t>
      </w:r>
    </w:p>
    <w:p w:rsidR="00CD4F66" w:rsidRPr="00CD4F66" w:rsidRDefault="00CD4F66" w:rsidP="00CD4F66">
      <w:pPr>
        <w:pStyle w:val="texto"/>
        <w:spacing w:before="0" w:beforeAutospacing="0" w:after="80" w:afterAutospacing="0" w:line="219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Sin perjuicio de su ejercicio directo por parte del Titular de la Coordinación General de Auditoría, al Director de Auditoría corresponderá el ejercicio de las atribuciones previstas en las fracciones I a IX de este artículo.</w:t>
      </w:r>
    </w:p>
    <w:p w:rsidR="00CD4F66" w:rsidRPr="00CD4F66" w:rsidRDefault="00CD4F66" w:rsidP="00CD4F66">
      <w:pPr>
        <w:pStyle w:val="texto"/>
        <w:spacing w:before="0" w:beforeAutospacing="0" w:after="80" w:afterAutospacing="0" w:line="219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Artículo 98.-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Corresponde a la Coordinación General de Quejas, Denuncias, Responsabilidades y Registro Patrimonial:</w:t>
      </w:r>
    </w:p>
    <w:p w:rsidR="00CD4F66" w:rsidRPr="00CD4F66" w:rsidRDefault="00CD4F66" w:rsidP="00CD4F66">
      <w:pPr>
        <w:pStyle w:val="texto"/>
        <w:spacing w:before="0" w:beforeAutospacing="0" w:after="80" w:afterAutospacing="0" w:line="219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I.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Recibir las quejas o denuncias que se presenten en contra de los servidores públicos establecidos en las fracciones XI a XIII y último párrafo del artículo 3, de la Ley, y realizar las investigaciones que correspondan, de conformidad a lo establecido en la Constitución Política de los Estados Unidos Mexicanos, la Ley Federal de Responsabilidades Administrativas de los Servidores Públicos y demás ordenamientos jurídicos aplicables en materia de responsabilidades administrativas;</w:t>
      </w:r>
    </w:p>
    <w:p w:rsidR="00CD4F66" w:rsidRPr="00CD4F66" w:rsidRDefault="00CD4F66" w:rsidP="00CD4F66">
      <w:pPr>
        <w:pStyle w:val="texto"/>
        <w:spacing w:before="0" w:beforeAutospacing="0" w:after="80" w:afterAutospacing="0" w:line="219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II.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Instruir y resolver los procedimientos disciplinarios derivados con motivo del incumplimiento de las obligaciones de los servidores públicos establecidos en las fracciones XI a XIII, y último párrafo del artículo 3, de la Ley, observando lo establecido en la Constitución Política de los Estados Unidos Mexicanos, la Ley Federal de Responsabilidades Administrativas de los Servidores Públicos y demás ordenamientos jurídicos aplicables en materia de responsabilidades administrativas;</w:t>
      </w:r>
    </w:p>
    <w:p w:rsidR="00CD4F66" w:rsidRPr="00CD4F66" w:rsidRDefault="00CD4F66" w:rsidP="00CD4F66">
      <w:pPr>
        <w:pStyle w:val="texto"/>
        <w:spacing w:before="0" w:beforeAutospacing="0" w:after="80" w:afterAutospacing="0" w:line="219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III.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Acordar con el Contralor Interno la resolución de los asuntos relevantes a su cargo;</w:t>
      </w:r>
    </w:p>
    <w:p w:rsidR="00CD4F66" w:rsidRPr="00CD4F66" w:rsidRDefault="00CD4F66" w:rsidP="00CD4F66">
      <w:pPr>
        <w:pStyle w:val="texto"/>
        <w:spacing w:before="0" w:beforeAutospacing="0" w:after="80" w:afterAutospacing="0" w:line="219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IV.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Recibir los recursos que se promuevan en contra de las resoluciones que emita, y someterlos a la consideración del Contralor Interno para su resolución en términos de las disposiciones jurídicas aplicables;</w:t>
      </w:r>
    </w:p>
    <w:p w:rsidR="00CD4F66" w:rsidRPr="00CD4F66" w:rsidRDefault="00CD4F66" w:rsidP="00CD4F66">
      <w:pPr>
        <w:pStyle w:val="texto"/>
        <w:spacing w:before="0" w:beforeAutospacing="0" w:after="80" w:afterAutospacing="0" w:line="219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V.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a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IX.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(…)</w:t>
      </w:r>
    </w:p>
    <w:p w:rsidR="00CD4F66" w:rsidRPr="00CD4F66" w:rsidRDefault="00CD4F66" w:rsidP="00CD4F66">
      <w:pPr>
        <w:pStyle w:val="texto"/>
        <w:spacing w:before="0" w:beforeAutospacing="0" w:after="70" w:afterAutospacing="0" w:line="210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X.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Citar, cuando lo estime necesario, al denunciante o al quejoso para la ratificación de la denuncia o la queja presentada en contra de los servidores públicos del Tribunal establecidos en las fracciones XI a XIII y último párrafo del artículo 3, de la Ley, ante la posible existencia de responsabilidad administrativa; dicha facultad puede hacerse extensiva, para la citación de otros servidores públicos del Tribunal que puedan tener conocimiento de los hechos motivo de la denuncia o la queja a fin de constatar la veracidad de los mismos, así como requerir fundada y motivadamente aporten elementos, datos o indicios que permitan advertir la presunta responsabilidad del o los servidores públicos señalados como presuntos responsables;</w:t>
      </w:r>
    </w:p>
    <w:p w:rsidR="00CD4F66" w:rsidRPr="00CD4F66" w:rsidRDefault="00CD4F66" w:rsidP="00CD4F66">
      <w:pPr>
        <w:pStyle w:val="texto"/>
        <w:spacing w:before="0" w:beforeAutospacing="0" w:after="70" w:afterAutospacing="0" w:line="210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XI.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 xml:space="preserve">Practicar las actuaciones y diligencias que se estimen procedentes, a fin de integrar debidamente los expedientes relacionados con las investigaciones que realice 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lastRenderedPageBreak/>
        <w:t>con motivo de incumplimiento de obligaciones en materia de responsabilidades administrativas respecto de los servidores públicos establecidos en las fracciones XI a XIII y último párrafo del artículo 3, de la Ley;</w:t>
      </w:r>
    </w:p>
    <w:p w:rsidR="00CD4F66" w:rsidRPr="00CD4F66" w:rsidRDefault="00CD4F66" w:rsidP="00CD4F66">
      <w:pPr>
        <w:pStyle w:val="texto"/>
        <w:spacing w:before="0" w:beforeAutospacing="0" w:after="70" w:afterAutospacing="0" w:line="210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XII.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Dictar los acuerdos que correspondan en los procedimientos de investigación que realice, incluidos los de archivo por falta de elementos cuando así proceda, y de inicio de procedimiento disciplinario de responsabilidad administrativa;</w:t>
      </w:r>
    </w:p>
    <w:p w:rsidR="00CD4F66" w:rsidRPr="00CD4F66" w:rsidRDefault="00CD4F66" w:rsidP="00CD4F66">
      <w:pPr>
        <w:pStyle w:val="texto"/>
        <w:spacing w:before="0" w:beforeAutospacing="0" w:after="70" w:afterAutospacing="0" w:line="210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XIII.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Tramitar los recursos de revisión que se hagan valer en contra de las resoluciones de inconformidades e intervenciones de oficio, así como en contra de las resoluciones por las que se impongan sanciones a los licitantes, proveedores y contratistas en los términos de las leyes de la materia y someterlos a la resolución del Contralor Interno.</w:t>
      </w:r>
    </w:p>
    <w:p w:rsidR="00CD4F66" w:rsidRPr="00CD4F66" w:rsidRDefault="00CD4F66" w:rsidP="00CD4F66">
      <w:pPr>
        <w:pStyle w:val="texto"/>
        <w:spacing w:before="0" w:beforeAutospacing="0" w:after="70" w:afterAutospacing="0" w:line="210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XIV.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Formular los requerimientos necesarios a las Unidades Administrativas del Tribunal y llevar a cabo los actos relativos a la atención de los asuntos en materia de quejas, denuncias y de responsabilidades, para que le sea proporcionada la información que sea necesaria para la integración de los expedientes en trámite;</w:t>
      </w:r>
    </w:p>
    <w:p w:rsidR="00CD4F66" w:rsidRPr="00CD4F66" w:rsidRDefault="00CD4F66" w:rsidP="00CD4F66">
      <w:pPr>
        <w:pStyle w:val="texto"/>
        <w:spacing w:before="0" w:beforeAutospacing="0" w:after="70" w:afterAutospacing="0" w:line="210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XV.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Llevar a cabo los registros de los asuntos de su competencia y expedir las copias certificadas de los documentos que obren en sus archivos;</w:t>
      </w:r>
    </w:p>
    <w:p w:rsidR="00CD4F66" w:rsidRPr="00CD4F66" w:rsidRDefault="00CD4F66" w:rsidP="00CD4F66">
      <w:pPr>
        <w:pStyle w:val="texto"/>
        <w:spacing w:before="0" w:beforeAutospacing="0" w:after="70" w:afterAutospacing="0" w:line="210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XVI.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Integrar, ordenar, actualizar y conservar el padrón de servidores públicos del Tribunal obligados a presentar declaración de situación patrimonial;</w:t>
      </w:r>
    </w:p>
    <w:p w:rsidR="00CD4F66" w:rsidRPr="00CD4F66" w:rsidRDefault="00CD4F66" w:rsidP="00CD4F66">
      <w:pPr>
        <w:pStyle w:val="texto"/>
        <w:spacing w:before="0" w:beforeAutospacing="0" w:after="70" w:afterAutospacing="0" w:line="210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XVII.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Verificar que los servidores públicos del Tribunal obligados a presentar declaración de situación patrimonial, cumplan en tiempo y forma con dicha obligación y emitir la determinación que corresponda en caso de incumplimiento;</w:t>
      </w:r>
    </w:p>
    <w:p w:rsidR="00CD4F66" w:rsidRPr="00CD4F66" w:rsidRDefault="00CD4F66" w:rsidP="00CD4F66">
      <w:pPr>
        <w:pStyle w:val="texto"/>
        <w:spacing w:before="0" w:beforeAutospacing="0" w:after="70" w:afterAutospacing="0" w:line="210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XVIII.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 xml:space="preserve">Coordinar, vigilar y controlar la recepción, </w:t>
      </w:r>
      <w:proofErr w:type="gramStart"/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registro</w:t>
      </w:r>
      <w:proofErr w:type="gramEnd"/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 xml:space="preserve"> y resguardo de las declaraciones de situación patrimonial de los servidores públicos del Tribunal obligados a presentarlas, así como analizar e investigar su situación patrimonial;</w:t>
      </w:r>
    </w:p>
    <w:p w:rsidR="00CD4F66" w:rsidRPr="00CD4F66" w:rsidRDefault="00CD4F66" w:rsidP="00CD4F66">
      <w:pPr>
        <w:pStyle w:val="texto"/>
        <w:spacing w:before="0" w:beforeAutospacing="0" w:after="70" w:afterAutospacing="0" w:line="210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XIX.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Proponer al Contralor Interno las normas y formatos conforme a los cuales los servidores públicos del Tribunal deberán formular su declaración de situación patrimonial, así como los manuales e instructivos correspondientes, para su presentación a la Junta;</w:t>
      </w:r>
    </w:p>
    <w:p w:rsidR="00CD4F66" w:rsidRPr="00CD4F66" w:rsidRDefault="00CD4F66" w:rsidP="00CD4F66">
      <w:pPr>
        <w:pStyle w:val="texto"/>
        <w:spacing w:before="0" w:beforeAutospacing="0" w:after="70" w:afterAutospacing="0" w:line="210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XX.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Coordinar con las autoridades federales o locales que correspondan, las investigaciones, revisiones y auditorías relacionadas con la presentación, evolución e investigación de la situación patrimonial de los servidores públicos del Tribunal;</w:t>
      </w:r>
    </w:p>
    <w:p w:rsidR="00CD4F66" w:rsidRPr="00CD4F66" w:rsidRDefault="00CD4F66" w:rsidP="00CD4F66">
      <w:pPr>
        <w:pStyle w:val="texto"/>
        <w:spacing w:before="0" w:beforeAutospacing="0" w:after="70" w:afterAutospacing="0" w:line="210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XXI.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Recibir y resolver las inconformidades de los servidores públicos del Tribunal respecto del resultado de la investigación, expediente y resolución definitiva que deriven de la declaración de situación patrimonial;</w:t>
      </w:r>
    </w:p>
    <w:p w:rsidR="00CD4F66" w:rsidRPr="00CD4F66" w:rsidRDefault="00CD4F66" w:rsidP="00CD4F66">
      <w:pPr>
        <w:pStyle w:val="texto"/>
        <w:spacing w:before="0" w:beforeAutospacing="0" w:after="70" w:afterAutospacing="0" w:line="210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XXII.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Turnar a la Junta, en el caso de los servidores públicos a que se refieren las fracciones I a X del artículo 3 de la Ley, o a la Dirección de Responsabilidades, cuando se trate de los servidores públicos del Tribunal a que se refieren las fracciones XI a XIII y último párrafo del mismo artículo, los expedientes de análisis de la evolución e investigación patrimonial integrados para la instauración del procedimiento disciplinario correspondiente;</w:t>
      </w:r>
    </w:p>
    <w:p w:rsidR="00CD4F66" w:rsidRPr="00CD4F66" w:rsidRDefault="00CD4F66" w:rsidP="00CD4F66">
      <w:pPr>
        <w:pStyle w:val="texto"/>
        <w:spacing w:before="0" w:beforeAutospacing="0" w:after="70" w:afterAutospacing="0" w:line="210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XXIII.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Recabar, integrar y analizar la información para la implementación y actualización del Registro de Servidores Públicos Sancionados del Tribunal y expedir las constancias que correspondan en términos de las disposiciones jurídicas aplicables;</w:t>
      </w:r>
    </w:p>
    <w:p w:rsidR="00CD4F66" w:rsidRPr="00CD4F66" w:rsidRDefault="00CD4F66" w:rsidP="00CD4F66">
      <w:pPr>
        <w:pStyle w:val="texto"/>
        <w:spacing w:before="0" w:beforeAutospacing="0" w:after="70" w:afterAutospacing="0" w:line="210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XXIV.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Coordinar y supervisar la recepción, registro, seguimiento y control de obsequios, donativos o beneficios a que se refiere la Ley Federal de Responsabilidades Administrativas de los Servidores Públicos;</w:t>
      </w:r>
    </w:p>
    <w:p w:rsidR="00CD4F66" w:rsidRPr="00CD4F66" w:rsidRDefault="00CD4F66" w:rsidP="00CD4F66">
      <w:pPr>
        <w:pStyle w:val="texto"/>
        <w:spacing w:before="0" w:beforeAutospacing="0" w:after="70" w:afterAutospacing="0" w:line="210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XXV.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Asesorar a los servidores públicos del Tribunal en materia de declaración de situación patrimonial;</w:t>
      </w:r>
    </w:p>
    <w:p w:rsidR="00CD4F66" w:rsidRPr="00CD4F66" w:rsidRDefault="00CD4F66" w:rsidP="00CD4F66">
      <w:pPr>
        <w:pStyle w:val="texto"/>
        <w:spacing w:before="0" w:beforeAutospacing="0" w:after="70" w:afterAutospacing="0" w:line="210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lastRenderedPageBreak/>
        <w:t>XXVI.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Las demás que le confieran otras disposiciones jurídicas y el Pleno Jurisdiccional de la Sala Superior.</w:t>
      </w:r>
    </w:p>
    <w:p w:rsidR="00CD4F66" w:rsidRPr="00CD4F66" w:rsidRDefault="00CD4F66" w:rsidP="00CD4F66">
      <w:pPr>
        <w:pStyle w:val="texto"/>
        <w:spacing w:before="0" w:beforeAutospacing="0" w:after="70" w:afterAutospacing="0" w:line="210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Sin perjuicio de su ejercicio directo por parte del Titular de la Coordinación General de Quejas, Denuncias, Responsabilidades y Registro Patrimonial, al Director de Quejas y Denuncias corresponderá el ejercicio de las atribuciones previstas en las fracciones I, XI y XIV, de este artículo, al Director de Responsabilidades, le corresponderá el ejercicio de las facultades establecidas en las fracciones II, V, VI, VII, VIII, XI y XIV del presente numeral y al Director de Registro Patrimonial las facultades establecidas en las fracciones XVI a XXV de este artículo.</w:t>
      </w:r>
    </w:p>
    <w:p w:rsidR="00CD4F66" w:rsidRPr="00CD4F66" w:rsidRDefault="00CD4F66" w:rsidP="00CD4F66">
      <w:pPr>
        <w:pStyle w:val="texto"/>
        <w:spacing w:before="0" w:beforeAutospacing="0" w:after="60" w:afterAutospacing="0" w:line="209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Artículo 99.-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Corresponde a la Coordinación General de Control Interno y Auditoría del Desempeño:</w:t>
      </w:r>
    </w:p>
    <w:p w:rsidR="00CD4F66" w:rsidRPr="00CD4F66" w:rsidRDefault="00CD4F66" w:rsidP="00CD4F66">
      <w:pPr>
        <w:pStyle w:val="texto"/>
        <w:spacing w:before="0" w:beforeAutospacing="0" w:after="60" w:afterAutospacing="0" w:line="209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I.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Elaborar y coordinar la integración y ejecución del Programa Anual de Revisiones de Control Interno y Auditoría del Desempeño, darle seguimiento y evaluar sus avances;</w:t>
      </w:r>
    </w:p>
    <w:p w:rsidR="00CD4F66" w:rsidRPr="00CD4F66" w:rsidRDefault="00CD4F66" w:rsidP="00CD4F66">
      <w:pPr>
        <w:pStyle w:val="texto"/>
        <w:spacing w:before="0" w:beforeAutospacing="0" w:after="60" w:afterAutospacing="0" w:line="209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II.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Proponer al Contralor Interno las revisiones que en materia de control interno y auditorías del desempeño se deban integrar al Programa Anual de Revisiones de Control Interno y Auditoría del Desempeño;</w:t>
      </w:r>
    </w:p>
    <w:p w:rsidR="00CD4F66" w:rsidRPr="00CD4F66" w:rsidRDefault="00CD4F66" w:rsidP="00CD4F66">
      <w:pPr>
        <w:pStyle w:val="texto"/>
        <w:spacing w:before="0" w:beforeAutospacing="0" w:after="60" w:afterAutospacing="0" w:line="209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III.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Ordenar la práctica de revisiones de control interno y auditorías del desempeño a las Unidades Administrativas que integran el Tribunal, en base al Programa Anual de Revisiones de Control Interno y de Auditorías del Desempeño, y las que adicionalmente le indique el Pleno Jurisdiccional de Sala Superior o el Contralor Interno, así como elaborar los informes de resultados correspondientes;</w:t>
      </w:r>
    </w:p>
    <w:p w:rsidR="00CD4F66" w:rsidRPr="00CD4F66" w:rsidRDefault="00CD4F66" w:rsidP="00CD4F66">
      <w:pPr>
        <w:pStyle w:val="texto"/>
        <w:spacing w:before="0" w:beforeAutospacing="0" w:after="60" w:afterAutospacing="0" w:line="209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IV.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Promover con un enfoque preventivo el establecimiento de acciones que coadyuven al mejoramiento y desarrollo administrativo de la gestión del Tribunal;</w:t>
      </w:r>
    </w:p>
    <w:p w:rsidR="00CD4F66" w:rsidRPr="00CD4F66" w:rsidRDefault="00CD4F66" w:rsidP="00CD4F66">
      <w:pPr>
        <w:pStyle w:val="texto"/>
        <w:spacing w:before="0" w:beforeAutospacing="0" w:after="60" w:afterAutospacing="0" w:line="209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V.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Apoyar y verificar el cumplimiento de las acciones de mejora derivadas de las revisiones de control interno y de las auditorías del desempeño que realice, así como elaborar los informes que correspondan;</w:t>
      </w:r>
    </w:p>
    <w:p w:rsidR="00CD4F66" w:rsidRPr="00CD4F66" w:rsidRDefault="00CD4F66" w:rsidP="00CD4F66">
      <w:pPr>
        <w:pStyle w:val="texto"/>
        <w:spacing w:before="0" w:beforeAutospacing="0" w:after="60" w:afterAutospacing="0" w:line="209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VI.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Requerir a los titulares de las Unidades Administrativas la información y documentación relacionada con sus programas, con la finalidad de revisar su grado de cumplimiento;</w:t>
      </w:r>
    </w:p>
    <w:p w:rsidR="00CD4F66" w:rsidRPr="00CD4F66" w:rsidRDefault="00CD4F66" w:rsidP="00CD4F66">
      <w:pPr>
        <w:pStyle w:val="texto"/>
        <w:spacing w:before="0" w:beforeAutospacing="0" w:after="60" w:afterAutospacing="0" w:line="209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VII.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Levantar y formalizar actas circunstanciadas o minutas para establecer los compromisos de atención a las observaciones derivadas de la evaluación de programas y cumplimiento de disposiciones normativas, para corregir deficiencias y evitar su recurrencia;</w:t>
      </w:r>
    </w:p>
    <w:p w:rsidR="00CD4F66" w:rsidRPr="00CD4F66" w:rsidRDefault="00CD4F66" w:rsidP="00CD4F66">
      <w:pPr>
        <w:pStyle w:val="texto"/>
        <w:spacing w:before="0" w:beforeAutospacing="0" w:after="60" w:afterAutospacing="0" w:line="209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VIII.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Participar en los procedimientos que se lleven a cabo para la adquisición y arrendamiento de bienes y la contratación de obras y servicios de cualquier naturaleza, conforme a las disposiciones jurídicas aplicables;</w:t>
      </w:r>
    </w:p>
    <w:p w:rsidR="00CD4F66" w:rsidRPr="00CD4F66" w:rsidRDefault="00CD4F66" w:rsidP="00CD4F66">
      <w:pPr>
        <w:pStyle w:val="texto"/>
        <w:spacing w:before="0" w:beforeAutospacing="0" w:after="60" w:afterAutospacing="0" w:line="209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IX.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Intervenir como asesor en los Comités de Adquisiciones, Arrendamientos y Servicios, de Bienes Muebles y de Obra Pública y Servicios Relacionados con las mismas y de Control Interno, así como en los Subcomités y reuniones que deriven de los mismos a que sea convocado el Contralor Interno, de conformidad con las disposiciones jurídicas aplicables;</w:t>
      </w:r>
    </w:p>
    <w:p w:rsidR="00CD4F66" w:rsidRPr="00CD4F66" w:rsidRDefault="00CD4F66" w:rsidP="00CD4F66">
      <w:pPr>
        <w:pStyle w:val="texto"/>
        <w:spacing w:before="0" w:beforeAutospacing="0" w:after="60" w:afterAutospacing="0" w:line="209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X.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Apoyar la implementación, actualización, supervisión y seguimiento del Sistema de Control Interno Institucional;</w:t>
      </w:r>
    </w:p>
    <w:p w:rsidR="00CD4F66" w:rsidRPr="00CD4F66" w:rsidRDefault="00CD4F66" w:rsidP="00CD4F66">
      <w:pPr>
        <w:pStyle w:val="texto"/>
        <w:spacing w:before="0" w:beforeAutospacing="0" w:after="60" w:afterAutospacing="0" w:line="209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XI.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Proponer al Contralor Interno la emisión de normativa de carácter general, lineamientos y políticas que rijan el funcionamiento del Sistema de Control Interno Institucional en las Unidades Administrativas del Tribunal;</w:t>
      </w:r>
    </w:p>
    <w:p w:rsidR="00CD4F66" w:rsidRPr="00CD4F66" w:rsidRDefault="00CD4F66" w:rsidP="00CD4F66">
      <w:pPr>
        <w:pStyle w:val="texto"/>
        <w:spacing w:before="0" w:beforeAutospacing="0" w:after="60" w:afterAutospacing="0" w:line="209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lastRenderedPageBreak/>
        <w:t>XII.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Realizar los estudios necesarios para la actualización de la normativa aplicable a las Unidades Administrativas del Tribunal y proponer, en su caso, de conformidad con las disposiciones aplicables, las modificaciones que correspondan;</w:t>
      </w:r>
    </w:p>
    <w:p w:rsidR="00CD4F66" w:rsidRPr="00CD4F66" w:rsidRDefault="00CD4F66" w:rsidP="00CD4F66">
      <w:pPr>
        <w:pStyle w:val="texto"/>
        <w:spacing w:before="0" w:beforeAutospacing="0" w:after="60" w:afterAutospacing="0" w:line="209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XIII.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Expedir y certificar las copias de documentos o constancias que existan en sus archivos, cuando proceda o a petición de autoridad competente; y</w:t>
      </w:r>
    </w:p>
    <w:p w:rsidR="00CD4F66" w:rsidRPr="00CD4F66" w:rsidRDefault="00CD4F66" w:rsidP="00CD4F66">
      <w:pPr>
        <w:pStyle w:val="texto"/>
        <w:spacing w:before="0" w:beforeAutospacing="0" w:after="60" w:afterAutospacing="0" w:line="209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XIV.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Las demás que le confieran otras disposiciones jurídicas y el Pleno Jurisdiccional de la Sala Superior.</w:t>
      </w:r>
    </w:p>
    <w:p w:rsidR="00CD4F66" w:rsidRPr="00CD4F66" w:rsidRDefault="00CD4F66" w:rsidP="00CD4F66">
      <w:pPr>
        <w:pStyle w:val="texto"/>
        <w:spacing w:before="0" w:beforeAutospacing="0" w:after="60" w:afterAutospacing="0" w:line="209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Sin perjuicio de su ejercicio directo por parte del Titular de la Coordinación General de Control Interno y Auditoría del Desempeño, al Director de Control y Auditoría del Desempeño corresponderá el ejercicio de las atribuciones previstas en las fracciones I a XII de este artículo.</w:t>
      </w:r>
    </w:p>
    <w:p w:rsidR="00CD4F66" w:rsidRPr="00CD4F66" w:rsidRDefault="00CD4F66" w:rsidP="00CD4F66">
      <w:pPr>
        <w:pStyle w:val="texto"/>
        <w:spacing w:before="0" w:beforeAutospacing="0" w:after="60" w:afterAutospacing="0" w:line="209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Artículo 100.-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Se deroga.</w:t>
      </w:r>
    </w:p>
    <w:p w:rsidR="00CD4F66" w:rsidRPr="00CD4F66" w:rsidRDefault="00CD4F66" w:rsidP="00CD4F66">
      <w:pPr>
        <w:pStyle w:val="anotacion"/>
        <w:spacing w:before="101" w:beforeAutospacing="0" w:after="60" w:afterAutospacing="0" w:line="209" w:lineRule="atLeast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CD4F66">
        <w:rPr>
          <w:rFonts w:ascii="Verdana" w:hAnsi="Verdana"/>
          <w:b/>
          <w:bCs/>
          <w:color w:val="000000"/>
          <w:sz w:val="20"/>
          <w:szCs w:val="20"/>
          <w:lang w:val="es-ES_tradnl"/>
        </w:rPr>
        <w:t>TRANSITORIOS</w:t>
      </w:r>
    </w:p>
    <w:p w:rsidR="00CD4F66" w:rsidRPr="00CD4F66" w:rsidRDefault="00CD4F66" w:rsidP="00CD4F66">
      <w:pPr>
        <w:pStyle w:val="texto"/>
        <w:spacing w:before="0" w:beforeAutospacing="0" w:after="60" w:afterAutospacing="0" w:line="209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PRIMERO.-</w:t>
      </w:r>
      <w:r w:rsidRPr="00CD4F66">
        <w:rPr>
          <w:rStyle w:val="apple-converted-space"/>
          <w:rFonts w:ascii="Verdana" w:hAnsi="Verdana" w:cs="Arial"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El presente Acuerdo entrará en vigor al día siguiente de su publicación en el Diario Oficial de la Federación.</w:t>
      </w:r>
    </w:p>
    <w:p w:rsidR="00CD4F66" w:rsidRPr="00CD4F66" w:rsidRDefault="00CD4F66" w:rsidP="00CD4F66">
      <w:pPr>
        <w:pStyle w:val="texto"/>
        <w:spacing w:before="0" w:beforeAutospacing="0" w:after="60" w:afterAutospacing="0" w:line="209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SEGUNDO.-</w:t>
      </w:r>
      <w:r w:rsidRPr="00CD4F66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La Contraloría Interna por conducto de la Coordinación General de Quejas, Denuncias, Responsabilidades y Registro Patrimonial, será la encargada de dar cumplimiento al Convenio de Colaboración celebrado entre la Secretaría de la Función Pública y el Tribunal Federal de Justicia Fiscal y Administrativa en materia de registro y seguimiento de la evolución patrimonial de los servidores públicos de éste, de fecha 29 de abril de 2008, modificado mediante el diverso de fecha 27 de abril de 2009, y será la encargada de solicitar a esa Secretaría toda la información que requiera respecto de las declaraciones de situación patrimonial, hasta en tanto se mantenga vigente el citado Convenio.</w:t>
      </w:r>
    </w:p>
    <w:p w:rsidR="00CD4F66" w:rsidRPr="00CD4F66" w:rsidRDefault="00CD4F66" w:rsidP="00CD4F66">
      <w:pPr>
        <w:pStyle w:val="texto"/>
        <w:spacing w:before="0" w:beforeAutospacing="0" w:after="60" w:afterAutospacing="0" w:line="209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TERCERO.-</w:t>
      </w:r>
      <w:r w:rsidRPr="00CD4F66">
        <w:rPr>
          <w:rStyle w:val="apple-converted-space"/>
          <w:rFonts w:ascii="Verdana" w:hAnsi="Verdana" w:cs="Arial"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Publíquese el presente Acuerdo en el Diario Oficial de la Federación.</w:t>
      </w:r>
    </w:p>
    <w:p w:rsidR="00CD4F66" w:rsidRPr="00CD4F66" w:rsidRDefault="00CD4F66" w:rsidP="00CD4F66">
      <w:pPr>
        <w:pStyle w:val="texto"/>
        <w:spacing w:before="0" w:beforeAutospacing="0" w:after="101" w:afterAutospacing="0" w:line="216" w:lineRule="atLeast"/>
        <w:ind w:firstLine="288"/>
        <w:jc w:val="both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Así lo acordó el Pleno de la Sala Superior del Tribunal Federal de Justicia Fiscal y Administrativa, con aprobación unánime de doce votos de los Magistrados presentes en sesión de doce de agosto de dos mil quince. Firman el Magistrado doctor</w:t>
      </w:r>
      <w:r w:rsidRPr="00CD4F66">
        <w:rPr>
          <w:rStyle w:val="apple-converted-space"/>
          <w:rFonts w:ascii="Verdana" w:hAnsi="Verdana" w:cs="Arial"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 xml:space="preserve">Manuel Luciano </w:t>
      </w:r>
      <w:proofErr w:type="spellStart"/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Hallivis</w:t>
      </w:r>
      <w:proofErr w:type="spellEnd"/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 xml:space="preserve"> Pelayo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, Presidente del Tribunal Federal de Justicia Fiscal y Administrativa, y el licenciado</w:t>
      </w:r>
      <w:r w:rsidRPr="00CD4F66">
        <w:rPr>
          <w:rStyle w:val="apple-converted-space"/>
          <w:rFonts w:ascii="Verdana" w:hAnsi="Verdana" w:cs="Arial"/>
          <w:color w:val="000000"/>
          <w:sz w:val="20"/>
          <w:szCs w:val="20"/>
          <w:lang w:val="es-ES"/>
        </w:rPr>
        <w:t> </w:t>
      </w: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Ángel Fernando Paz Hernández</w:t>
      </w:r>
      <w:r w:rsidRPr="00CD4F66">
        <w:rPr>
          <w:rFonts w:ascii="Verdana" w:hAnsi="Verdana" w:cs="Arial"/>
          <w:color w:val="000000"/>
          <w:sz w:val="20"/>
          <w:szCs w:val="20"/>
          <w:lang w:val="es-ES"/>
        </w:rPr>
        <w:t>, Secretario General de Acuerdos, quien da fe.- Rúbricas.</w:t>
      </w:r>
    </w:p>
    <w:p w:rsidR="00CD4F66" w:rsidRPr="00CD4F66" w:rsidRDefault="00CD4F66" w:rsidP="00CD4F66">
      <w:pPr>
        <w:pStyle w:val="texto"/>
        <w:spacing w:before="0" w:beforeAutospacing="0" w:after="101" w:afterAutospacing="0" w:line="216" w:lineRule="atLeast"/>
        <w:jc w:val="right"/>
        <w:rPr>
          <w:rFonts w:ascii="Verdana" w:hAnsi="Verdana" w:cs="Arial"/>
          <w:color w:val="000000"/>
          <w:sz w:val="20"/>
          <w:szCs w:val="20"/>
        </w:rPr>
      </w:pPr>
      <w:r w:rsidRPr="00CD4F66">
        <w:rPr>
          <w:rFonts w:ascii="Verdana" w:hAnsi="Verdana" w:cs="Arial"/>
          <w:b/>
          <w:bCs/>
          <w:color w:val="000000"/>
          <w:sz w:val="20"/>
          <w:szCs w:val="20"/>
          <w:lang w:val="es-ES"/>
        </w:rPr>
        <w:t>(R.- 417864)</w:t>
      </w:r>
    </w:p>
    <w:p w:rsidR="00750AB6" w:rsidRPr="00CD4F66" w:rsidRDefault="00750AB6">
      <w:pPr>
        <w:rPr>
          <w:rFonts w:ascii="Verdana" w:hAnsi="Verdana"/>
          <w:sz w:val="20"/>
          <w:szCs w:val="20"/>
        </w:rPr>
      </w:pPr>
    </w:p>
    <w:sectPr w:rsidR="00750AB6" w:rsidRPr="00CD4F66" w:rsidSect="00750A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CD4F66"/>
    <w:rsid w:val="00750AB6"/>
    <w:rsid w:val="00CD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A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za">
    <w:name w:val="cabeza"/>
    <w:basedOn w:val="Normal"/>
    <w:rsid w:val="00CD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itulo1">
    <w:name w:val="titulo1"/>
    <w:basedOn w:val="Normal"/>
    <w:rsid w:val="00CD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itulo2">
    <w:name w:val="titulo2"/>
    <w:basedOn w:val="Normal"/>
    <w:rsid w:val="00CD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anotacion">
    <w:name w:val="anotacion"/>
    <w:basedOn w:val="Normal"/>
    <w:rsid w:val="00CD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exto">
    <w:name w:val="texto"/>
    <w:basedOn w:val="Normal"/>
    <w:rsid w:val="00CD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CD4F66"/>
  </w:style>
  <w:style w:type="character" w:styleId="nfasisintenso">
    <w:name w:val="Intense Emphasis"/>
    <w:basedOn w:val="Fuentedeprrafopredeter"/>
    <w:uiPriority w:val="21"/>
    <w:qFormat/>
    <w:rsid w:val="00CD4F66"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sid w:val="00CD4F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9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85091423">
          <w:marLeft w:val="0"/>
          <w:marRight w:val="0"/>
          <w:marTop w:val="0"/>
          <w:marBottom w:val="0"/>
          <w:divBdr>
            <w:top w:val="double" w:sz="6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2928</Words>
  <Characters>16104</Characters>
  <Application>Microsoft Office Word</Application>
  <DocSecurity>0</DocSecurity>
  <Lines>134</Lines>
  <Paragraphs>37</Paragraphs>
  <ScaleCrop>false</ScaleCrop>
  <Company>GE</Company>
  <LinksUpToDate>false</LinksUpToDate>
  <CharactersWithSpaces>18995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Eromero956</dc:creator>
  <cp:keywords/>
  <dc:description/>
  <cp:lastModifiedBy>Eromero956</cp:lastModifiedBy>
  <cp:revision>1</cp:revision>
  <dcterms:created xsi:type="dcterms:W3CDTF">2015-08-26T13:37:00Z</dcterms:created>
  <dcterms:modified xsi:type="dcterms:W3CDTF">2015-08-26T13:42:00Z</dcterms:modified>
</cp:coreProperties>
</file>