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B4" w:rsidRDefault="00461BB4" w:rsidP="00461BB4">
      <w:pPr>
        <w:jc w:val="center"/>
        <w:rPr>
          <w:rFonts w:ascii="Verdana" w:hAnsi="Verdana"/>
          <w:b/>
          <w:bCs/>
          <w:color w:val="0070C0"/>
          <w:sz w:val="24"/>
        </w:rPr>
      </w:pPr>
      <w:r w:rsidRPr="00461BB4">
        <w:rPr>
          <w:rFonts w:ascii="Verdana" w:hAnsi="Verdana"/>
          <w:b/>
          <w:bCs/>
          <w:color w:val="0070C0"/>
          <w:sz w:val="24"/>
        </w:rPr>
        <w:t>Acuerdo E/JGA/55/2019 que determina la baja documental complementaria de los expedientes jurisdiccionales concluidos definitivamente desde el año mil novecientos noventa y c</w:t>
      </w:r>
      <w:r>
        <w:rPr>
          <w:rFonts w:ascii="Verdana" w:hAnsi="Verdana"/>
          <w:b/>
          <w:bCs/>
          <w:color w:val="0070C0"/>
          <w:sz w:val="24"/>
        </w:rPr>
        <w:t>inco, y hasta el dos mil quince</w:t>
      </w:r>
    </w:p>
    <w:p w:rsidR="00461BB4" w:rsidRDefault="00461BB4" w:rsidP="00461BB4">
      <w:pPr>
        <w:jc w:val="center"/>
        <w:rPr>
          <w:rFonts w:ascii="Verdana" w:hAnsi="Verdana"/>
          <w:b/>
          <w:bCs/>
          <w:color w:val="0070C0"/>
          <w:sz w:val="24"/>
        </w:rPr>
      </w:pPr>
      <w:r>
        <w:rPr>
          <w:rFonts w:ascii="Verdana" w:hAnsi="Verdana"/>
          <w:b/>
          <w:bCs/>
          <w:color w:val="0070C0"/>
          <w:sz w:val="24"/>
        </w:rPr>
        <w:t>(DOF del 4 de noviembre de 2019)</w:t>
      </w:r>
    </w:p>
    <w:p w:rsidR="00461BB4" w:rsidRPr="00461BB4" w:rsidRDefault="00461BB4" w:rsidP="00461BB4">
      <w:pPr>
        <w:jc w:val="both"/>
        <w:rPr>
          <w:rFonts w:ascii="Verdana" w:hAnsi="Verdana"/>
          <w:b/>
          <w:bCs/>
          <w:sz w:val="20"/>
        </w:rPr>
      </w:pPr>
      <w:r w:rsidRPr="00461BB4">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461BB4" w:rsidRPr="00461BB4" w:rsidRDefault="00461BB4" w:rsidP="00461BB4">
      <w:pPr>
        <w:jc w:val="both"/>
        <w:rPr>
          <w:rFonts w:ascii="Verdana" w:hAnsi="Verdana"/>
          <w:b/>
          <w:bCs/>
          <w:sz w:val="20"/>
        </w:rPr>
      </w:pPr>
      <w:r w:rsidRPr="00461BB4">
        <w:rPr>
          <w:rFonts w:ascii="Verdana" w:hAnsi="Verdana"/>
          <w:b/>
          <w:bCs/>
          <w:sz w:val="20"/>
        </w:rPr>
        <w:t>ACUERDO E/JGA/55/2019</w:t>
      </w:r>
    </w:p>
    <w:p w:rsidR="00461BB4" w:rsidRPr="00461BB4" w:rsidRDefault="00461BB4" w:rsidP="00461BB4">
      <w:pPr>
        <w:jc w:val="both"/>
        <w:rPr>
          <w:rFonts w:ascii="Verdana" w:hAnsi="Verdana"/>
          <w:bCs/>
          <w:sz w:val="20"/>
        </w:rPr>
      </w:pPr>
      <w:r w:rsidRPr="00461BB4">
        <w:rPr>
          <w:rFonts w:ascii="Verdana" w:hAnsi="Verdana"/>
          <w:bCs/>
          <w:sz w:val="20"/>
        </w:rPr>
        <w:t>BAJA DOCUMENTAL COMPLEMENTARIA DE LOS EXPEDIENTES JURISDICCIONALES CONCLUIDOS DEFINITIVAMENTE DESDE EL AÑO MIL NOVECIENTOS NOVENTA Y CINCO, Y HASTA EL DOS MIL QUINCE.</w:t>
      </w:r>
    </w:p>
    <w:p w:rsidR="00461BB4" w:rsidRPr="00461BB4" w:rsidRDefault="00461BB4" w:rsidP="00461BB4">
      <w:pPr>
        <w:jc w:val="both"/>
        <w:rPr>
          <w:rFonts w:ascii="Verdana" w:hAnsi="Verdana"/>
          <w:b/>
          <w:bCs/>
          <w:sz w:val="20"/>
        </w:rPr>
      </w:pPr>
      <w:r w:rsidRPr="00461BB4">
        <w:rPr>
          <w:rFonts w:ascii="Verdana" w:hAnsi="Verdana"/>
          <w:b/>
          <w:bCs/>
          <w:sz w:val="20"/>
        </w:rPr>
        <w:t>CONSIDERANDOS</w:t>
      </w:r>
    </w:p>
    <w:p w:rsidR="00461BB4" w:rsidRPr="00461BB4" w:rsidRDefault="00461BB4" w:rsidP="00461BB4">
      <w:pPr>
        <w:jc w:val="both"/>
        <w:rPr>
          <w:rFonts w:ascii="Verdana" w:hAnsi="Verdana"/>
          <w:bCs/>
          <w:sz w:val="20"/>
        </w:rPr>
      </w:pPr>
      <w:r w:rsidRPr="00461BB4">
        <w:rPr>
          <w:rFonts w:ascii="Verdana" w:hAnsi="Verdana"/>
          <w:b/>
          <w:bCs/>
          <w:sz w:val="20"/>
        </w:rPr>
        <w:t>1. </w:t>
      </w:r>
      <w:r w:rsidRPr="00461BB4">
        <w:rPr>
          <w:rFonts w:ascii="Verdana" w:hAnsi="Verdana"/>
          <w:bCs/>
          <w:sz w:val="20"/>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461BB4" w:rsidRPr="00461BB4" w:rsidRDefault="00461BB4" w:rsidP="00461BB4">
      <w:pPr>
        <w:jc w:val="both"/>
        <w:rPr>
          <w:rFonts w:ascii="Verdana" w:hAnsi="Verdana"/>
          <w:bCs/>
          <w:sz w:val="20"/>
        </w:rPr>
      </w:pPr>
      <w:r w:rsidRPr="00461BB4">
        <w:rPr>
          <w:rFonts w:ascii="Verdana" w:hAnsi="Verdana"/>
          <w:b/>
          <w:bCs/>
          <w:sz w:val="20"/>
        </w:rPr>
        <w:t>2. </w:t>
      </w:r>
      <w:r w:rsidRPr="00461BB4">
        <w:rPr>
          <w:rFonts w:ascii="Verdana" w:hAnsi="Verdana"/>
          <w:bCs/>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461BB4" w:rsidRPr="00461BB4" w:rsidRDefault="00461BB4" w:rsidP="00461BB4">
      <w:pPr>
        <w:jc w:val="both"/>
        <w:rPr>
          <w:rFonts w:ascii="Verdana" w:hAnsi="Verdana"/>
          <w:bCs/>
          <w:sz w:val="20"/>
        </w:rPr>
      </w:pPr>
      <w:r w:rsidRPr="00461BB4">
        <w:rPr>
          <w:rFonts w:ascii="Verdana" w:hAnsi="Verdana"/>
          <w:b/>
          <w:bCs/>
          <w:sz w:val="20"/>
        </w:rPr>
        <w:t>3. </w:t>
      </w:r>
      <w:r w:rsidRPr="00461BB4">
        <w:rPr>
          <w:rFonts w:ascii="Verdana" w:hAnsi="Verdana"/>
          <w:bCs/>
          <w:sz w:val="20"/>
        </w:rPr>
        <w:t>Que en términos del artículo 23, fracciones II, XXVI y XXX, de la Ley Orgánica del Tribunal Federal de Justicia Administrativa, se establece que es facultad de la Junta de Gobierno y Administración expedir los acuerdos necesarios para el buen funcionamiento del tribunal; así como dirigir la buena marcha del tribunal dictando las medidas necesarias para el despacho pronto y expedito de los asuntos administrativos del tribunal.</w:t>
      </w:r>
    </w:p>
    <w:p w:rsidR="00461BB4" w:rsidRPr="00461BB4" w:rsidRDefault="00461BB4" w:rsidP="00461BB4">
      <w:pPr>
        <w:jc w:val="both"/>
        <w:rPr>
          <w:rFonts w:ascii="Verdana" w:hAnsi="Verdana"/>
          <w:bCs/>
          <w:sz w:val="20"/>
        </w:rPr>
      </w:pPr>
      <w:r w:rsidRPr="00461BB4">
        <w:rPr>
          <w:rFonts w:ascii="Verdana" w:hAnsi="Verdana"/>
          <w:b/>
          <w:bCs/>
          <w:sz w:val="20"/>
        </w:rPr>
        <w:t>4. </w:t>
      </w:r>
      <w:r w:rsidRPr="00461BB4">
        <w:rPr>
          <w:rFonts w:ascii="Verdana" w:hAnsi="Verdana"/>
          <w:bCs/>
          <w:sz w:val="20"/>
        </w:rPr>
        <w:t>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461BB4" w:rsidRPr="00461BB4" w:rsidRDefault="00461BB4" w:rsidP="00461BB4">
      <w:pPr>
        <w:jc w:val="both"/>
        <w:rPr>
          <w:rFonts w:ascii="Verdana" w:hAnsi="Verdana"/>
          <w:bCs/>
          <w:sz w:val="20"/>
        </w:rPr>
      </w:pPr>
      <w:r w:rsidRPr="00461BB4">
        <w:rPr>
          <w:rFonts w:ascii="Verdana" w:hAnsi="Verdana"/>
          <w:b/>
          <w:bCs/>
          <w:sz w:val="20"/>
        </w:rPr>
        <w:lastRenderedPageBreak/>
        <w:t>5. </w:t>
      </w:r>
      <w:r w:rsidRPr="00461BB4">
        <w:rPr>
          <w:rFonts w:ascii="Verdana" w:hAnsi="Verdana"/>
          <w:bCs/>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461BB4" w:rsidRPr="00461BB4" w:rsidRDefault="00461BB4" w:rsidP="00461BB4">
      <w:pPr>
        <w:jc w:val="both"/>
        <w:rPr>
          <w:rFonts w:ascii="Verdana" w:hAnsi="Verdana"/>
          <w:bCs/>
          <w:sz w:val="20"/>
        </w:rPr>
      </w:pPr>
      <w:r w:rsidRPr="00461BB4">
        <w:rPr>
          <w:rFonts w:ascii="Verdana" w:hAnsi="Verdana"/>
          <w:b/>
          <w:bCs/>
          <w:sz w:val="20"/>
        </w:rPr>
        <w:t>6. </w:t>
      </w:r>
      <w:r w:rsidRPr="00461BB4">
        <w:rPr>
          <w:rFonts w:ascii="Verdana" w:hAnsi="Verdana"/>
          <w:bCs/>
          <w:sz w:val="20"/>
        </w:rPr>
        <w:t>Que los artículos 1 y 24, fracción IV, de la Ley General de Transparencia y Acceso a la Información Pública y los artículos 1 y 11, fracción IV, de la Ley Federal de Transparencia y Acceso a la Información Pública, señalan que los sujetos obligados deberán constituir y actualizar sus sistemas de archivo y gestión documental, conforme a la normatividad aplicable; asimismo, en cumplimiento a lo dispuesto en el artículo 31, fracción I, de la Ley General de Transparencia y Acceso a la Información Pública, el Consejo Nacional del Sistema Nacional de Transparencia, Acceso a la Información Pública y Protección de Datos Personales, aprobó los Lineamientos para la Organización y Conservación de los Archivos, publicados en el Diario Oficial de la Federación, el 4 de mayo de 2016, estableciendo en su Lineamiento Sexto, fracción I, la obligación de los sujetos obligados de implementar métodos y medidas para administrar, organizar y conservar de manera homogénea los documentos de archivo que reciban, produzcan, obtengan, adquieran, transformen o posean, derivado de sus facultades, competencias o funciones, a través de los archivos de trámite, de concentración y, en su caso, histórico.</w:t>
      </w:r>
    </w:p>
    <w:p w:rsidR="00461BB4" w:rsidRPr="00461BB4" w:rsidRDefault="00461BB4" w:rsidP="00461BB4">
      <w:pPr>
        <w:jc w:val="both"/>
        <w:rPr>
          <w:rFonts w:ascii="Verdana" w:hAnsi="Verdana"/>
          <w:bCs/>
          <w:sz w:val="20"/>
        </w:rPr>
      </w:pPr>
      <w:r w:rsidRPr="00461BB4">
        <w:rPr>
          <w:rFonts w:ascii="Verdana" w:hAnsi="Verdana"/>
          <w:b/>
          <w:bCs/>
          <w:sz w:val="20"/>
        </w:rPr>
        <w:t>7. </w:t>
      </w:r>
      <w:r w:rsidRPr="00461BB4">
        <w:rPr>
          <w:rFonts w:ascii="Verdana" w:hAnsi="Verdana"/>
          <w:bCs/>
          <w:sz w:val="20"/>
        </w:rPr>
        <w:t>Que el 30 de junio de 2016, se publicó en el Diario Oficial de la Federación, el acuerdo general </w:t>
      </w:r>
      <w:r w:rsidRPr="00461BB4">
        <w:rPr>
          <w:rFonts w:ascii="Verdana" w:hAnsi="Verdana"/>
          <w:b/>
          <w:bCs/>
          <w:sz w:val="20"/>
        </w:rPr>
        <w:t>G/JGA/37/2016</w:t>
      </w:r>
      <w:r w:rsidRPr="00461BB4">
        <w:rPr>
          <w:rFonts w:ascii="Verdana" w:hAnsi="Verdana"/>
          <w:bCs/>
          <w:sz w:val="20"/>
        </w:rPr>
        <w:t>, emitido por la Junta de Gobierno y Administración de este tribunal, por el que se establecen Reglas para la administración de archivos, que comprende la integración del archivo de trámite, concentración e histórico, así como las transferencias primaria, secundaria y baja documental de los expedientes del Tribunal Federal de Justicia Administrativa; mediante el cual, este tribunal asume con autonomía e independencia la administración de sus archivos; en este contexto, dicho órgano colegiado en sesión de 26 de mayo de 2016, aprobó el acuerdo específico </w:t>
      </w:r>
      <w:r w:rsidRPr="00461BB4">
        <w:rPr>
          <w:rFonts w:ascii="Verdana" w:hAnsi="Verdana"/>
          <w:b/>
          <w:bCs/>
          <w:sz w:val="20"/>
        </w:rPr>
        <w:t>E/JGA/16/2016</w:t>
      </w:r>
      <w:r w:rsidRPr="00461BB4">
        <w:rPr>
          <w:rFonts w:ascii="Verdana" w:hAnsi="Verdana"/>
          <w:bCs/>
          <w:sz w:val="20"/>
        </w:rPr>
        <w:t> mediante el cual se autorizan los instrumentos de control y consulta archivística de este tribunal, el cual entró en vigor el mismo día de la publicación en el Diario Oficial de la Federación, del acuerdo general </w:t>
      </w:r>
      <w:r w:rsidRPr="00461BB4">
        <w:rPr>
          <w:rFonts w:ascii="Verdana" w:hAnsi="Verdana"/>
          <w:b/>
          <w:bCs/>
          <w:sz w:val="20"/>
        </w:rPr>
        <w:t>G/JGA/37/2016</w:t>
      </w:r>
      <w:r w:rsidRPr="00461BB4">
        <w:rPr>
          <w:rFonts w:ascii="Verdana" w:hAnsi="Verdana"/>
          <w:bCs/>
          <w:sz w:val="20"/>
        </w:rPr>
        <w:t>.</w:t>
      </w:r>
    </w:p>
    <w:p w:rsidR="00461BB4" w:rsidRPr="00461BB4" w:rsidRDefault="00461BB4" w:rsidP="00461BB4">
      <w:pPr>
        <w:jc w:val="both"/>
        <w:rPr>
          <w:rFonts w:ascii="Verdana" w:hAnsi="Verdana"/>
          <w:bCs/>
          <w:sz w:val="20"/>
        </w:rPr>
      </w:pPr>
      <w:r w:rsidRPr="00461BB4">
        <w:rPr>
          <w:rFonts w:ascii="Verdana" w:hAnsi="Verdana"/>
          <w:b/>
          <w:bCs/>
          <w:sz w:val="20"/>
        </w:rPr>
        <w:t>8. </w:t>
      </w:r>
      <w:r w:rsidRPr="00461BB4">
        <w:rPr>
          <w:rFonts w:ascii="Verdana" w:hAnsi="Verdana"/>
          <w:bCs/>
          <w:sz w:val="20"/>
        </w:rPr>
        <w:t>Que, en sesión de 23 de octubre de 2018, para dar cumplimiento a la Ley General de Archivos, publicada en el Diario Oficial de la Federación el 15 de junio de 2018, vigente a partir del 15 de junio de 2019, esta Junta de Gobierno y Administración, mediante acuerdo </w:t>
      </w:r>
      <w:r w:rsidRPr="00461BB4">
        <w:rPr>
          <w:rFonts w:ascii="Verdana" w:hAnsi="Verdana"/>
          <w:b/>
          <w:bCs/>
          <w:sz w:val="20"/>
        </w:rPr>
        <w:t>E/JGA/67/2018</w:t>
      </w:r>
      <w:r w:rsidRPr="00461BB4">
        <w:rPr>
          <w:rFonts w:ascii="Verdana" w:hAnsi="Verdana"/>
          <w:bCs/>
          <w:sz w:val="20"/>
        </w:rPr>
        <w:t>, estimó pertinente crear la Dirección General de Archivos, y por otra parte, la creación de la Comisión de Archivos del Tribunal Federal de Justicia Administrativa, mediante acuerdo </w:t>
      </w:r>
      <w:r w:rsidRPr="00461BB4">
        <w:rPr>
          <w:rFonts w:ascii="Verdana" w:hAnsi="Verdana"/>
          <w:b/>
          <w:bCs/>
          <w:sz w:val="20"/>
        </w:rPr>
        <w:t>E/JGA/80/2018</w:t>
      </w:r>
      <w:r w:rsidRPr="00461BB4">
        <w:rPr>
          <w:rFonts w:ascii="Verdana" w:hAnsi="Verdana"/>
          <w:bCs/>
          <w:sz w:val="20"/>
        </w:rPr>
        <w:t>, cuyo titular, es el Magistrado Adalberto G. Salgado Borrego, con el encargo específico de continuar el proceso de consolidación del sistema institucional de archivos, preparando las normas reglamentarias inherentes, los manuales de organización y procedimientos requeridos, y llevar a la práctica el adiestramiento y capacitación necesarios para que el personal a cargo tenga las herramientas que hagan posible el cumplimiento eficaz y oportuno de sus obligaciones en esta rama.</w:t>
      </w:r>
    </w:p>
    <w:p w:rsidR="00461BB4" w:rsidRPr="00461BB4" w:rsidRDefault="00461BB4" w:rsidP="00461BB4">
      <w:pPr>
        <w:jc w:val="both"/>
        <w:rPr>
          <w:rFonts w:ascii="Verdana" w:hAnsi="Verdana"/>
          <w:bCs/>
          <w:sz w:val="20"/>
        </w:rPr>
      </w:pPr>
      <w:r w:rsidRPr="00461BB4">
        <w:rPr>
          <w:rFonts w:ascii="Verdana" w:hAnsi="Verdana"/>
          <w:b/>
          <w:bCs/>
          <w:sz w:val="20"/>
        </w:rPr>
        <w:lastRenderedPageBreak/>
        <w:t>9. </w:t>
      </w:r>
      <w:r w:rsidRPr="00461BB4">
        <w:rPr>
          <w:rFonts w:ascii="Verdana" w:hAnsi="Verdana"/>
          <w:bCs/>
          <w:sz w:val="20"/>
        </w:rPr>
        <w:t>Que derivado de la reestructuración y nueva topografía llevada a cabo en el Archivo General Central Vigente de Concentración, con sede en la Ciudad de México, se detectó la existencia de aproximadamente 41,097 expedientes jurisdiccionales, aparentemente concluidos definitivamente, desde el año 1995 y hasta el año 2015, así como carpetas falsas de expedientes jurisdiccionales que ya fueron objeto de baja documental en años anteriores, correspondientes a la Sala Superior y las Salas Regionales Metropolitanas (primera a décimo primera) y Especializadas (en materia de propiedad intelectual y en materia ambiental y de regulación), con sede en la Ciudad de México, que se encuentran en resguardo de dicho archivo, de los cuales ninguno tiene registro, ni control de valoración documental, de conformidad con los acuerdos de transferencias primarias o bajas documentales de expedientes jurisdiccionales, emitidos por la Junta de Gobierno y Administración, en los años 2017 y 2018.</w:t>
      </w:r>
    </w:p>
    <w:p w:rsidR="00461BB4" w:rsidRPr="00461BB4" w:rsidRDefault="00461BB4" w:rsidP="00461BB4">
      <w:pPr>
        <w:jc w:val="both"/>
        <w:rPr>
          <w:rFonts w:ascii="Verdana" w:hAnsi="Verdana"/>
          <w:bCs/>
          <w:sz w:val="20"/>
        </w:rPr>
      </w:pPr>
      <w:r w:rsidRPr="00461BB4">
        <w:rPr>
          <w:rFonts w:ascii="Verdana" w:hAnsi="Verdana"/>
          <w:b/>
          <w:bCs/>
          <w:sz w:val="20"/>
        </w:rPr>
        <w:t>10. </w:t>
      </w:r>
      <w:r w:rsidRPr="00461BB4">
        <w:rPr>
          <w:rFonts w:ascii="Verdana" w:hAnsi="Verdana"/>
          <w:bCs/>
          <w:sz w:val="20"/>
        </w:rPr>
        <w:t>Así, en aras de consolidar el sistema institucional de archivos de este tribunal, y en cumplimiento a la Ley General de Archivos; la Comisión de Archivos, determinó desarrollar, a partir del mes de mayo y hasta junio, del año en curso, un programa de visitas al Archivo General Central Vigente de Concentración, por parte del personal autorizado de la Sala Superior y las Salas Regionales Metropolitanas (primera a décimo primera) y Especializadas (en materia de propiedad intelectual y en materia ambiental y de regulación), con sede en la Ciudad de México, con el fin de clasificar e identificar los expedientes jurisdiccionales conforme a los criterios establecidos, por la Junta de Gobierno y Administración y así valorar aquellos expedientes jurisdiccionales susceptibles de baja documental.</w:t>
      </w:r>
    </w:p>
    <w:p w:rsidR="00461BB4" w:rsidRPr="00461BB4" w:rsidRDefault="00461BB4" w:rsidP="00461BB4">
      <w:pPr>
        <w:jc w:val="both"/>
        <w:rPr>
          <w:rFonts w:ascii="Verdana" w:hAnsi="Verdana"/>
          <w:bCs/>
          <w:sz w:val="20"/>
        </w:rPr>
      </w:pPr>
      <w:r w:rsidRPr="00461BB4">
        <w:rPr>
          <w:rFonts w:ascii="Verdana" w:hAnsi="Verdana"/>
          <w:b/>
          <w:bCs/>
          <w:sz w:val="20"/>
        </w:rPr>
        <w:t>11. </w:t>
      </w:r>
      <w:r w:rsidRPr="00461BB4">
        <w:rPr>
          <w:rFonts w:ascii="Verdana" w:hAnsi="Verdana"/>
          <w:bCs/>
          <w:sz w:val="20"/>
        </w:rPr>
        <w:t>Que los artículos 1, 2, 3, 4, fracción LVI, 7, 11, fracciones I, II, VII, VIII, XI y XII, 20 y 21, 28, fracciones IV, V, VIII, IX, XI y 30, fracción V y VII de la Ley General de Archivos, establecen que, para la organización y conservación de los documentos de archivos del tribunal, se hará, de acuerdo con lo establecido en las disposiciones jurídicas aplicables, dentro del ámbito de sus competencias.</w:t>
      </w:r>
    </w:p>
    <w:p w:rsidR="00461BB4" w:rsidRPr="00461BB4" w:rsidRDefault="00461BB4" w:rsidP="00461BB4">
      <w:pPr>
        <w:jc w:val="both"/>
        <w:rPr>
          <w:rFonts w:ascii="Verdana" w:hAnsi="Verdana"/>
          <w:bCs/>
          <w:sz w:val="20"/>
        </w:rPr>
      </w:pPr>
      <w:r w:rsidRPr="00461BB4">
        <w:rPr>
          <w:rFonts w:ascii="Verdana" w:hAnsi="Verdana"/>
          <w:bCs/>
          <w:sz w:val="20"/>
        </w:rPr>
        <w:t>En consecuencia, con fundamento en lo dispuesto en los artículos 73, fracción XXIX-H de la Constitución Política de los Estados Unidos Mexicanos; 1, segundo y quinto párrafos, 21 y 23, fracciones II, XXVI y XXX de la Ley Orgánica del Tribunal Federal de Justicia Administrativa; 46, párrafos primero y tercero inciso a) y 47, primer párrafo del Reglamento Interior del Tribunal; 1, 2, 3, fracción LVI, 7, 11, fracciones I, II, VII, VIII, XI y XII, 28, fracciones IV, V, VIII, IX, XI y 30, fracción V y VII, de la Ley General de Archivos; 1, 24 fracción IV de la Ley General de Transparencia y Acceso a la Información Pública y 1 y 11 fracción IV de la Ley Federal de Transparencia y Acceso a la Información Pública; la Junta de Gobierno y Administración emite el siguiente:</w:t>
      </w:r>
    </w:p>
    <w:p w:rsidR="00461BB4" w:rsidRPr="00461BB4" w:rsidRDefault="00461BB4" w:rsidP="00461BB4">
      <w:pPr>
        <w:jc w:val="both"/>
        <w:rPr>
          <w:rFonts w:ascii="Verdana" w:hAnsi="Verdana"/>
          <w:b/>
          <w:bCs/>
          <w:sz w:val="20"/>
        </w:rPr>
      </w:pPr>
      <w:r w:rsidRPr="00461BB4">
        <w:rPr>
          <w:rFonts w:ascii="Verdana" w:hAnsi="Verdana"/>
          <w:b/>
          <w:bCs/>
          <w:sz w:val="20"/>
        </w:rPr>
        <w:t>ACUERDO QUE DETERMINA LA BAJA DOCUMENTAL COMPLEMENTARIA DE LOS EXPEDIENTES</w:t>
      </w:r>
      <w:r w:rsidRPr="00461BB4">
        <w:rPr>
          <w:rFonts w:ascii="Verdana" w:hAnsi="Verdana"/>
          <w:b/>
          <w:bCs/>
          <w:sz w:val="20"/>
        </w:rPr>
        <w:br/>
        <w:t>JURISDICCIONALES CONCLUIDOS DEFINITIVAMENTE DESDE EL AÑO MIL NOVECIENTOS</w:t>
      </w:r>
      <w:r w:rsidRPr="00461BB4">
        <w:rPr>
          <w:rFonts w:ascii="Verdana" w:hAnsi="Verdana"/>
          <w:b/>
          <w:bCs/>
          <w:sz w:val="20"/>
        </w:rPr>
        <w:br/>
        <w:t>NOVENTA Y CINCO, Y HASTA EL DOS MIL QUINCE</w:t>
      </w:r>
    </w:p>
    <w:p w:rsidR="00461BB4" w:rsidRPr="00461BB4" w:rsidRDefault="00461BB4" w:rsidP="00461BB4">
      <w:pPr>
        <w:jc w:val="both"/>
        <w:rPr>
          <w:rFonts w:ascii="Verdana" w:hAnsi="Verdana"/>
          <w:bCs/>
          <w:sz w:val="20"/>
        </w:rPr>
      </w:pPr>
      <w:r w:rsidRPr="00461BB4">
        <w:rPr>
          <w:rFonts w:ascii="Verdana" w:hAnsi="Verdana"/>
          <w:b/>
          <w:bCs/>
          <w:sz w:val="20"/>
        </w:rPr>
        <w:t>Primero.</w:t>
      </w:r>
      <w:r w:rsidRPr="00461BB4">
        <w:rPr>
          <w:rFonts w:ascii="Verdana" w:hAnsi="Verdana"/>
          <w:bCs/>
          <w:sz w:val="20"/>
        </w:rPr>
        <w:t> El presente acuerdo tiene por objeto:</w:t>
      </w:r>
    </w:p>
    <w:p w:rsidR="00461BB4" w:rsidRPr="00461BB4" w:rsidRDefault="00461BB4" w:rsidP="00461BB4">
      <w:pPr>
        <w:jc w:val="both"/>
        <w:rPr>
          <w:rFonts w:ascii="Verdana" w:hAnsi="Verdana"/>
          <w:bCs/>
          <w:sz w:val="20"/>
        </w:rPr>
      </w:pPr>
      <w:r w:rsidRPr="00461BB4">
        <w:rPr>
          <w:rFonts w:ascii="Verdana" w:hAnsi="Verdana"/>
          <w:bCs/>
          <w:sz w:val="20"/>
        </w:rPr>
        <w:lastRenderedPageBreak/>
        <w:t>I. Conforme a la normatividad establecida por la Junta de Gobierno y Administración, determinar para el pleno y las secciones de la Sala Superior, las Salas Regionales Metropolitanas (primera a décimo primera) y Especializadas (en materia de propiedad intelectual y en materia ambiental y de regulación), con sede en la Ciudad de México, la baja documental complementaria, de los expedientes jurisdiccionales concluidos definitivamente desde el año 1995, y hasta el 2015, independientemente del año en que se haya iniciado su integración, previa valoración documental, obtenida, del reporte de la revisión física de cada uno de los expedientes, realizada, en las visitas al Archivo General Central Vigente de Concentración, programadas del 2 de mayo al 12 de junio del año en curso; y</w:t>
      </w:r>
    </w:p>
    <w:p w:rsidR="00461BB4" w:rsidRPr="00461BB4" w:rsidRDefault="00461BB4" w:rsidP="00461BB4">
      <w:pPr>
        <w:jc w:val="both"/>
        <w:rPr>
          <w:rFonts w:ascii="Verdana" w:hAnsi="Verdana"/>
          <w:bCs/>
          <w:sz w:val="20"/>
        </w:rPr>
      </w:pPr>
      <w:r w:rsidRPr="00461BB4">
        <w:rPr>
          <w:rFonts w:ascii="Verdana" w:hAnsi="Verdana"/>
          <w:bCs/>
          <w:sz w:val="20"/>
        </w:rPr>
        <w:t>II. Especificar el procedimiento de baja documental complementaria, señalado en los artículos trigésimo quinto, trigésimo sexto, trigésimo séptimo, trigésimo octavo, trigésimo noveno, cuadragésimo y cuadragésimo primero del acuerdo general G/JGA/37/2016, "por el que se establecen reglas para la administración de archivos, que comprende la integración del archivo de trámite, concentración e histórico, así como las transferencias primaria, secundaria y baja documental de los expedientes del Tribunal Federal de Justicia Fiscal y Administrativa".</w:t>
      </w:r>
    </w:p>
    <w:p w:rsidR="00461BB4" w:rsidRPr="00461BB4" w:rsidRDefault="00461BB4" w:rsidP="00461BB4">
      <w:pPr>
        <w:jc w:val="both"/>
        <w:rPr>
          <w:rFonts w:ascii="Verdana" w:hAnsi="Verdana"/>
          <w:bCs/>
          <w:sz w:val="20"/>
        </w:rPr>
      </w:pPr>
      <w:r w:rsidRPr="00461BB4">
        <w:rPr>
          <w:rFonts w:ascii="Verdana" w:hAnsi="Verdana"/>
          <w:b/>
          <w:bCs/>
          <w:sz w:val="20"/>
        </w:rPr>
        <w:t>DE LA BAJA DOCUMENTAL COMPLEMENTARIA</w:t>
      </w:r>
    </w:p>
    <w:p w:rsidR="00461BB4" w:rsidRPr="00461BB4" w:rsidRDefault="00461BB4" w:rsidP="00461BB4">
      <w:pPr>
        <w:jc w:val="both"/>
        <w:rPr>
          <w:rFonts w:ascii="Verdana" w:hAnsi="Verdana"/>
          <w:bCs/>
          <w:sz w:val="20"/>
        </w:rPr>
      </w:pPr>
      <w:r w:rsidRPr="00461BB4">
        <w:rPr>
          <w:rFonts w:ascii="Verdana" w:hAnsi="Verdana"/>
          <w:b/>
          <w:bCs/>
          <w:sz w:val="20"/>
        </w:rPr>
        <w:t>Segundo.</w:t>
      </w:r>
      <w:r w:rsidRPr="00461BB4">
        <w:rPr>
          <w:rFonts w:ascii="Verdana" w:hAnsi="Verdana"/>
          <w:bCs/>
          <w:sz w:val="20"/>
        </w:rPr>
        <w:t> Los archivistas de trámite, deberán identificar el universo de expedientes susceptibles para su baja documental, de conformidad con el reporte que derive de la revisión física de cada uno de los expedientes, obtenido de la revisión complementaria realizada conforme al calendario programado del 2 de mayo al 12 de junio del año en curso, para visitar el Archivo General Central Vigente de Concentración, con sede en la Ciudad de México.</w:t>
      </w:r>
    </w:p>
    <w:p w:rsidR="00461BB4" w:rsidRPr="00461BB4" w:rsidRDefault="00461BB4" w:rsidP="00461BB4">
      <w:pPr>
        <w:jc w:val="both"/>
        <w:rPr>
          <w:rFonts w:ascii="Verdana" w:hAnsi="Verdana"/>
          <w:bCs/>
          <w:sz w:val="20"/>
        </w:rPr>
      </w:pPr>
      <w:r w:rsidRPr="00461BB4">
        <w:rPr>
          <w:rFonts w:ascii="Verdana" w:hAnsi="Verdana"/>
          <w:b/>
          <w:bCs/>
          <w:sz w:val="20"/>
        </w:rPr>
        <w:t>Tercero.</w:t>
      </w:r>
      <w:r w:rsidRPr="00461BB4">
        <w:rPr>
          <w:rFonts w:ascii="Verdana" w:hAnsi="Verdana"/>
          <w:bCs/>
          <w:sz w:val="20"/>
        </w:rPr>
        <w:t> Los expedientes susceptibles para baja documental, serán aquellos concluidos definitivamente desde el año 1995, y hasta el 2015, independientemente del año en que se haya iniciado su integración.</w:t>
      </w:r>
    </w:p>
    <w:p w:rsidR="00461BB4" w:rsidRPr="00461BB4" w:rsidRDefault="00461BB4" w:rsidP="00461BB4">
      <w:pPr>
        <w:jc w:val="both"/>
        <w:rPr>
          <w:rFonts w:ascii="Verdana" w:hAnsi="Verdana"/>
          <w:bCs/>
          <w:sz w:val="20"/>
        </w:rPr>
      </w:pPr>
      <w:r w:rsidRPr="00461BB4">
        <w:rPr>
          <w:rFonts w:ascii="Verdana" w:hAnsi="Verdana"/>
          <w:b/>
          <w:bCs/>
          <w:sz w:val="20"/>
        </w:rPr>
        <w:t>Cuarto.</w:t>
      </w:r>
      <w:r w:rsidRPr="00461BB4">
        <w:rPr>
          <w:rFonts w:ascii="Verdana" w:hAnsi="Verdana"/>
          <w:bCs/>
          <w:sz w:val="20"/>
        </w:rPr>
        <w:t> Los responsables de archivos deberán verificar que todas las actuaciones, resoluciones, sentencias y trámites relacionados con los expedientes, se encuentren registrados en el Sistema de Control y Seguimiento de Juicios,</w:t>
      </w:r>
      <w:r w:rsidRPr="00461BB4">
        <w:rPr>
          <w:rFonts w:ascii="Verdana" w:hAnsi="Verdana"/>
          <w:b/>
          <w:bCs/>
          <w:sz w:val="20"/>
        </w:rPr>
        <w:t> y a su vez, tendrán que verificar que los mismos, no se encuentren listados en algún inventario de baja documental anterior.</w:t>
      </w:r>
    </w:p>
    <w:p w:rsidR="00461BB4" w:rsidRPr="00461BB4" w:rsidRDefault="00461BB4" w:rsidP="00461BB4">
      <w:pPr>
        <w:jc w:val="both"/>
        <w:rPr>
          <w:rFonts w:ascii="Verdana" w:hAnsi="Verdana"/>
          <w:bCs/>
          <w:sz w:val="20"/>
        </w:rPr>
      </w:pPr>
      <w:r w:rsidRPr="00461BB4">
        <w:rPr>
          <w:rFonts w:ascii="Verdana" w:hAnsi="Verdana"/>
          <w:b/>
          <w:bCs/>
          <w:sz w:val="20"/>
        </w:rPr>
        <w:t>Quinto.</w:t>
      </w:r>
      <w:r w:rsidRPr="00461BB4">
        <w:rPr>
          <w:rFonts w:ascii="Verdana" w:hAnsi="Verdana"/>
          <w:bCs/>
          <w:sz w:val="20"/>
        </w:rPr>
        <w:t xml:space="preserve"> Para proceder con la baja documental complementaria de los expedientes, la identificación de ausencia de valores históricos, la elaboración de los inventarios de baja documental, fichas técnicas y declaratorias de </w:t>
      </w:r>
      <w:proofErr w:type="spellStart"/>
      <w:r w:rsidRPr="00461BB4">
        <w:rPr>
          <w:rFonts w:ascii="Verdana" w:hAnsi="Verdana"/>
          <w:bCs/>
          <w:sz w:val="20"/>
        </w:rPr>
        <w:t>prevaloración</w:t>
      </w:r>
      <w:proofErr w:type="spellEnd"/>
      <w:r w:rsidRPr="00461BB4">
        <w:rPr>
          <w:rFonts w:ascii="Verdana" w:hAnsi="Verdana"/>
          <w:bCs/>
          <w:sz w:val="20"/>
        </w:rPr>
        <w:t xml:space="preserve"> de archivos (formatos precargados en el Portal Especial para la Administración de Archivos), así como la carga de los documentos en el Portal Especial para la Administración de Archivos, se deberá listar en orden cronológico de acuerdo al número y año del expediente.</w:t>
      </w:r>
    </w:p>
    <w:p w:rsidR="00461BB4" w:rsidRPr="00461BB4" w:rsidRDefault="00461BB4" w:rsidP="00461BB4">
      <w:pPr>
        <w:jc w:val="both"/>
        <w:rPr>
          <w:rFonts w:ascii="Verdana" w:hAnsi="Verdana"/>
          <w:bCs/>
          <w:sz w:val="20"/>
        </w:rPr>
      </w:pPr>
      <w:r w:rsidRPr="00461BB4">
        <w:rPr>
          <w:rFonts w:ascii="Verdana" w:hAnsi="Verdana"/>
          <w:b/>
          <w:bCs/>
          <w:sz w:val="20"/>
        </w:rPr>
        <w:t>Sexto.</w:t>
      </w:r>
      <w:r w:rsidRPr="00461BB4">
        <w:rPr>
          <w:rFonts w:ascii="Verdana" w:hAnsi="Verdana"/>
          <w:bCs/>
          <w:sz w:val="20"/>
        </w:rPr>
        <w:t xml:space="preserve"> Para </w:t>
      </w:r>
      <w:proofErr w:type="spellStart"/>
      <w:r w:rsidRPr="00461BB4">
        <w:rPr>
          <w:rFonts w:ascii="Verdana" w:hAnsi="Verdana"/>
          <w:bCs/>
          <w:sz w:val="20"/>
        </w:rPr>
        <w:t>requisitar</w:t>
      </w:r>
      <w:proofErr w:type="spellEnd"/>
      <w:r w:rsidRPr="00461BB4">
        <w:rPr>
          <w:rFonts w:ascii="Verdana" w:hAnsi="Verdana"/>
          <w:bCs/>
          <w:sz w:val="20"/>
        </w:rPr>
        <w:t xml:space="preserve"> correctamente los formatos señalados en el punto anterior, deberán observar lo dispuesto en el catálogo de disposición documental; </w:t>
      </w:r>
      <w:r w:rsidRPr="00461BB4">
        <w:rPr>
          <w:rFonts w:ascii="Verdana" w:hAnsi="Verdana"/>
          <w:b/>
          <w:bCs/>
          <w:sz w:val="20"/>
        </w:rPr>
        <w:t xml:space="preserve">corresponde </w:t>
      </w:r>
      <w:r w:rsidRPr="00461BB4">
        <w:rPr>
          <w:rFonts w:ascii="Verdana" w:hAnsi="Verdana"/>
          <w:b/>
          <w:bCs/>
          <w:sz w:val="20"/>
        </w:rPr>
        <w:lastRenderedPageBreak/>
        <w:t>a los responsables de archivos, verificar los datos de registro de los expedientes susceptibles de baja documental</w:t>
      </w:r>
      <w:r w:rsidRPr="00461BB4">
        <w:rPr>
          <w:rFonts w:ascii="Verdana" w:hAnsi="Verdana"/>
          <w:bCs/>
          <w:sz w:val="20"/>
        </w:rPr>
        <w:t>; asimismo podrán solicitar asesoría a la Comisión de Archivos.</w:t>
      </w:r>
    </w:p>
    <w:p w:rsidR="00461BB4" w:rsidRPr="00461BB4" w:rsidRDefault="00461BB4" w:rsidP="00461BB4">
      <w:pPr>
        <w:jc w:val="both"/>
        <w:rPr>
          <w:rFonts w:ascii="Verdana" w:hAnsi="Verdana"/>
          <w:bCs/>
          <w:sz w:val="20"/>
        </w:rPr>
      </w:pPr>
      <w:r w:rsidRPr="00461BB4">
        <w:rPr>
          <w:rFonts w:ascii="Verdana" w:hAnsi="Verdana"/>
          <w:b/>
          <w:bCs/>
          <w:sz w:val="20"/>
        </w:rPr>
        <w:t>Séptimo.</w:t>
      </w:r>
      <w:r w:rsidRPr="00461BB4">
        <w:rPr>
          <w:rFonts w:ascii="Verdana" w:hAnsi="Verdana"/>
          <w:bCs/>
          <w:sz w:val="20"/>
        </w:rPr>
        <w:t> Los inventarios de baja documental complementaria, las fichas técnicas y las declaratorias de </w:t>
      </w:r>
      <w:proofErr w:type="spellStart"/>
      <w:r w:rsidRPr="00461BB4">
        <w:rPr>
          <w:rFonts w:ascii="Verdana" w:hAnsi="Verdana"/>
          <w:bCs/>
          <w:sz w:val="20"/>
        </w:rPr>
        <w:t>prevaloración</w:t>
      </w:r>
      <w:proofErr w:type="spellEnd"/>
      <w:r w:rsidRPr="00461BB4">
        <w:rPr>
          <w:rFonts w:ascii="Verdana" w:hAnsi="Verdana"/>
          <w:bCs/>
          <w:sz w:val="20"/>
        </w:rPr>
        <w:t xml:space="preserve"> de archivos, deberán cargarse en el Portal Especial para la Administración de Archivos, en formato Word y Excel, respectivamente.</w:t>
      </w:r>
    </w:p>
    <w:p w:rsidR="00461BB4" w:rsidRPr="00461BB4" w:rsidRDefault="00461BB4" w:rsidP="00461BB4">
      <w:pPr>
        <w:jc w:val="both"/>
        <w:rPr>
          <w:rFonts w:ascii="Verdana" w:hAnsi="Verdana"/>
          <w:bCs/>
          <w:sz w:val="20"/>
        </w:rPr>
      </w:pPr>
      <w:r w:rsidRPr="00461BB4">
        <w:rPr>
          <w:rFonts w:ascii="Verdana" w:hAnsi="Verdana"/>
          <w:b/>
          <w:bCs/>
          <w:sz w:val="20"/>
        </w:rPr>
        <w:t>Octavo.</w:t>
      </w:r>
      <w:r w:rsidRPr="00461BB4">
        <w:rPr>
          <w:rFonts w:ascii="Verdana" w:hAnsi="Verdana"/>
          <w:bCs/>
          <w:sz w:val="20"/>
        </w:rPr>
        <w:t xml:space="preserve"> La Junta de Gobierno y Administración, a través de la Comisión de Archivos, podrá, con apoyo de la Secretaría Operativa de Tecnologías de la Información y las Comunicaciones (SOTIC), revisar que los documentos descritos en el artículo anterior se encuentren debidamente </w:t>
      </w:r>
      <w:proofErr w:type="spellStart"/>
      <w:r w:rsidRPr="00461BB4">
        <w:rPr>
          <w:rFonts w:ascii="Verdana" w:hAnsi="Verdana"/>
          <w:bCs/>
          <w:sz w:val="20"/>
        </w:rPr>
        <w:t>requisitados</w:t>
      </w:r>
      <w:proofErr w:type="spellEnd"/>
      <w:r w:rsidRPr="00461BB4">
        <w:rPr>
          <w:rFonts w:ascii="Verdana" w:hAnsi="Verdana"/>
          <w:bCs/>
          <w:sz w:val="20"/>
        </w:rPr>
        <w:t xml:space="preserve">. En caso de existir algún error, lo notificará al órgano jurisdiccional que generó la documentación para que subsane el error, en un plazo no mayor a 3 días hábiles, y así poder cargar la versión definitiva en formato </w:t>
      </w:r>
      <w:proofErr w:type="spellStart"/>
      <w:r w:rsidRPr="00461BB4">
        <w:rPr>
          <w:rFonts w:ascii="Verdana" w:hAnsi="Verdana"/>
          <w:bCs/>
          <w:sz w:val="20"/>
        </w:rPr>
        <w:t>pdf</w:t>
      </w:r>
      <w:proofErr w:type="spellEnd"/>
      <w:r w:rsidRPr="00461BB4">
        <w:rPr>
          <w:rFonts w:ascii="Verdana" w:hAnsi="Verdana"/>
          <w:bCs/>
          <w:sz w:val="20"/>
        </w:rPr>
        <w:t>., con firmas.</w:t>
      </w:r>
    </w:p>
    <w:p w:rsidR="00461BB4" w:rsidRPr="00461BB4" w:rsidRDefault="00461BB4" w:rsidP="00461BB4">
      <w:pPr>
        <w:jc w:val="both"/>
        <w:rPr>
          <w:rFonts w:ascii="Verdana" w:hAnsi="Verdana"/>
          <w:bCs/>
          <w:sz w:val="20"/>
        </w:rPr>
      </w:pPr>
      <w:r w:rsidRPr="00461BB4">
        <w:rPr>
          <w:rFonts w:ascii="Verdana" w:hAnsi="Verdana"/>
          <w:b/>
          <w:bCs/>
          <w:sz w:val="20"/>
        </w:rPr>
        <w:t>Noveno.</w:t>
      </w:r>
      <w:r w:rsidRPr="00461BB4">
        <w:rPr>
          <w:rFonts w:ascii="Verdana" w:hAnsi="Verdana"/>
          <w:bCs/>
          <w:sz w:val="20"/>
        </w:rPr>
        <w:t> La baja documental complementaria, se hará empleando los medios que se consideren más convenientes y los recursos que tenga disponible el tribunal.</w:t>
      </w:r>
    </w:p>
    <w:p w:rsidR="00461BB4" w:rsidRPr="00461BB4" w:rsidRDefault="00461BB4" w:rsidP="00461BB4">
      <w:pPr>
        <w:jc w:val="both"/>
        <w:rPr>
          <w:rFonts w:ascii="Verdana" w:hAnsi="Verdana"/>
          <w:bCs/>
          <w:sz w:val="20"/>
        </w:rPr>
      </w:pPr>
      <w:r w:rsidRPr="00461BB4">
        <w:rPr>
          <w:rFonts w:ascii="Verdana" w:hAnsi="Verdana"/>
          <w:b/>
          <w:bCs/>
          <w:sz w:val="20"/>
        </w:rPr>
        <w:t>Décimo.</w:t>
      </w:r>
      <w:r w:rsidRPr="00461BB4">
        <w:rPr>
          <w:rFonts w:ascii="Verdana" w:hAnsi="Verdana"/>
          <w:bCs/>
          <w:sz w:val="20"/>
        </w:rPr>
        <w:t> A través de la Comisión de Archivos se deberá solicitar el dictamen de baja documental complementaria, ante la Junta de Gobierno y Administración, quien emitirá el dictamen correspondiente, en un plazo no mayor a 10 días hábiles, contados a partir de la recepción de la solicitud.</w:t>
      </w:r>
    </w:p>
    <w:p w:rsidR="00461BB4" w:rsidRPr="00461BB4" w:rsidRDefault="00461BB4" w:rsidP="00461BB4">
      <w:pPr>
        <w:jc w:val="both"/>
        <w:rPr>
          <w:rFonts w:ascii="Verdana" w:hAnsi="Verdana"/>
          <w:bCs/>
          <w:sz w:val="20"/>
        </w:rPr>
      </w:pPr>
      <w:r w:rsidRPr="00461BB4">
        <w:rPr>
          <w:rFonts w:ascii="Verdana" w:hAnsi="Verdana"/>
          <w:b/>
          <w:bCs/>
          <w:sz w:val="20"/>
        </w:rPr>
        <w:t>Décimo primero.</w:t>
      </w:r>
      <w:r w:rsidRPr="00461BB4">
        <w:rPr>
          <w:rFonts w:ascii="Verdana" w:hAnsi="Verdana"/>
          <w:bCs/>
          <w:sz w:val="20"/>
        </w:rPr>
        <w:t> Autorizada la baja documental complementaria, por la Junta de Gobierno y Administración, a través de la Comisión de Archivos, se deberá solicitar al Comité de Bienes Muebles el dictamen de procedencia para la donación de los expedientes, el cual deberá ser emitido en un plazo no mayor a 5 días hábiles contados a partir de la recepción de la solicitud.</w:t>
      </w:r>
    </w:p>
    <w:p w:rsidR="00461BB4" w:rsidRPr="00461BB4" w:rsidRDefault="00461BB4" w:rsidP="00461BB4">
      <w:pPr>
        <w:jc w:val="both"/>
        <w:rPr>
          <w:rFonts w:ascii="Verdana" w:hAnsi="Verdana"/>
          <w:bCs/>
          <w:sz w:val="20"/>
        </w:rPr>
      </w:pPr>
      <w:r w:rsidRPr="00461BB4">
        <w:rPr>
          <w:rFonts w:ascii="Verdana" w:hAnsi="Verdana"/>
          <w:b/>
          <w:bCs/>
          <w:sz w:val="20"/>
        </w:rPr>
        <w:t>DE LAS CONSIDERACIONES GENERALES</w:t>
      </w:r>
    </w:p>
    <w:p w:rsidR="00461BB4" w:rsidRPr="00461BB4" w:rsidRDefault="00461BB4" w:rsidP="00461BB4">
      <w:pPr>
        <w:jc w:val="both"/>
        <w:rPr>
          <w:rFonts w:ascii="Verdana" w:hAnsi="Verdana"/>
          <w:bCs/>
          <w:sz w:val="20"/>
        </w:rPr>
      </w:pPr>
      <w:r w:rsidRPr="00461BB4">
        <w:rPr>
          <w:rFonts w:ascii="Verdana" w:hAnsi="Verdana"/>
          <w:b/>
          <w:bCs/>
          <w:sz w:val="20"/>
        </w:rPr>
        <w:t>Décimo segundo.</w:t>
      </w:r>
      <w:r w:rsidRPr="00461BB4">
        <w:rPr>
          <w:rFonts w:ascii="Verdana" w:hAnsi="Verdana"/>
          <w:bCs/>
          <w:sz w:val="20"/>
        </w:rPr>
        <w:t> La Secretaría General de Acuerdos y las Salas Regionales Metropolitanas y Especializadas del Tribunal Federal de Justicia Administrativa, deberán colocar una copia del presente acuerdo en las ventanillas de sus Oficialías de Partes, de forma visible para el público. Los interesados tendrán un plazo de 30 días hábiles, a partir de la publicación del presente acuerdo en el Diario Oficial de la Federación, para que soliciten la devolución o expedición de copias de la documentación contenida en los expedientes sujetos a la baja documental. Transcurrido dicho plazo se continuará con el proceso a que refiere el presente acuerdo.</w:t>
      </w:r>
    </w:p>
    <w:p w:rsidR="00461BB4" w:rsidRPr="00461BB4" w:rsidRDefault="00461BB4" w:rsidP="00461BB4">
      <w:pPr>
        <w:jc w:val="both"/>
        <w:rPr>
          <w:rFonts w:ascii="Verdana" w:hAnsi="Verdana"/>
          <w:bCs/>
          <w:sz w:val="20"/>
        </w:rPr>
      </w:pPr>
      <w:r w:rsidRPr="00461BB4">
        <w:rPr>
          <w:rFonts w:ascii="Verdana" w:hAnsi="Verdana"/>
          <w:b/>
          <w:bCs/>
          <w:sz w:val="20"/>
        </w:rPr>
        <w:t>Décimo tercero.</w:t>
      </w:r>
      <w:r w:rsidRPr="00461BB4">
        <w:rPr>
          <w:rFonts w:ascii="Verdana" w:hAnsi="Verdana"/>
          <w:bCs/>
          <w:sz w:val="20"/>
        </w:rPr>
        <w:t> Se deberá levantar un acta circunstanciada del cumplimiento de esta obligación y remitir copia a la Junta de Gobierno y Administración.</w:t>
      </w:r>
    </w:p>
    <w:p w:rsidR="00461BB4" w:rsidRPr="00461BB4" w:rsidRDefault="00461BB4" w:rsidP="00461BB4">
      <w:pPr>
        <w:jc w:val="both"/>
        <w:rPr>
          <w:rFonts w:ascii="Verdana" w:hAnsi="Verdana"/>
          <w:bCs/>
          <w:sz w:val="20"/>
        </w:rPr>
      </w:pPr>
      <w:r w:rsidRPr="00461BB4">
        <w:rPr>
          <w:rFonts w:ascii="Verdana" w:hAnsi="Verdana"/>
          <w:b/>
          <w:bCs/>
          <w:sz w:val="20"/>
        </w:rPr>
        <w:t>Décimo cuarto.</w:t>
      </w:r>
      <w:r w:rsidRPr="00461BB4">
        <w:rPr>
          <w:rFonts w:ascii="Verdana" w:hAnsi="Verdana"/>
          <w:bCs/>
          <w:sz w:val="20"/>
        </w:rPr>
        <w:t> El dictamen de baja documental complementaria, se publicarán en la página web del Tribunal Federal de Justicia Administrativa.</w:t>
      </w:r>
    </w:p>
    <w:p w:rsidR="00461BB4" w:rsidRPr="00461BB4" w:rsidRDefault="00461BB4" w:rsidP="00461BB4">
      <w:pPr>
        <w:jc w:val="both"/>
        <w:rPr>
          <w:rFonts w:ascii="Verdana" w:hAnsi="Verdana"/>
          <w:b/>
          <w:bCs/>
          <w:sz w:val="20"/>
        </w:rPr>
      </w:pPr>
      <w:r w:rsidRPr="00461BB4">
        <w:rPr>
          <w:rFonts w:ascii="Verdana" w:hAnsi="Verdana"/>
          <w:b/>
          <w:bCs/>
          <w:sz w:val="20"/>
        </w:rPr>
        <w:t>TRANSITORIOS</w:t>
      </w:r>
    </w:p>
    <w:p w:rsidR="00461BB4" w:rsidRPr="00461BB4" w:rsidRDefault="00461BB4" w:rsidP="00461BB4">
      <w:pPr>
        <w:jc w:val="both"/>
        <w:rPr>
          <w:rFonts w:ascii="Verdana" w:hAnsi="Verdana"/>
          <w:bCs/>
          <w:sz w:val="20"/>
        </w:rPr>
      </w:pPr>
      <w:r w:rsidRPr="00461BB4">
        <w:rPr>
          <w:rFonts w:ascii="Verdana" w:hAnsi="Verdana"/>
          <w:b/>
          <w:bCs/>
          <w:sz w:val="20"/>
        </w:rPr>
        <w:lastRenderedPageBreak/>
        <w:t>PRIMERO.-</w:t>
      </w:r>
      <w:r w:rsidRPr="00461BB4">
        <w:rPr>
          <w:rFonts w:ascii="Verdana" w:hAnsi="Verdana"/>
          <w:bCs/>
          <w:sz w:val="20"/>
        </w:rPr>
        <w:t> Publíquese este Acuerdo en el Diario Oficial de la Federación.</w:t>
      </w:r>
    </w:p>
    <w:p w:rsidR="00461BB4" w:rsidRPr="00461BB4" w:rsidRDefault="00461BB4" w:rsidP="00461BB4">
      <w:pPr>
        <w:jc w:val="both"/>
        <w:rPr>
          <w:rFonts w:ascii="Verdana" w:hAnsi="Verdana"/>
          <w:bCs/>
          <w:sz w:val="20"/>
        </w:rPr>
      </w:pPr>
      <w:r w:rsidRPr="00461BB4">
        <w:rPr>
          <w:rFonts w:ascii="Verdana" w:hAnsi="Verdana"/>
          <w:b/>
          <w:bCs/>
          <w:sz w:val="20"/>
        </w:rPr>
        <w:t>SEGUNDO.-</w:t>
      </w:r>
      <w:r w:rsidRPr="00461BB4">
        <w:rPr>
          <w:rFonts w:ascii="Verdana" w:hAnsi="Verdana"/>
          <w:bCs/>
          <w:sz w:val="20"/>
        </w:rPr>
        <w:t> El presente Acuerdo entrará en vigor al día siguiente de su publicación en el Diario Oficial de la Federación.</w:t>
      </w:r>
    </w:p>
    <w:p w:rsidR="00461BB4" w:rsidRPr="00461BB4" w:rsidRDefault="00461BB4" w:rsidP="00461BB4">
      <w:pPr>
        <w:jc w:val="both"/>
        <w:rPr>
          <w:rFonts w:ascii="Verdana" w:hAnsi="Verdana"/>
          <w:bCs/>
          <w:sz w:val="20"/>
        </w:rPr>
      </w:pPr>
      <w:r w:rsidRPr="00461BB4">
        <w:rPr>
          <w:rFonts w:ascii="Verdana" w:hAnsi="Verdana"/>
          <w:b/>
          <w:bCs/>
          <w:sz w:val="20"/>
        </w:rPr>
        <w:t>TERCERO.-</w:t>
      </w:r>
      <w:r w:rsidRPr="00461BB4">
        <w:rPr>
          <w:rFonts w:ascii="Verdana" w:hAnsi="Verdana"/>
          <w:bCs/>
          <w:sz w:val="20"/>
        </w:rPr>
        <w:t> El presente acuerdo deberá ser publicado en la página web institucional del Tribunal Federal de Justicia Administrativa.</w:t>
      </w:r>
    </w:p>
    <w:p w:rsidR="00461BB4" w:rsidRPr="00461BB4" w:rsidRDefault="00461BB4" w:rsidP="00461BB4">
      <w:pPr>
        <w:jc w:val="both"/>
        <w:rPr>
          <w:rFonts w:ascii="Verdana" w:hAnsi="Verdana"/>
          <w:bCs/>
          <w:sz w:val="20"/>
        </w:rPr>
      </w:pPr>
      <w:r w:rsidRPr="00461BB4">
        <w:rPr>
          <w:rFonts w:ascii="Verdana" w:hAnsi="Verdana"/>
          <w:b/>
          <w:bCs/>
          <w:sz w:val="20"/>
        </w:rPr>
        <w:t>CUARTO.-</w:t>
      </w:r>
      <w:r w:rsidRPr="00461BB4">
        <w:rPr>
          <w:rFonts w:ascii="Verdana" w:hAnsi="Verdana"/>
          <w:bCs/>
          <w:sz w:val="20"/>
        </w:rPr>
        <w:t> Para todo lo no previsto en el presente acuerdo, se estará a lo que resuelva la Junta de Gobierno y Administración del Tribunal Federal de Justicia Administrativa.</w:t>
      </w:r>
    </w:p>
    <w:p w:rsidR="00461BB4" w:rsidRPr="00461BB4" w:rsidRDefault="00461BB4" w:rsidP="00461BB4">
      <w:pPr>
        <w:jc w:val="both"/>
        <w:rPr>
          <w:rFonts w:ascii="Verdana" w:hAnsi="Verdana"/>
          <w:bCs/>
          <w:sz w:val="20"/>
        </w:rPr>
      </w:pPr>
      <w:r w:rsidRPr="00461BB4">
        <w:rPr>
          <w:rFonts w:ascii="Verdana" w:hAnsi="Verdana"/>
          <w:bCs/>
          <w:sz w:val="20"/>
        </w:rPr>
        <w:t xml:space="preserve">Dictado en sesión de fecha 29 de octubre de 2019, por unanimidad de votos de los Magistrados Juan Carlos Roa Jacobo, María del Consuelo Arce Rodea, Nora Elizabeth </w:t>
      </w:r>
      <w:proofErr w:type="spellStart"/>
      <w:r w:rsidRPr="00461BB4">
        <w:rPr>
          <w:rFonts w:ascii="Verdana" w:hAnsi="Verdana"/>
          <w:bCs/>
          <w:sz w:val="20"/>
        </w:rPr>
        <w:t>Urby</w:t>
      </w:r>
      <w:proofErr w:type="spellEnd"/>
      <w:r w:rsidRPr="00461BB4">
        <w:rPr>
          <w:rFonts w:ascii="Verdana" w:hAnsi="Verdana"/>
          <w:bCs/>
          <w:sz w:val="20"/>
        </w:rPr>
        <w:t xml:space="preserve"> </w:t>
      </w:r>
      <w:proofErr w:type="spellStart"/>
      <w:r w:rsidRPr="00461BB4">
        <w:rPr>
          <w:rFonts w:ascii="Verdana" w:hAnsi="Verdana"/>
          <w:bCs/>
          <w:sz w:val="20"/>
        </w:rPr>
        <w:t>Genel</w:t>
      </w:r>
      <w:proofErr w:type="spellEnd"/>
      <w:r w:rsidRPr="00461BB4">
        <w:rPr>
          <w:rFonts w:ascii="Verdana" w:hAnsi="Verdana"/>
          <w:bCs/>
          <w:sz w:val="20"/>
        </w:rPr>
        <w:t xml:space="preserve"> y Carlos </w:t>
      </w:r>
      <w:proofErr w:type="spellStart"/>
      <w:r w:rsidRPr="00461BB4">
        <w:rPr>
          <w:rFonts w:ascii="Verdana" w:hAnsi="Verdana"/>
          <w:bCs/>
          <w:sz w:val="20"/>
        </w:rPr>
        <w:t>Chaurand</w:t>
      </w:r>
      <w:proofErr w:type="spellEnd"/>
      <w:r w:rsidRPr="00461BB4">
        <w:rPr>
          <w:rFonts w:ascii="Verdana" w:hAnsi="Verdana"/>
          <w:bCs/>
          <w:sz w:val="20"/>
        </w:rPr>
        <w:t xml:space="preserve"> Arzate.- Firman el Magistrado </w:t>
      </w:r>
      <w:r w:rsidRPr="00461BB4">
        <w:rPr>
          <w:rFonts w:ascii="Verdana" w:hAnsi="Verdana"/>
          <w:b/>
          <w:bCs/>
          <w:sz w:val="20"/>
        </w:rPr>
        <w:t xml:space="preserve">Carlos </w:t>
      </w:r>
      <w:proofErr w:type="spellStart"/>
      <w:r w:rsidRPr="00461BB4">
        <w:rPr>
          <w:rFonts w:ascii="Verdana" w:hAnsi="Verdana"/>
          <w:b/>
          <w:bCs/>
          <w:sz w:val="20"/>
        </w:rPr>
        <w:t>Chaurand</w:t>
      </w:r>
      <w:proofErr w:type="spellEnd"/>
      <w:r w:rsidRPr="00461BB4">
        <w:rPr>
          <w:rFonts w:ascii="Verdana" w:hAnsi="Verdana"/>
          <w:b/>
          <w:bCs/>
          <w:sz w:val="20"/>
        </w:rPr>
        <w:t xml:space="preserve"> Arzate</w:t>
      </w:r>
      <w:r w:rsidRPr="00461BB4">
        <w:rPr>
          <w:rFonts w:ascii="Verdana" w:hAnsi="Verdana"/>
          <w:bCs/>
          <w:sz w:val="20"/>
        </w:rPr>
        <w:t>, Presidente de la Junta de Gobierno y Administración del Tribunal Federal de Justicia Administrativa, y el Licenciado </w:t>
      </w:r>
      <w:r w:rsidRPr="00461BB4">
        <w:rPr>
          <w:rFonts w:ascii="Verdana" w:hAnsi="Verdana"/>
          <w:b/>
          <w:bCs/>
          <w:sz w:val="20"/>
        </w:rPr>
        <w:t>Pedro Alberto de la Rosa Manzano</w:t>
      </w:r>
      <w:r w:rsidRPr="00461BB4">
        <w:rPr>
          <w:rFonts w:ascii="Verdana" w:hAnsi="Verdana"/>
          <w:bCs/>
          <w:sz w:val="20"/>
        </w:rPr>
        <w:t>,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461BB4" w:rsidRPr="00461BB4" w:rsidRDefault="00461BB4" w:rsidP="00461BB4">
      <w:pPr>
        <w:jc w:val="both"/>
        <w:rPr>
          <w:rFonts w:ascii="Verdana" w:hAnsi="Verdana"/>
          <w:bCs/>
          <w:sz w:val="20"/>
        </w:rPr>
      </w:pPr>
      <w:bookmarkStart w:id="0" w:name="_GoBack"/>
      <w:bookmarkEnd w:id="0"/>
    </w:p>
    <w:p w:rsidR="00BF3AEB" w:rsidRDefault="001110E1"/>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E1" w:rsidRDefault="001110E1" w:rsidP="00461BB4">
      <w:pPr>
        <w:spacing w:after="0" w:line="240" w:lineRule="auto"/>
      </w:pPr>
      <w:r>
        <w:separator/>
      </w:r>
    </w:p>
  </w:endnote>
  <w:endnote w:type="continuationSeparator" w:id="0">
    <w:p w:rsidR="001110E1" w:rsidRDefault="001110E1" w:rsidP="0046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E1" w:rsidRDefault="001110E1" w:rsidP="00461BB4">
      <w:pPr>
        <w:spacing w:after="0" w:line="240" w:lineRule="auto"/>
      </w:pPr>
      <w:r>
        <w:separator/>
      </w:r>
    </w:p>
  </w:footnote>
  <w:footnote w:type="continuationSeparator" w:id="0">
    <w:p w:rsidR="001110E1" w:rsidRDefault="001110E1" w:rsidP="00461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B4"/>
    <w:rsid w:val="001110E1"/>
    <w:rsid w:val="002228FA"/>
    <w:rsid w:val="00461BB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BB4"/>
  </w:style>
  <w:style w:type="paragraph" w:styleId="Piedepgina">
    <w:name w:val="footer"/>
    <w:basedOn w:val="Normal"/>
    <w:link w:val="PiedepginaCar"/>
    <w:uiPriority w:val="99"/>
    <w:unhideWhenUsed/>
    <w:rsid w:val="0046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BB4"/>
  </w:style>
  <w:style w:type="paragraph" w:styleId="Piedepgina">
    <w:name w:val="footer"/>
    <w:basedOn w:val="Normal"/>
    <w:link w:val="PiedepginaCar"/>
    <w:uiPriority w:val="99"/>
    <w:unhideWhenUsed/>
    <w:rsid w:val="0046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036421">
      <w:bodyDiv w:val="1"/>
      <w:marLeft w:val="0"/>
      <w:marRight w:val="0"/>
      <w:marTop w:val="0"/>
      <w:marBottom w:val="0"/>
      <w:divBdr>
        <w:top w:val="none" w:sz="0" w:space="0" w:color="auto"/>
        <w:left w:val="none" w:sz="0" w:space="0" w:color="auto"/>
        <w:bottom w:val="none" w:sz="0" w:space="0" w:color="auto"/>
        <w:right w:val="none" w:sz="0" w:space="0" w:color="auto"/>
      </w:divBdr>
    </w:div>
    <w:div w:id="605502191">
      <w:bodyDiv w:val="1"/>
      <w:marLeft w:val="0"/>
      <w:marRight w:val="0"/>
      <w:marTop w:val="0"/>
      <w:marBottom w:val="0"/>
      <w:divBdr>
        <w:top w:val="none" w:sz="0" w:space="0" w:color="auto"/>
        <w:left w:val="none" w:sz="0" w:space="0" w:color="auto"/>
        <w:bottom w:val="none" w:sz="0" w:space="0" w:color="auto"/>
        <w:right w:val="none" w:sz="0" w:space="0" w:color="auto"/>
      </w:divBdr>
      <w:divsChild>
        <w:div w:id="436409894">
          <w:marLeft w:val="0"/>
          <w:marRight w:val="0"/>
          <w:marTop w:val="0"/>
          <w:marBottom w:val="86"/>
          <w:divBdr>
            <w:top w:val="none" w:sz="0" w:space="0" w:color="auto"/>
            <w:left w:val="none" w:sz="0" w:space="0" w:color="auto"/>
            <w:bottom w:val="none" w:sz="0" w:space="0" w:color="auto"/>
            <w:right w:val="none" w:sz="0" w:space="0" w:color="auto"/>
          </w:divBdr>
        </w:div>
        <w:div w:id="738018635">
          <w:marLeft w:val="0"/>
          <w:marRight w:val="0"/>
          <w:marTop w:val="0"/>
          <w:marBottom w:val="86"/>
          <w:divBdr>
            <w:top w:val="none" w:sz="0" w:space="0" w:color="auto"/>
            <w:left w:val="none" w:sz="0" w:space="0" w:color="auto"/>
            <w:bottom w:val="none" w:sz="0" w:space="0" w:color="auto"/>
            <w:right w:val="none" w:sz="0" w:space="0" w:color="auto"/>
          </w:divBdr>
        </w:div>
        <w:div w:id="1881238902">
          <w:marLeft w:val="0"/>
          <w:marRight w:val="0"/>
          <w:marTop w:val="0"/>
          <w:marBottom w:val="86"/>
          <w:divBdr>
            <w:top w:val="none" w:sz="0" w:space="0" w:color="auto"/>
            <w:left w:val="none" w:sz="0" w:space="0" w:color="auto"/>
            <w:bottom w:val="none" w:sz="0" w:space="0" w:color="auto"/>
            <w:right w:val="none" w:sz="0" w:space="0" w:color="auto"/>
          </w:divBdr>
        </w:div>
        <w:div w:id="2089692625">
          <w:marLeft w:val="0"/>
          <w:marRight w:val="0"/>
          <w:marTop w:val="0"/>
          <w:marBottom w:val="86"/>
          <w:divBdr>
            <w:top w:val="none" w:sz="0" w:space="0" w:color="auto"/>
            <w:left w:val="none" w:sz="0" w:space="0" w:color="auto"/>
            <w:bottom w:val="none" w:sz="0" w:space="0" w:color="auto"/>
            <w:right w:val="none" w:sz="0" w:space="0" w:color="auto"/>
          </w:divBdr>
        </w:div>
        <w:div w:id="893007878">
          <w:marLeft w:val="0"/>
          <w:marRight w:val="0"/>
          <w:marTop w:val="0"/>
          <w:marBottom w:val="86"/>
          <w:divBdr>
            <w:top w:val="none" w:sz="0" w:space="0" w:color="auto"/>
            <w:left w:val="none" w:sz="0" w:space="0" w:color="auto"/>
            <w:bottom w:val="none" w:sz="0" w:space="0" w:color="auto"/>
            <w:right w:val="none" w:sz="0" w:space="0" w:color="auto"/>
          </w:divBdr>
        </w:div>
        <w:div w:id="1658193912">
          <w:marLeft w:val="0"/>
          <w:marRight w:val="0"/>
          <w:marTop w:val="0"/>
          <w:marBottom w:val="86"/>
          <w:divBdr>
            <w:top w:val="none" w:sz="0" w:space="0" w:color="auto"/>
            <w:left w:val="none" w:sz="0" w:space="0" w:color="auto"/>
            <w:bottom w:val="none" w:sz="0" w:space="0" w:color="auto"/>
            <w:right w:val="none" w:sz="0" w:space="0" w:color="auto"/>
          </w:divBdr>
        </w:div>
        <w:div w:id="1156722717">
          <w:marLeft w:val="0"/>
          <w:marRight w:val="0"/>
          <w:marTop w:val="0"/>
          <w:marBottom w:val="101"/>
          <w:divBdr>
            <w:top w:val="none" w:sz="0" w:space="0" w:color="auto"/>
            <w:left w:val="none" w:sz="0" w:space="0" w:color="auto"/>
            <w:bottom w:val="none" w:sz="0" w:space="0" w:color="auto"/>
            <w:right w:val="none" w:sz="0" w:space="0" w:color="auto"/>
          </w:divBdr>
        </w:div>
        <w:div w:id="1496994820">
          <w:marLeft w:val="0"/>
          <w:marRight w:val="0"/>
          <w:marTop w:val="0"/>
          <w:marBottom w:val="101"/>
          <w:divBdr>
            <w:top w:val="none" w:sz="0" w:space="0" w:color="auto"/>
            <w:left w:val="none" w:sz="0" w:space="0" w:color="auto"/>
            <w:bottom w:val="none" w:sz="0" w:space="0" w:color="auto"/>
            <w:right w:val="none" w:sz="0" w:space="0" w:color="auto"/>
          </w:divBdr>
        </w:div>
        <w:div w:id="1213467335">
          <w:marLeft w:val="0"/>
          <w:marRight w:val="0"/>
          <w:marTop w:val="0"/>
          <w:marBottom w:val="101"/>
          <w:divBdr>
            <w:top w:val="none" w:sz="0" w:space="0" w:color="auto"/>
            <w:left w:val="none" w:sz="0" w:space="0" w:color="auto"/>
            <w:bottom w:val="none" w:sz="0" w:space="0" w:color="auto"/>
            <w:right w:val="none" w:sz="0" w:space="0" w:color="auto"/>
          </w:divBdr>
        </w:div>
        <w:div w:id="187765225">
          <w:marLeft w:val="0"/>
          <w:marRight w:val="0"/>
          <w:marTop w:val="0"/>
          <w:marBottom w:val="101"/>
          <w:divBdr>
            <w:top w:val="none" w:sz="0" w:space="0" w:color="auto"/>
            <w:left w:val="none" w:sz="0" w:space="0" w:color="auto"/>
            <w:bottom w:val="none" w:sz="0" w:space="0" w:color="auto"/>
            <w:right w:val="none" w:sz="0" w:space="0" w:color="auto"/>
          </w:divBdr>
        </w:div>
        <w:div w:id="305819946">
          <w:marLeft w:val="0"/>
          <w:marRight w:val="0"/>
          <w:marTop w:val="0"/>
          <w:marBottom w:val="101"/>
          <w:divBdr>
            <w:top w:val="none" w:sz="0" w:space="0" w:color="auto"/>
            <w:left w:val="none" w:sz="0" w:space="0" w:color="auto"/>
            <w:bottom w:val="none" w:sz="0" w:space="0" w:color="auto"/>
            <w:right w:val="none" w:sz="0" w:space="0" w:color="auto"/>
          </w:divBdr>
        </w:div>
        <w:div w:id="346446117">
          <w:marLeft w:val="0"/>
          <w:marRight w:val="0"/>
          <w:marTop w:val="0"/>
          <w:marBottom w:val="101"/>
          <w:divBdr>
            <w:top w:val="none" w:sz="0" w:space="0" w:color="auto"/>
            <w:left w:val="none" w:sz="0" w:space="0" w:color="auto"/>
            <w:bottom w:val="none" w:sz="0" w:space="0" w:color="auto"/>
            <w:right w:val="none" w:sz="0" w:space="0" w:color="auto"/>
          </w:divBdr>
        </w:div>
        <w:div w:id="1964263085">
          <w:marLeft w:val="0"/>
          <w:marRight w:val="0"/>
          <w:marTop w:val="0"/>
          <w:marBottom w:val="101"/>
          <w:divBdr>
            <w:top w:val="none" w:sz="0" w:space="0" w:color="auto"/>
            <w:left w:val="none" w:sz="0" w:space="0" w:color="auto"/>
            <w:bottom w:val="none" w:sz="0" w:space="0" w:color="auto"/>
            <w:right w:val="none" w:sz="0" w:space="0" w:color="auto"/>
          </w:divBdr>
        </w:div>
        <w:div w:id="1734280318">
          <w:marLeft w:val="0"/>
          <w:marRight w:val="0"/>
          <w:marTop w:val="0"/>
          <w:marBottom w:val="101"/>
          <w:divBdr>
            <w:top w:val="none" w:sz="0" w:space="0" w:color="auto"/>
            <w:left w:val="none" w:sz="0" w:space="0" w:color="auto"/>
            <w:bottom w:val="none" w:sz="0" w:space="0" w:color="auto"/>
            <w:right w:val="none" w:sz="0" w:space="0" w:color="auto"/>
          </w:divBdr>
        </w:div>
        <w:div w:id="1328629876">
          <w:marLeft w:val="0"/>
          <w:marRight w:val="0"/>
          <w:marTop w:val="0"/>
          <w:marBottom w:val="101"/>
          <w:divBdr>
            <w:top w:val="none" w:sz="0" w:space="0" w:color="auto"/>
            <w:left w:val="none" w:sz="0" w:space="0" w:color="auto"/>
            <w:bottom w:val="none" w:sz="0" w:space="0" w:color="auto"/>
            <w:right w:val="none" w:sz="0" w:space="0" w:color="auto"/>
          </w:divBdr>
        </w:div>
        <w:div w:id="704906756">
          <w:marLeft w:val="0"/>
          <w:marRight w:val="0"/>
          <w:marTop w:val="101"/>
          <w:marBottom w:val="101"/>
          <w:divBdr>
            <w:top w:val="none" w:sz="0" w:space="0" w:color="auto"/>
            <w:left w:val="none" w:sz="0" w:space="0" w:color="auto"/>
            <w:bottom w:val="none" w:sz="0" w:space="0" w:color="auto"/>
            <w:right w:val="none" w:sz="0" w:space="0" w:color="auto"/>
          </w:divBdr>
        </w:div>
        <w:div w:id="1209033319">
          <w:marLeft w:val="0"/>
          <w:marRight w:val="0"/>
          <w:marTop w:val="0"/>
          <w:marBottom w:val="101"/>
          <w:divBdr>
            <w:top w:val="none" w:sz="0" w:space="0" w:color="auto"/>
            <w:left w:val="none" w:sz="0" w:space="0" w:color="auto"/>
            <w:bottom w:val="none" w:sz="0" w:space="0" w:color="auto"/>
            <w:right w:val="none" w:sz="0" w:space="0" w:color="auto"/>
          </w:divBdr>
        </w:div>
        <w:div w:id="635261244">
          <w:marLeft w:val="0"/>
          <w:marRight w:val="0"/>
          <w:marTop w:val="0"/>
          <w:marBottom w:val="101"/>
          <w:divBdr>
            <w:top w:val="none" w:sz="0" w:space="0" w:color="auto"/>
            <w:left w:val="none" w:sz="0" w:space="0" w:color="auto"/>
            <w:bottom w:val="none" w:sz="0" w:space="0" w:color="auto"/>
            <w:right w:val="none" w:sz="0" w:space="0" w:color="auto"/>
          </w:divBdr>
        </w:div>
        <w:div w:id="215513704">
          <w:marLeft w:val="0"/>
          <w:marRight w:val="0"/>
          <w:marTop w:val="0"/>
          <w:marBottom w:val="101"/>
          <w:divBdr>
            <w:top w:val="none" w:sz="0" w:space="0" w:color="auto"/>
            <w:left w:val="none" w:sz="0" w:space="0" w:color="auto"/>
            <w:bottom w:val="none" w:sz="0" w:space="0" w:color="auto"/>
            <w:right w:val="none" w:sz="0" w:space="0" w:color="auto"/>
          </w:divBdr>
        </w:div>
        <w:div w:id="656039086">
          <w:marLeft w:val="0"/>
          <w:marRight w:val="0"/>
          <w:marTop w:val="0"/>
          <w:marBottom w:val="101"/>
          <w:divBdr>
            <w:top w:val="none" w:sz="0" w:space="0" w:color="auto"/>
            <w:left w:val="none" w:sz="0" w:space="0" w:color="auto"/>
            <w:bottom w:val="none" w:sz="0" w:space="0" w:color="auto"/>
            <w:right w:val="none" w:sz="0" w:space="0" w:color="auto"/>
          </w:divBdr>
        </w:div>
        <w:div w:id="784083659">
          <w:marLeft w:val="0"/>
          <w:marRight w:val="0"/>
          <w:marTop w:val="0"/>
          <w:marBottom w:val="101"/>
          <w:divBdr>
            <w:top w:val="none" w:sz="0" w:space="0" w:color="auto"/>
            <w:left w:val="none" w:sz="0" w:space="0" w:color="auto"/>
            <w:bottom w:val="none" w:sz="0" w:space="0" w:color="auto"/>
            <w:right w:val="none" w:sz="0" w:space="0" w:color="auto"/>
          </w:divBdr>
        </w:div>
        <w:div w:id="1061561398">
          <w:marLeft w:val="0"/>
          <w:marRight w:val="0"/>
          <w:marTop w:val="0"/>
          <w:marBottom w:val="101"/>
          <w:divBdr>
            <w:top w:val="none" w:sz="0" w:space="0" w:color="auto"/>
            <w:left w:val="none" w:sz="0" w:space="0" w:color="auto"/>
            <w:bottom w:val="none" w:sz="0" w:space="0" w:color="auto"/>
            <w:right w:val="none" w:sz="0" w:space="0" w:color="auto"/>
          </w:divBdr>
        </w:div>
        <w:div w:id="948707222">
          <w:marLeft w:val="0"/>
          <w:marRight w:val="0"/>
          <w:marTop w:val="0"/>
          <w:marBottom w:val="101"/>
          <w:divBdr>
            <w:top w:val="none" w:sz="0" w:space="0" w:color="auto"/>
            <w:left w:val="none" w:sz="0" w:space="0" w:color="auto"/>
            <w:bottom w:val="none" w:sz="0" w:space="0" w:color="auto"/>
            <w:right w:val="none" w:sz="0" w:space="0" w:color="auto"/>
          </w:divBdr>
        </w:div>
        <w:div w:id="1148279860">
          <w:marLeft w:val="0"/>
          <w:marRight w:val="0"/>
          <w:marTop w:val="0"/>
          <w:marBottom w:val="101"/>
          <w:divBdr>
            <w:top w:val="none" w:sz="0" w:space="0" w:color="auto"/>
            <w:left w:val="none" w:sz="0" w:space="0" w:color="auto"/>
            <w:bottom w:val="none" w:sz="0" w:space="0" w:color="auto"/>
            <w:right w:val="none" w:sz="0" w:space="0" w:color="auto"/>
          </w:divBdr>
        </w:div>
        <w:div w:id="1764302934">
          <w:marLeft w:val="0"/>
          <w:marRight w:val="0"/>
          <w:marTop w:val="0"/>
          <w:marBottom w:val="101"/>
          <w:divBdr>
            <w:top w:val="none" w:sz="0" w:space="0" w:color="auto"/>
            <w:left w:val="none" w:sz="0" w:space="0" w:color="auto"/>
            <w:bottom w:val="none" w:sz="0" w:space="0" w:color="auto"/>
            <w:right w:val="none" w:sz="0" w:space="0" w:color="auto"/>
          </w:divBdr>
        </w:div>
        <w:div w:id="347172711">
          <w:marLeft w:val="0"/>
          <w:marRight w:val="0"/>
          <w:marTop w:val="0"/>
          <w:marBottom w:val="101"/>
          <w:divBdr>
            <w:top w:val="none" w:sz="0" w:space="0" w:color="auto"/>
            <w:left w:val="none" w:sz="0" w:space="0" w:color="auto"/>
            <w:bottom w:val="none" w:sz="0" w:space="0" w:color="auto"/>
            <w:right w:val="none" w:sz="0" w:space="0" w:color="auto"/>
          </w:divBdr>
        </w:div>
        <w:div w:id="1910536952">
          <w:marLeft w:val="0"/>
          <w:marRight w:val="0"/>
          <w:marTop w:val="0"/>
          <w:marBottom w:val="101"/>
          <w:divBdr>
            <w:top w:val="none" w:sz="0" w:space="0" w:color="auto"/>
            <w:left w:val="none" w:sz="0" w:space="0" w:color="auto"/>
            <w:bottom w:val="none" w:sz="0" w:space="0" w:color="auto"/>
            <w:right w:val="none" w:sz="0" w:space="0" w:color="auto"/>
          </w:divBdr>
        </w:div>
        <w:div w:id="832372795">
          <w:marLeft w:val="0"/>
          <w:marRight w:val="0"/>
          <w:marTop w:val="0"/>
          <w:marBottom w:val="101"/>
          <w:divBdr>
            <w:top w:val="none" w:sz="0" w:space="0" w:color="auto"/>
            <w:left w:val="none" w:sz="0" w:space="0" w:color="auto"/>
            <w:bottom w:val="none" w:sz="0" w:space="0" w:color="auto"/>
            <w:right w:val="none" w:sz="0" w:space="0" w:color="auto"/>
          </w:divBdr>
        </w:div>
        <w:div w:id="1597328427">
          <w:marLeft w:val="0"/>
          <w:marRight w:val="0"/>
          <w:marTop w:val="0"/>
          <w:marBottom w:val="101"/>
          <w:divBdr>
            <w:top w:val="none" w:sz="0" w:space="0" w:color="auto"/>
            <w:left w:val="none" w:sz="0" w:space="0" w:color="auto"/>
            <w:bottom w:val="none" w:sz="0" w:space="0" w:color="auto"/>
            <w:right w:val="none" w:sz="0" w:space="0" w:color="auto"/>
          </w:divBdr>
        </w:div>
        <w:div w:id="544947970">
          <w:marLeft w:val="0"/>
          <w:marRight w:val="0"/>
          <w:marTop w:val="0"/>
          <w:marBottom w:val="101"/>
          <w:divBdr>
            <w:top w:val="none" w:sz="0" w:space="0" w:color="auto"/>
            <w:left w:val="none" w:sz="0" w:space="0" w:color="auto"/>
            <w:bottom w:val="none" w:sz="0" w:space="0" w:color="auto"/>
            <w:right w:val="none" w:sz="0" w:space="0" w:color="auto"/>
          </w:divBdr>
        </w:div>
        <w:div w:id="1217814947">
          <w:marLeft w:val="0"/>
          <w:marRight w:val="0"/>
          <w:marTop w:val="0"/>
          <w:marBottom w:val="101"/>
          <w:divBdr>
            <w:top w:val="none" w:sz="0" w:space="0" w:color="auto"/>
            <w:left w:val="none" w:sz="0" w:space="0" w:color="auto"/>
            <w:bottom w:val="none" w:sz="0" w:space="0" w:color="auto"/>
            <w:right w:val="none" w:sz="0" w:space="0" w:color="auto"/>
          </w:divBdr>
        </w:div>
        <w:div w:id="1095982012">
          <w:marLeft w:val="0"/>
          <w:marRight w:val="0"/>
          <w:marTop w:val="0"/>
          <w:marBottom w:val="101"/>
          <w:divBdr>
            <w:top w:val="none" w:sz="0" w:space="0" w:color="auto"/>
            <w:left w:val="none" w:sz="0" w:space="0" w:color="auto"/>
            <w:bottom w:val="none" w:sz="0" w:space="0" w:color="auto"/>
            <w:right w:val="none" w:sz="0" w:space="0" w:color="auto"/>
          </w:divBdr>
        </w:div>
        <w:div w:id="1576476420">
          <w:marLeft w:val="0"/>
          <w:marRight w:val="0"/>
          <w:marTop w:val="0"/>
          <w:marBottom w:val="101"/>
          <w:divBdr>
            <w:top w:val="none" w:sz="0" w:space="0" w:color="auto"/>
            <w:left w:val="none" w:sz="0" w:space="0" w:color="auto"/>
            <w:bottom w:val="none" w:sz="0" w:space="0" w:color="auto"/>
            <w:right w:val="none" w:sz="0" w:space="0" w:color="auto"/>
          </w:divBdr>
        </w:div>
        <w:div w:id="1723016235">
          <w:marLeft w:val="0"/>
          <w:marRight w:val="0"/>
          <w:marTop w:val="0"/>
          <w:marBottom w:val="101"/>
          <w:divBdr>
            <w:top w:val="none" w:sz="0" w:space="0" w:color="auto"/>
            <w:left w:val="none" w:sz="0" w:space="0" w:color="auto"/>
            <w:bottom w:val="none" w:sz="0" w:space="0" w:color="auto"/>
            <w:right w:val="none" w:sz="0" w:space="0" w:color="auto"/>
          </w:divBdr>
        </w:div>
        <w:div w:id="494076191">
          <w:marLeft w:val="0"/>
          <w:marRight w:val="0"/>
          <w:marTop w:val="101"/>
          <w:marBottom w:val="101"/>
          <w:divBdr>
            <w:top w:val="none" w:sz="0" w:space="0" w:color="auto"/>
            <w:left w:val="none" w:sz="0" w:space="0" w:color="auto"/>
            <w:bottom w:val="none" w:sz="0" w:space="0" w:color="auto"/>
            <w:right w:val="none" w:sz="0" w:space="0" w:color="auto"/>
          </w:divBdr>
        </w:div>
        <w:div w:id="289820399">
          <w:marLeft w:val="0"/>
          <w:marRight w:val="0"/>
          <w:marTop w:val="0"/>
          <w:marBottom w:val="101"/>
          <w:divBdr>
            <w:top w:val="none" w:sz="0" w:space="0" w:color="auto"/>
            <w:left w:val="none" w:sz="0" w:space="0" w:color="auto"/>
            <w:bottom w:val="none" w:sz="0" w:space="0" w:color="auto"/>
            <w:right w:val="none" w:sz="0" w:space="0" w:color="auto"/>
          </w:divBdr>
        </w:div>
        <w:div w:id="1156726165">
          <w:marLeft w:val="0"/>
          <w:marRight w:val="0"/>
          <w:marTop w:val="0"/>
          <w:marBottom w:val="101"/>
          <w:divBdr>
            <w:top w:val="none" w:sz="0" w:space="0" w:color="auto"/>
            <w:left w:val="none" w:sz="0" w:space="0" w:color="auto"/>
            <w:bottom w:val="none" w:sz="0" w:space="0" w:color="auto"/>
            <w:right w:val="none" w:sz="0" w:space="0" w:color="auto"/>
          </w:divBdr>
        </w:div>
        <w:div w:id="84232266">
          <w:marLeft w:val="0"/>
          <w:marRight w:val="0"/>
          <w:marTop w:val="0"/>
          <w:marBottom w:val="101"/>
          <w:divBdr>
            <w:top w:val="none" w:sz="0" w:space="0" w:color="auto"/>
            <w:left w:val="none" w:sz="0" w:space="0" w:color="auto"/>
            <w:bottom w:val="none" w:sz="0" w:space="0" w:color="auto"/>
            <w:right w:val="none" w:sz="0" w:space="0" w:color="auto"/>
          </w:divBdr>
        </w:div>
        <w:div w:id="1728336295">
          <w:marLeft w:val="0"/>
          <w:marRight w:val="0"/>
          <w:marTop w:val="0"/>
          <w:marBottom w:val="101"/>
          <w:divBdr>
            <w:top w:val="none" w:sz="0" w:space="0" w:color="auto"/>
            <w:left w:val="none" w:sz="0" w:space="0" w:color="auto"/>
            <w:bottom w:val="none" w:sz="0" w:space="0" w:color="auto"/>
            <w:right w:val="none" w:sz="0" w:space="0" w:color="auto"/>
          </w:divBdr>
        </w:div>
        <w:div w:id="85031895">
          <w:marLeft w:val="0"/>
          <w:marRight w:val="0"/>
          <w:marTop w:val="0"/>
          <w:marBottom w:val="101"/>
          <w:divBdr>
            <w:top w:val="none" w:sz="0" w:space="0" w:color="auto"/>
            <w:left w:val="none" w:sz="0" w:space="0" w:color="auto"/>
            <w:bottom w:val="none" w:sz="0" w:space="0" w:color="auto"/>
            <w:right w:val="none" w:sz="0" w:space="0" w:color="auto"/>
          </w:divBdr>
        </w:div>
      </w:divsChild>
    </w:div>
    <w:div w:id="20111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2539</Words>
  <Characters>13965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2019-11-04T14:09:00Z</dcterms:created>
  <dcterms:modified xsi:type="dcterms:W3CDTF">2019-11-04T14:12:00Z</dcterms:modified>
</cp:coreProperties>
</file>