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Guerrero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GUERRERO, EN ADELANTE DENOMINADO EL "GOBIERNO DEL ESTADO", REPRESENTADO EN ESTE ACTO POR EL LIC. HÉCTOR ANTONIO ASTUDILLO FLORES, GOBERNADOR CONSTITUCIONAL DEL ESTADO DE GUERRERO, ASISTIDO POR EL LIC. FLORENCIO SALAZAR ADAME, SECRETARIO GENERAL DE GOBIERNO; EL LIC. TULIO SAMUEL PÉREZ CALVO, SECRETARIO DE FINANZAS Y ADMINISTRACIÓN; EL LIC. OSCAR IGNACIO RANGEL MIRAVETE, SECRETARIO DEL TRABAJO Y PREVISIÓN SOCIAL Y EL M.A. EDUARDO GERARDO LORÍA CASANOVA, SECRETARIO DE CONTRALORÍA Y TRANSPARENCIA GUBERNAMENTAL;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w:t>
      </w:r>
      <w:r w:rsidDel="00000000" w:rsidR="00000000" w:rsidRPr="00000000">
        <w:rPr>
          <w:i w:val="1"/>
          <w:color w:val="2f2f2f"/>
          <w:sz w:val="18"/>
          <w:szCs w:val="18"/>
          <w:rtl w:val="0"/>
        </w:rPr>
        <w:t xml:space="preserve">Convenios de Coordinación</w:t>
      </w:r>
      <w:r w:rsidDel="00000000" w:rsidR="00000000" w:rsidRPr="00000000">
        <w:rPr>
          <w:color w:val="2f2f2f"/>
          <w:sz w:val="18"/>
          <w:szCs w:val="18"/>
          <w:rtl w:val="0"/>
        </w:rPr>
        <w:t xml:space="preserve">, en los cuales se establecen los compromisos que asumen "LAS PARTES" para su operación.</w:t>
      </w:r>
    </w:p>
    <w:p w:rsidR="00000000" w:rsidDel="00000000" w:rsidP="00000000" w:rsidRDefault="00000000" w:rsidRPr="00000000" w14:paraId="0000000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empleadores con base a su formación y aptitudes.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es Libre y Soberano en todo lo que concierne a su régimen interior, y es parte integrante de la Federación, de conformidad con lo dispuesto por los artículos 40, 41 primer párrafo, 42 fracción I, 43 y 116 de la Constitución Política de los Estados Unidos Mexicanos; 1, 22 y 24 de la Constitución Política del Estado Libre y Soberano de Guerrero.</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Héctor Antonio Astudillo Flores, en su carácter de Gobernador Constitucional del Estado de Guerrero, acredita su personalidad jurídica conforme a la Constancia de Mayoría y Validez de la Elección de Gobernador otorgada por el Consejo General del Instituto Electoral y de Participación Ciudadana del Estado de Guerrero, expedida el 14 de junio de 2015 y la publicación del Bando Solemne que da a conocer la Declaratoria de Gobernador Electo para el periodo comprendido del 27</w:t>
      </w:r>
    </w:p>
    <w:p w:rsidR="00000000" w:rsidDel="00000000" w:rsidP="00000000" w:rsidRDefault="00000000" w:rsidRPr="00000000" w14:paraId="0000001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octubre de 2015 al 14 de octubre de 2021, en el Periódico Oficial del Gobierno del Estado número 84 Alcance III, de fecha 20 de octubre del 2015, en virtud del cual, se encuentra facultado para la suscripción de este instrumento jurídico en ejercicio de las facultades que le confieren los artículos 71, 87 88, 90 numeral 2 y 91 fracción XXIX y XLVI de la Constitución Política del Estado Libre y Soberano de Guerrero; 1, 2, 3, 4, 6, 7, 11 y 18 Apartado A fracciones I, III, XVIII y XX de la Ley Orgánica de la Administración Pública del Estado de Guerrero Número 08.</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Florencio Salazar Adame, en su carácter de Secretario General de Gobierno, acredita su personalidad con el nombramiento y acta de protesta, expedidos por el Lic. Héctor Antonio Astudillo Flores, Gobernador Constitucional del Estado de Guerrero, ambos de fecha 27 de octubre del 2015, y cuenta con las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87, 88 y 90 numeral 2 de la Constitución Política del Estado Libre y Soberano de Guerrero; 3, 6, 7, 11, 18 Apartado A fracción I y 20 fracción III de la Ley Orgánica de la Administración Pública del Estado de Guerrero Número 08; 3, 5 y 10 fracciones X, XIII y XXXVI del Reglamento Interior de la Secretaría General de Gobierno.</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Tulio Samuel Pérez Calvo, en su carácter de Secretario de Finanzas y Administración, acredita su personalidad con el nombramiento y acta de protesta otorgados por el Lic. Héctor Antonio Astudillo Flores, Gobernador Constitucional del Estado de Guerrero, ambos de fecha 2 de abril del 2018 y tiene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87, 88 y 90 numeral 2 de la Constitución Política del Estado Libre y Soberano de Guerrero; 3, 7, 11, 18 Apartado A fracción III y 22 de la Ley Orgánica de la Administración Pública del Estado de Guerrero Número 08; 9 fracciones XXIV, LXIV y LXXIII del Reglamento Interior de las Secretaría de Finanzas y Administración.</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Oscar Ignacio Rangel Miravete, en su carácter de Secretario del Trabajo y Previsión Social, acredita su personalidad con el nombramiento y acta de protesta otorgados por el Lic. Héctor Antonio Astudillo Flores, Gobernador Constitucional del Estado de Guerrero, ambos de fecha 27-de octubre del 2015, y se encuentra facultado para la celebración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87, 88 y 90 numeral 2 de la Constitución Política del Estado Libre y Soberano de Guerrero; 3, 7, 11, 18 Apartado A fracción XVIII y 37 fracciones XV y XXII de la Ley Orgánica de la Administración Pública del Estado de Guerrero Número 08.</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M.A. Eduardo Gerardo Loría Casanova, en su carácter de</w:t>
      </w:r>
      <w:r w:rsidDel="00000000" w:rsidR="00000000" w:rsidRPr="00000000">
        <w:rPr>
          <w:color w:val="2e74b5"/>
          <w:sz w:val="18"/>
          <w:szCs w:val="18"/>
          <w:rtl w:val="0"/>
        </w:rPr>
        <w:t xml:space="preserve"> </w:t>
      </w:r>
      <w:r w:rsidDel="00000000" w:rsidR="00000000" w:rsidRPr="00000000">
        <w:rPr>
          <w:color w:val="2f2f2f"/>
          <w:sz w:val="18"/>
          <w:szCs w:val="18"/>
          <w:rtl w:val="0"/>
        </w:rPr>
        <w:t xml:space="preserve">Secretario de Contraloría y Transparencia Gubernamental, acredita su personalidad con el nombramiento y acta de protesta otorgados por el Lic. Héctor Antonio Astudillo Flores, Gobernador Constitucional del Estado de Guerrero, ambos de fecha 30 de julio del 2018,</w:t>
      </w:r>
      <w:r w:rsidDel="00000000" w:rsidR="00000000" w:rsidRPr="00000000">
        <w:rPr>
          <w:color w:val="2e74b5"/>
          <w:sz w:val="18"/>
          <w:szCs w:val="18"/>
          <w:rtl w:val="0"/>
        </w:rPr>
        <w:t xml:space="preserve"> </w:t>
      </w:r>
      <w:r w:rsidDel="00000000" w:rsidR="00000000" w:rsidRPr="00000000">
        <w:rPr>
          <w:color w:val="2f2f2f"/>
          <w:sz w:val="18"/>
          <w:szCs w:val="18"/>
          <w:rtl w:val="0"/>
        </w:rPr>
        <w:t xml:space="preserve">y se encuentra facultado para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87, 88 y 90 numeral 2 de la Constitución Política del Estado Libre y Soberano de Guerrero; 3, 7, 11, 18 Apartado A fracción XX y 39 de la Ley Orgánica de la Administración Pública del Estado de Guerrero Número 08; 2, 3, 10 y 11 fracciones VI y XLVI del Reglamento Interior de la Contraloría General del Estado.</w:t>
      </w:r>
    </w:p>
    <w:p w:rsidR="00000000" w:rsidDel="00000000" w:rsidP="00000000" w:rsidRDefault="00000000" w:rsidRPr="00000000" w14:paraId="00000024">
      <w:pPr>
        <w:shd w:fill="ffffff" w:val="clear"/>
        <w:spacing w:after="100" w:lineRule="auto"/>
        <w:ind w:left="1160" w:hanging="440"/>
        <w:jc w:val="both"/>
        <w:rPr>
          <w:color w:val="201f1e"/>
          <w:sz w:val="18"/>
          <w:szCs w:val="18"/>
        </w:rPr>
      </w:pPr>
      <w:r w:rsidDel="00000000" w:rsidR="00000000" w:rsidRPr="00000000">
        <w:rPr>
          <w:b w:val="1"/>
          <w:color w:val="201f1e"/>
          <w:sz w:val="18"/>
          <w:szCs w:val="18"/>
          <w:rtl w:val="0"/>
        </w:rPr>
        <w:t xml:space="preserve">II.7.</w:t>
      </w:r>
      <w:r w:rsidDel="00000000" w:rsidR="00000000" w:rsidRPr="00000000">
        <w:rPr>
          <w:color w:val="2f2f2f"/>
          <w:sz w:val="20"/>
          <w:szCs w:val="20"/>
          <w:rtl w:val="0"/>
        </w:rPr>
        <w:t xml:space="preserve">  </w:t>
      </w:r>
      <w:r w:rsidDel="00000000" w:rsidR="00000000" w:rsidRPr="00000000">
        <w:rPr>
          <w:color w:val="201f1e"/>
          <w:sz w:val="18"/>
          <w:szCs w:val="18"/>
          <w:rtl w:val="0"/>
        </w:rPr>
        <w:t xml:space="preserve">Para los efectos del presente </w:t>
      </w:r>
      <w:r w:rsidDel="00000000" w:rsidR="00000000" w:rsidRPr="00000000">
        <w:rPr>
          <w:i w:val="1"/>
          <w:color w:val="201f1e"/>
          <w:sz w:val="18"/>
          <w:szCs w:val="18"/>
          <w:rtl w:val="0"/>
        </w:rPr>
        <w:t xml:space="preserve">Convenio de Coordinación</w:t>
      </w:r>
      <w:r w:rsidDel="00000000" w:rsidR="00000000" w:rsidRPr="00000000">
        <w:rPr>
          <w:color w:val="201f1e"/>
          <w:sz w:val="18"/>
          <w:szCs w:val="18"/>
          <w:rtl w:val="0"/>
        </w:rPr>
        <w:t xml:space="preserve">, señala como domicilio el ubicado en calle </w:t>
      </w:r>
      <w:r w:rsidDel="00000000" w:rsidR="00000000" w:rsidRPr="00000000">
        <w:rPr>
          <w:color w:val="2f2f2f"/>
          <w:sz w:val="18"/>
          <w:szCs w:val="18"/>
          <w:rtl w:val="0"/>
        </w:rPr>
        <w:t xml:space="preserve">Galo</w:t>
      </w:r>
      <w:r w:rsidDel="00000000" w:rsidR="00000000" w:rsidRPr="00000000">
        <w:rPr>
          <w:color w:val="201f1e"/>
          <w:sz w:val="18"/>
          <w:szCs w:val="18"/>
          <w:rtl w:val="0"/>
        </w:rPr>
        <w:t xml:space="preserve"> Soberón y Parra número 1, colonia Centro, C.P. 39000, Chilpancingo, Guerrero.</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6">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w:t>
      </w:r>
    </w:p>
    <w:p w:rsidR="00000000" w:rsidDel="00000000" w:rsidP="00000000" w:rsidRDefault="00000000" w:rsidRPr="00000000" w14:paraId="00000029">
      <w:pPr>
        <w:shd w:fill="ffffff" w:val="clear"/>
        <w:spacing w:after="100" w:lineRule="auto"/>
        <w:jc w:val="both"/>
        <w:rPr>
          <w:color w:val="2f2f2f"/>
          <w:sz w:val="18"/>
          <w:szCs w:val="18"/>
        </w:rPr>
      </w:pPr>
      <w:r w:rsidDel="00000000" w:rsidR="00000000" w:rsidRPr="00000000">
        <w:rPr>
          <w:color w:val="2f2f2f"/>
          <w:sz w:val="18"/>
          <w:szCs w:val="18"/>
          <w:rtl w:val="0"/>
        </w:rPr>
        <w:t xml:space="preserve">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Guerrero.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OBLIGACIONES DE "LAS PARTES". 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w:t>
      </w:r>
      <w:r w:rsidDel="00000000" w:rsidR="00000000" w:rsidRPr="00000000">
        <w:rPr>
          <w:color w:val="2e74b5"/>
          <w:sz w:val="18"/>
          <w:szCs w:val="18"/>
          <w:rtl w:val="0"/>
        </w:rPr>
        <w:t xml:space="preserve">"</w:t>
      </w:r>
      <w:r w:rsidDel="00000000" w:rsidR="00000000" w:rsidRPr="00000000">
        <w:rPr>
          <w:color w:val="2f2f2f"/>
          <w:sz w:val="18"/>
          <w:szCs w:val="18"/>
          <w:rtl w:val="0"/>
        </w:rPr>
        <w:t xml:space="preserve">SECRETARÍA</w:t>
      </w:r>
      <w:r w:rsidDel="00000000" w:rsidR="00000000" w:rsidRPr="00000000">
        <w:rPr>
          <w:color w:val="2e74b5"/>
          <w:sz w:val="18"/>
          <w:szCs w:val="18"/>
          <w:rtl w:val="0"/>
        </w:rPr>
        <w:t xml:space="preserve">"</w:t>
      </w:r>
      <w:r w:rsidDel="00000000" w:rsidR="00000000" w:rsidRPr="00000000">
        <w:rPr>
          <w:color w:val="2f2f2f"/>
          <w:sz w:val="18"/>
          <w:szCs w:val="18"/>
          <w:rtl w:val="0"/>
        </w:rPr>
        <w:t xml:space="preserve">, cuando así corresponda.</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OBLIGACIONES DEL "GOBIERNO DEL ESTADO". El "GOBIERNO DEL ESTADO" se obliga a:</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Guerrero"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del Trabajo y Previsión Social,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a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1">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3">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4">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$6'437,732.00 (SEIS MILLONES CUATROCIENTOS TREINTA Y SIETE MIL SETECIENTOS TREINTA Y DOS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2">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APORTACIONES DEL "GOBIERNO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se compromete a aportar los recursos que a continuación se indican:</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$3'200,000.00 (TRES MILLONES DOSCIENTOS MIL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Guerrero.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19 de febrero de 2020 y que fue publicado en el Diario Oficial de la Federación el 31 de marzo del mismo año.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la "SECRETARÍA" por conducto del Titular de la Unidad del Servicio Nacional de Empleo o por el "GOBIERNO DEL ESTADO", por conducto del Titular de la Secretaría del Trabajo y Previsión Social,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PUBLICACIÓN. Con fundamento en lo dispuesto en el artículo 36, de la Ley de Planeación, el presente documento deberá ser publicado en el Diario Oficial de la Federación, por su parte, de acuerdo con el artículo 22 de la Ley de Planeación del Estado de Guerrero, también deberá ser publicado en el Periódico Oficial del "GOBIERNO DEL ESTADO".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w:t>
      </w:r>
      <w:r w:rsidDel="00000000" w:rsidR="00000000" w:rsidRPr="00000000">
        <w:rPr>
          <w:b w:val="1"/>
          <w:color w:val="2f2f2f"/>
          <w:sz w:val="18"/>
          <w:szCs w:val="18"/>
          <w:rtl w:val="0"/>
        </w:rPr>
        <w:t xml:space="preserve"> Marco Antonio Hernández Martínez</w:t>
      </w:r>
      <w:r w:rsidDel="00000000" w:rsidR="00000000" w:rsidRPr="00000000">
        <w:rPr>
          <w:color w:val="2f2f2f"/>
          <w:sz w:val="18"/>
          <w:szCs w:val="18"/>
          <w:rtl w:val="0"/>
        </w:rPr>
        <w:t xml:space="preserve">.- Rúbrica.- Encargado de Despacho de la Unidad del Servicio Nacional de Empleo,</w:t>
      </w:r>
      <w:r w:rsidDel="00000000" w:rsidR="00000000" w:rsidRPr="00000000">
        <w:rPr>
          <w:b w:val="1"/>
          <w:color w:val="2f2f2f"/>
          <w:sz w:val="18"/>
          <w:szCs w:val="18"/>
          <w:rtl w:val="0"/>
        </w:rPr>
        <w:t xml:space="preserve"> Donaciano Domínguez Espinosa</w:t>
      </w:r>
      <w:r w:rsidDel="00000000" w:rsidR="00000000" w:rsidRPr="00000000">
        <w:rPr>
          <w:color w:val="2f2f2f"/>
          <w:sz w:val="18"/>
          <w:szCs w:val="18"/>
          <w:rtl w:val="0"/>
        </w:rPr>
        <w:t xml:space="preserve">.- Rúbrica.- Por el Gobierno del Estado: Gobernador Constitucional del Estado de Guerrero, </w:t>
      </w:r>
      <w:r w:rsidDel="00000000" w:rsidR="00000000" w:rsidRPr="00000000">
        <w:rPr>
          <w:sz w:val="18"/>
          <w:szCs w:val="18"/>
          <w:rtl w:val="0"/>
        </w:rPr>
        <w:t xml:space="preserve">Lic.</w:t>
      </w:r>
      <w:r w:rsidDel="00000000" w:rsidR="00000000" w:rsidRPr="00000000">
        <w:rPr>
          <w:b w:val="1"/>
          <w:sz w:val="18"/>
          <w:szCs w:val="18"/>
          <w:rtl w:val="0"/>
        </w:rPr>
        <w:t xml:space="preserve"> Héctor Antonio Astudillo Flores</w:t>
      </w:r>
      <w:r w:rsidDel="00000000" w:rsidR="00000000" w:rsidRPr="00000000">
        <w:rPr>
          <w:sz w:val="18"/>
          <w:szCs w:val="18"/>
          <w:rtl w:val="0"/>
        </w:rPr>
        <w:t xml:space="preserve">.- Rúbrica.- </w:t>
      </w:r>
      <w:r w:rsidDel="00000000" w:rsidR="00000000" w:rsidRPr="00000000">
        <w:rPr>
          <w:color w:val="2f2f2f"/>
          <w:sz w:val="18"/>
          <w:szCs w:val="18"/>
          <w:rtl w:val="0"/>
        </w:rPr>
        <w:t xml:space="preserve">Secretario General de Gobierno, Lic.</w:t>
      </w:r>
      <w:r w:rsidDel="00000000" w:rsidR="00000000" w:rsidRPr="00000000">
        <w:rPr>
          <w:b w:val="1"/>
          <w:color w:val="2f2f2f"/>
          <w:sz w:val="18"/>
          <w:szCs w:val="18"/>
          <w:rtl w:val="0"/>
        </w:rPr>
        <w:t xml:space="preserve"> Florencio Salazar Adame</w:t>
      </w:r>
      <w:r w:rsidDel="00000000" w:rsidR="00000000" w:rsidRPr="00000000">
        <w:rPr>
          <w:color w:val="2f2f2f"/>
          <w:sz w:val="18"/>
          <w:szCs w:val="18"/>
          <w:rtl w:val="0"/>
        </w:rPr>
        <w:t xml:space="preserve">.- Rúbrica.- Secretario de Finanzas y Administración, Lic. </w:t>
      </w:r>
      <w:r w:rsidDel="00000000" w:rsidR="00000000" w:rsidRPr="00000000">
        <w:rPr>
          <w:b w:val="1"/>
          <w:color w:val="2f2f2f"/>
          <w:sz w:val="18"/>
          <w:szCs w:val="18"/>
          <w:rtl w:val="0"/>
        </w:rPr>
        <w:t xml:space="preserve">Tulio Samuel Pérez Calvo</w:t>
      </w:r>
      <w:r w:rsidDel="00000000" w:rsidR="00000000" w:rsidRPr="00000000">
        <w:rPr>
          <w:color w:val="2f2f2f"/>
          <w:sz w:val="18"/>
          <w:szCs w:val="18"/>
          <w:rtl w:val="0"/>
        </w:rPr>
        <w:t xml:space="preserve">.- Rúbrica.- Secretario del Trabajo y Previsión Social, Lic. </w:t>
      </w:r>
      <w:r w:rsidDel="00000000" w:rsidR="00000000" w:rsidRPr="00000000">
        <w:rPr>
          <w:b w:val="1"/>
          <w:color w:val="2f2f2f"/>
          <w:sz w:val="18"/>
          <w:szCs w:val="18"/>
          <w:rtl w:val="0"/>
        </w:rPr>
        <w:t xml:space="preserve">Oscar Ignacio Rangel Miravete</w:t>
      </w:r>
      <w:r w:rsidDel="00000000" w:rsidR="00000000" w:rsidRPr="00000000">
        <w:rPr>
          <w:color w:val="2f2f2f"/>
          <w:sz w:val="18"/>
          <w:szCs w:val="18"/>
          <w:rtl w:val="0"/>
        </w:rPr>
        <w:t xml:space="preserve">.- Rúbrica.- Secretario de Contraloría y Transparencia Gubernamental, M.A.</w:t>
      </w:r>
      <w:r w:rsidDel="00000000" w:rsidR="00000000" w:rsidRPr="00000000">
        <w:rPr>
          <w:b w:val="1"/>
          <w:color w:val="2f2f2f"/>
          <w:sz w:val="18"/>
          <w:szCs w:val="18"/>
          <w:rtl w:val="0"/>
        </w:rPr>
        <w:t xml:space="preserve"> Eduardo Gerardo Loría Casanova</w:t>
      </w:r>
      <w:r w:rsidDel="00000000" w:rsidR="00000000" w:rsidRPr="00000000">
        <w:rPr>
          <w:color w:val="2f2f2f"/>
          <w:sz w:val="18"/>
          <w:szCs w:val="18"/>
          <w:rtl w:val="0"/>
        </w:rPr>
        <w:t xml:space="preserve">.- Rúbrica.</w:t>
      </w:r>
    </w:p>
    <w:p w:rsidR="00000000" w:rsidDel="00000000" w:rsidP="00000000" w:rsidRDefault="00000000" w:rsidRPr="00000000" w14:paraId="0000009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