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36" w:rsidRDefault="00B25236" w:rsidP="00B25236">
      <w:pPr>
        <w:jc w:val="center"/>
        <w:rPr>
          <w:rFonts w:ascii="Verdana" w:eastAsia="Verdana" w:hAnsi="Verdana" w:cs="Verdana"/>
          <w:b/>
          <w:color w:val="0000FF"/>
          <w:sz w:val="24"/>
          <w:szCs w:val="24"/>
        </w:rPr>
      </w:pPr>
      <w:r w:rsidRPr="00B25236">
        <w:rPr>
          <w:rFonts w:ascii="Verdana" w:eastAsia="Verdana" w:hAnsi="Verdana" w:cs="Verdana"/>
          <w:b/>
          <w:color w:val="0000FF"/>
          <w:sz w:val="24"/>
          <w:szCs w:val="24"/>
        </w:rPr>
        <w:t xml:space="preserve">ACUERDO dictado por el Pleno del Tribunal Federal de Conciliación y Arbitraje, en sesión ordinaria de cinco de octubre de dos mil veintiuno, por el que se realiza el </w:t>
      </w:r>
      <w:proofErr w:type="spellStart"/>
      <w:r w:rsidRPr="00B25236">
        <w:rPr>
          <w:rFonts w:ascii="Verdana" w:eastAsia="Verdana" w:hAnsi="Verdana" w:cs="Verdana"/>
          <w:b/>
          <w:color w:val="0000FF"/>
          <w:sz w:val="24"/>
          <w:szCs w:val="24"/>
        </w:rPr>
        <w:t>adendum</w:t>
      </w:r>
      <w:proofErr w:type="spellEnd"/>
      <w:r w:rsidRPr="00B25236">
        <w:rPr>
          <w:rFonts w:ascii="Verdana" w:eastAsia="Verdana" w:hAnsi="Verdana" w:cs="Verdana"/>
          <w:b/>
          <w:color w:val="0000FF"/>
          <w:sz w:val="24"/>
          <w:szCs w:val="24"/>
        </w:rPr>
        <w:t xml:space="preserve"> a los Lineamientos para las medidas de seguridad e higiene que adoptará el personal de este Órgano Colegiado y la aplicación del protocolo sanitario en las salas y unidades administrativas que integran este Órgano Colegiado.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B25236" w:rsidP="00B25236">
      <w:pPr>
        <w:jc w:val="both"/>
        <w:rPr>
          <w:rFonts w:ascii="Arial" w:hAnsi="Arial" w:cs="Arial"/>
          <w:b/>
          <w:color w:val="262626" w:themeColor="text1" w:themeTint="D9"/>
          <w:sz w:val="18"/>
        </w:rPr>
      </w:pPr>
      <w:r w:rsidRPr="00B25236">
        <w:rPr>
          <w:rFonts w:ascii="Arial" w:hAnsi="Arial" w:cs="Arial"/>
          <w:b/>
          <w:color w:val="262626" w:themeColor="text1" w:themeTint="D9"/>
          <w:sz w:val="18"/>
        </w:rPr>
        <w:t>Al margen un sello con el Escudo Nacional, que dice: Estados Unidos Mexicanos.- Tribunal Federal de Conciliación y Arbitraje.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6"/>
          <w:szCs w:val="16"/>
          <w:lang w:eastAsia="es-MX"/>
        </w:rPr>
      </w:pPr>
      <w:r w:rsidRPr="00B25236">
        <w:rPr>
          <w:rFonts w:ascii="Arial" w:eastAsia="Times New Roman" w:hAnsi="Arial" w:cs="Arial"/>
          <w:color w:val="2F2F2F"/>
          <w:sz w:val="16"/>
          <w:szCs w:val="16"/>
          <w:lang w:eastAsia="es-MX"/>
        </w:rPr>
        <w:t>ACUERDO DICTADO POR EL PLENO DEL TRIBUNAL FEDERAL DE CONCILIACIÓN Y ARBITRAJE, EN SESIÓN ORDINARIA DE CINCO DE OCTUBRE DE DOS MIL VEINTIUNO, POR EL QUE SE REALIZA EL ADENDUM A LOS LINEAMIENTOS PARA LAS MEDIDAS DE SEGURIDAD E HIGIENE QUE ADOPTARA EL PERSONAL DE ESTE ÓRGANO COLEGIADO Y LA APLICACIÓN DEL PROTOCOLO SANITARIO EN LAS SALAS Y UNIDADES ADMINISTRATIVAS QUE INTEGRAN ESTE ÓRGANO COLEGIADO.</w:t>
      </w:r>
    </w:p>
    <w:p w:rsidR="00B25236" w:rsidRPr="00B25236" w:rsidRDefault="00B25236" w:rsidP="00B252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5236">
        <w:rPr>
          <w:rFonts w:ascii="Times" w:eastAsia="Times New Roman" w:hAnsi="Times" w:cs="Times"/>
          <w:b/>
          <w:bCs/>
          <w:color w:val="2F2F2F"/>
          <w:sz w:val="18"/>
          <w:szCs w:val="18"/>
          <w:lang w:eastAsia="es-MX"/>
        </w:rPr>
        <w:t>CONSIDERANDOS:</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PRIMERO.</w:t>
      </w:r>
      <w:r w:rsidRPr="00B25236">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doce de agosto de dos mil veintiuno, así como en la sesión ordinaria de uno de junio del mismo año, adoptó las medidas conducentes, a fin de procurar la seguridad para la salud de sus trabajadores y, eventualmente, del público usuario que visita las instalaciones del edificio sede de este Órgano Jurisdiccional.</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SEGUNDO</w:t>
      </w:r>
      <w:r w:rsidRPr="00B25236">
        <w:rPr>
          <w:rFonts w:ascii="Arial" w:eastAsia="Times New Roman" w:hAnsi="Arial" w:cs="Arial"/>
          <w:color w:val="2F2F2F"/>
          <w:sz w:val="18"/>
          <w:szCs w:val="18"/>
          <w:lang w:eastAsia="es-MX"/>
        </w:rPr>
        <w:t>. Mediante acuerdo de quince de febrero de dos mil veintiuno, dictado por el Pleno de este Órgano Jurisdiccional, en Sesión virtual extraordinaria, se aprobó el </w:t>
      </w:r>
      <w:r w:rsidRPr="00B25236">
        <w:rPr>
          <w:rFonts w:ascii="Arial" w:eastAsia="Times New Roman" w:hAnsi="Arial" w:cs="Arial"/>
          <w:i/>
          <w:iCs/>
          <w:color w:val="2F2F2F"/>
          <w:sz w:val="18"/>
          <w:szCs w:val="18"/>
          <w:lang w:eastAsia="es-MX"/>
        </w:rPr>
        <w:t>Adendum </w:t>
      </w:r>
      <w:r w:rsidRPr="00B25236">
        <w:rPr>
          <w:rFonts w:ascii="Arial" w:eastAsia="Times New Roman" w:hAnsi="Arial" w:cs="Arial"/>
          <w:color w:val="2F2F2F"/>
          <w:sz w:val="18"/>
          <w:szCs w:val="18"/>
          <w:lang w:eastAsia="es-MX"/>
        </w:rPr>
        <w:t>al </w:t>
      </w:r>
      <w:r w:rsidRPr="00B25236">
        <w:rPr>
          <w:rFonts w:ascii="Arial" w:eastAsia="Times New Roman" w:hAnsi="Arial" w:cs="Arial"/>
          <w:i/>
          <w:iCs/>
          <w:color w:val="2F2F2F"/>
          <w:sz w:val="18"/>
          <w:szCs w:val="18"/>
          <w:lang w:eastAsia="es-MX"/>
        </w:rPr>
        <w:t>Protocolo Sanitario para el Reinicio de Actividades en el Tribunal Federal de Conciliación y Arbitraje</w:t>
      </w:r>
      <w:r w:rsidRPr="00B25236">
        <w:rPr>
          <w:rFonts w:ascii="Arial" w:eastAsia="Times New Roman" w:hAnsi="Arial" w:cs="Arial"/>
          <w:color w:val="2F2F2F"/>
          <w:sz w:val="18"/>
          <w:szCs w:val="18"/>
          <w:lang w:eastAsia="es-MX"/>
        </w:rPr>
        <w:t>,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TERCERO. </w:t>
      </w:r>
      <w:r w:rsidRPr="00B25236">
        <w:rPr>
          <w:rFonts w:ascii="Arial" w:eastAsia="Times New Roman" w:hAnsi="Arial" w:cs="Arial"/>
          <w:color w:val="2F2F2F"/>
          <w:sz w:val="18"/>
          <w:szCs w:val="18"/>
          <w:lang w:eastAsia="es-MX"/>
        </w:rPr>
        <w:t>Por otra parte, por acuerdo dictado por el Pleno del Tribunal Federal de Conciliación y Arbitraje, en sesión extraordinaria de doce de agosto de dos mil veintiuno, por el que se establecen los lineamientos para las medidas de seguridad e higiene que adoptara el personal de este Órgano Colegiado y la aplicación del protocolo sanitario en las Salas y Unidades Administrativas que lo integran, establecidos en el acuerdo de doce de agosto del presente año, por el que se estableció lo siguiente: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ÚNICO. </w:t>
      </w:r>
      <w:r w:rsidRPr="00B25236">
        <w:rPr>
          <w:rFonts w:ascii="Arial" w:eastAsia="Times New Roman" w:hAnsi="Arial" w:cs="Arial"/>
          <w:color w:val="2F2F2F"/>
          <w:sz w:val="18"/>
          <w:szCs w:val="18"/>
          <w:lang w:eastAsia="es-MX"/>
        </w:rPr>
        <w:t>El Pleno del Tribunal Federal de Conciliación y Arbitraje establece los lineamientos para las medidas de seguridad e higiene que adoptara el personal y la aplicación del protocolo sanitario en las Salas y Unidades Administrativas que integran este Órgano Colegiado; lo anterior, en términos de lo expuesto y fundado en la parte considerativa de la presente resolución.".</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CUARTO.- </w:t>
      </w:r>
      <w:r w:rsidRPr="00B25236">
        <w:rPr>
          <w:rFonts w:ascii="Arial" w:eastAsia="Times New Roman" w:hAnsi="Arial" w:cs="Arial"/>
          <w:color w:val="2F2F2F"/>
          <w:sz w:val="18"/>
          <w:szCs w:val="18"/>
          <w:lang w:eastAsia="es-MX"/>
        </w:rPr>
        <w:t>El artículo 123 constitucional, apartado B, fracción XII, primer párrafo, establece: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"Artículo 123</w:t>
      </w:r>
      <w:r w:rsidRPr="00B25236">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B.</w:t>
      </w:r>
      <w:r w:rsidRPr="00B25236">
        <w:rPr>
          <w:rFonts w:ascii="Arial" w:eastAsia="Times New Roman" w:hAnsi="Arial" w:cs="Arial"/>
          <w:color w:val="2F2F2F"/>
          <w:sz w:val="18"/>
          <w:szCs w:val="18"/>
          <w:lang w:eastAsia="es-MX"/>
        </w:rPr>
        <w:t> Entre los Poderes de la Unión y sus trabajadores:</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XII.</w:t>
      </w:r>
      <w:r w:rsidRPr="00B25236">
        <w:rPr>
          <w:rFonts w:ascii="Arial" w:eastAsia="Times New Roman" w:hAnsi="Arial" w:cs="Arial"/>
          <w:color w:val="2F2F2F"/>
          <w:sz w:val="18"/>
          <w:szCs w:val="18"/>
          <w:lang w:eastAsia="es-MX"/>
        </w:rPr>
        <w:t> Los conflictos individuales, colectivos o intersindicales serán sometidos a un Tribunal Federal de Conciliación y Arbitraje integrado según lo prevenido en la ley reglamentaria."</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Como se puede advertir, el precepto constitucional transcrito establece que los conflictos individuales, colectivos o intersindicales serán sometidos al Tribunal Federal de Conciliación y Arbitraje.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lastRenderedPageBreak/>
        <w:t>Por su parte, el artículo 124 "A" de la Ley Federal de los Trabajadores al Servicio del Estado, la competencia del Pleno del Tribunal Federal de Conciliación y Arbitraje, el cual, para mayor referencia a continuación se transcribe: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Artículo 124-A</w:t>
      </w:r>
      <w:r w:rsidRPr="00B25236">
        <w:rPr>
          <w:rFonts w:ascii="Arial" w:eastAsia="Times New Roman" w:hAnsi="Arial" w:cs="Arial"/>
          <w:color w:val="2F2F2F"/>
          <w:sz w:val="18"/>
          <w:szCs w:val="18"/>
          <w:lang w:eastAsia="es-MX"/>
        </w:rPr>
        <w:t>.- Al Pleno del Tribunal Federal de Conciliación y Arbitraje corresponde: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w:t>
      </w:r>
      <w:r w:rsidRPr="00B25236">
        <w:rPr>
          <w:rFonts w:ascii="Arial" w:eastAsia="Times New Roman" w:hAnsi="Arial" w:cs="Arial"/>
          <w:color w:val="2F2F2F"/>
          <w:sz w:val="18"/>
          <w:szCs w:val="18"/>
          <w:lang w:eastAsia="es-MX"/>
        </w:rPr>
        <w:t>- Expedir el Reglamento Interior y los manuales de organización del Tribunal;</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II</w:t>
      </w:r>
      <w:r w:rsidRPr="00B25236">
        <w:rPr>
          <w:rFonts w:ascii="Arial" w:eastAsia="Times New Roman" w:hAnsi="Arial" w:cs="Arial"/>
          <w:color w:val="2F2F2F"/>
          <w:sz w:val="18"/>
          <w:szCs w:val="18"/>
          <w:lang w:eastAsia="es-MX"/>
        </w:rPr>
        <w:t>.- Uniformar los criterios de carácter procesal de las diversas Salas, procurando evitar sustenten tesis contradictorias;</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III.</w:t>
      </w:r>
      <w:r w:rsidRPr="00B25236">
        <w:rPr>
          <w:rFonts w:ascii="Arial" w:eastAsia="Times New Roman" w:hAnsi="Arial" w:cs="Arial"/>
          <w:color w:val="2F2F2F"/>
          <w:sz w:val="18"/>
          <w:szCs w:val="18"/>
          <w:lang w:eastAsia="es-MX"/>
        </w:rPr>
        <w:t>- Tramitar y resolver los asuntos a que se refieren las fracciones II, III, IV y V del artículo anterior;</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IV.</w:t>
      </w:r>
      <w:r w:rsidRPr="00B25236">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V</w:t>
      </w:r>
      <w:r w:rsidRPr="00B25236">
        <w:rPr>
          <w:rFonts w:ascii="Arial" w:eastAsia="Times New Roman" w:hAnsi="Arial" w:cs="Arial"/>
          <w:color w:val="2F2F2F"/>
          <w:sz w:val="18"/>
          <w:szCs w:val="18"/>
          <w:lang w:eastAsia="es-MX"/>
        </w:rPr>
        <w:t>.- Las demás que le confieran las disposiciones legales aplicables."</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Finalmente, los artículos 3, 6 y 8, del Reglamento Interior del Tribunal Federal de Conciliación y Arbitraje, disponen:</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Artículo 3</w:t>
      </w:r>
      <w:r w:rsidRPr="00B25236">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Artículo 6</w:t>
      </w:r>
      <w:r w:rsidRPr="00B25236">
        <w:rPr>
          <w:rFonts w:ascii="Arial" w:eastAsia="Times New Roman" w:hAnsi="Arial" w:cs="Arial"/>
          <w:color w:val="2F2F2F"/>
          <w:sz w:val="18"/>
          <w:szCs w:val="18"/>
          <w:lang w:eastAsia="es-MX"/>
        </w:rPr>
        <w:t>.- El Pleno es el órgano supremo del Tribunal y sus disposiciones son obligatorias.</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Artículo 8</w:t>
      </w:r>
      <w:r w:rsidRPr="00B25236">
        <w:rPr>
          <w:rFonts w:ascii="Arial" w:eastAsia="Times New Roman" w:hAnsi="Arial" w:cs="Arial"/>
          <w:color w:val="2F2F2F"/>
          <w:sz w:val="18"/>
          <w:szCs w:val="18"/>
          <w:lang w:eastAsia="es-MX"/>
        </w:rPr>
        <w:t>.- Al Pleno corresponde: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w:t>
      </w:r>
      <w:r w:rsidRPr="00B25236">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II.</w:t>
      </w:r>
      <w:r w:rsidRPr="00B25236">
        <w:rPr>
          <w:rFonts w:ascii="Arial" w:eastAsia="Times New Roman" w:hAnsi="Arial" w:cs="Arial"/>
          <w:color w:val="2F2F2F"/>
          <w:sz w:val="18"/>
          <w:szCs w:val="18"/>
          <w:lang w:eastAsia="es-MX"/>
        </w:rPr>
        <w:t>- Conocer y aprobar en su caso el Informe Anual de Actividades del Presidente del Tribunal;</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III.</w:t>
      </w:r>
      <w:r w:rsidRPr="00B25236">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IV.</w:t>
      </w:r>
      <w:r w:rsidRPr="00B25236">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V.</w:t>
      </w:r>
      <w:r w:rsidRPr="00B25236">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VI.</w:t>
      </w:r>
      <w:r w:rsidRPr="00B25236">
        <w:rPr>
          <w:rFonts w:ascii="Arial" w:eastAsia="Times New Roman" w:hAnsi="Arial" w:cs="Arial"/>
          <w:color w:val="2F2F2F"/>
          <w:sz w:val="18"/>
          <w:szCs w:val="18"/>
          <w:lang w:eastAsia="es-MX"/>
        </w:rPr>
        <w:t>- Las demás atribuciones que le confieran las disposiciones legales aplicables.</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QUINTO. </w:t>
      </w:r>
      <w:r w:rsidRPr="00B25236">
        <w:rPr>
          <w:rFonts w:ascii="Arial" w:eastAsia="Times New Roman" w:hAnsi="Arial" w:cs="Arial"/>
          <w:color w:val="2F2F2F"/>
          <w:sz w:val="18"/>
          <w:szCs w:val="18"/>
          <w:lang w:eastAsia="es-MX"/>
        </w:rPr>
        <w:t>Con el propósito de lo referido en el acuerdo único del proveído de doce de agosto de dos mil veintiuno, en el Tribunal Federal de Conciliación y Arbitraje, las Salas y Unidades Administrativas que lo integran, este Órgano Colegiado reiniciará de sus actividades, operando con el personal adscrito a ellas, de manera presencial conforme lo establezca la Dirección General de Administración de este Órgano Colegiado, en apego al </w:t>
      </w:r>
      <w:r w:rsidRPr="00B25236">
        <w:rPr>
          <w:rFonts w:ascii="Arial" w:eastAsia="Times New Roman" w:hAnsi="Arial" w:cs="Arial"/>
          <w:i/>
          <w:iCs/>
          <w:color w:val="2F2F2F"/>
          <w:sz w:val="18"/>
          <w:szCs w:val="18"/>
          <w:lang w:eastAsia="es-MX"/>
        </w:rPr>
        <w:t>ACUERDO POR EL QUE SE DETERMINAN LOS CRITERIOS PARA LA ADMINISTRACIÓN DE LOS RECURSOS HUMANOS EN LAS DEPENDENCIAS Y ENTIDADES DE LA ADMINISTRACIÓN PÚBLICA FEDERAL CON EL OBJETO DE REDUCIR EL RIESGO DE CONTAGIO Y DISPERSIÓN DEL CORONAVIRUS SARS-COV-2</w:t>
      </w:r>
      <w:r w:rsidRPr="00B25236">
        <w:rPr>
          <w:rFonts w:ascii="Arial" w:eastAsia="Times New Roman" w:hAnsi="Arial" w:cs="Arial"/>
          <w:color w:val="2F2F2F"/>
          <w:sz w:val="18"/>
          <w:szCs w:val="18"/>
          <w:lang w:eastAsia="es-MX"/>
        </w:rPr>
        <w:t>, emitido por la Secretaría de la Función Pública y publicado en el Diario Oficial de la Federación el treinta de julio y su similar de diecisiete de agosto de dos mil veintiuno, que señala:</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lastRenderedPageBreak/>
        <w:t>"ARTÍCULO ÚNICO</w:t>
      </w:r>
      <w:r w:rsidRPr="00B25236">
        <w:rPr>
          <w:rFonts w:ascii="Arial" w:eastAsia="Times New Roman" w:hAnsi="Arial" w:cs="Arial"/>
          <w:color w:val="2F2F2F"/>
          <w:sz w:val="18"/>
          <w:szCs w:val="18"/>
          <w:lang w:eastAsia="es-MX"/>
        </w:rPr>
        <w:t>. Se modifica el Artículo Primero, en su fracción I del "ACUERDO por el que se determinan los criterios para la administración de los recursos humanos en las dependencias y entidades de la Administración Pública Federal con el objeto de reducir el riesgo de contagio y dispersión del coronavirus SARS-CoV2", publicado en el Diario Oficial de la Federación el 30 de julio de 2021, para quedar como sigue: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"Artículo Primero.</w:t>
      </w:r>
      <w:proofErr w:type="gramStart"/>
      <w:r w:rsidRPr="00B25236">
        <w:rPr>
          <w:rFonts w:ascii="Arial" w:eastAsia="Times New Roman" w:hAnsi="Arial" w:cs="Arial"/>
          <w:color w:val="2F2F2F"/>
          <w:sz w:val="18"/>
          <w:szCs w:val="18"/>
          <w:lang w:eastAsia="es-MX"/>
        </w:rPr>
        <w:t>- ...:</w:t>
      </w:r>
      <w:proofErr w:type="gramEnd"/>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I.</w:t>
      </w:r>
      <w:r w:rsidRPr="00B25236">
        <w:rPr>
          <w:rFonts w:ascii="Arial" w:eastAsia="Times New Roman" w:hAnsi="Arial" w:cs="Arial"/>
          <w:color w:val="2F2F2F"/>
          <w:sz w:val="18"/>
          <w:szCs w:val="18"/>
          <w:lang w:eastAsia="es-MX"/>
        </w:rPr>
        <w:t> El regreso a las labores presenciales en las instalaciones físicas de las dependencias y entidades de la Administración Pública Federal, de los servidores públicos que concluyeron el proceso de inmunización contra el COVID-19, procurando </w:t>
      </w:r>
      <w:proofErr w:type="gramStart"/>
      <w:r w:rsidRPr="00B25236">
        <w:rPr>
          <w:rFonts w:ascii="Arial" w:eastAsia="Times New Roman" w:hAnsi="Arial" w:cs="Arial"/>
          <w:color w:val="2F2F2F"/>
          <w:sz w:val="18"/>
          <w:szCs w:val="18"/>
          <w:lang w:eastAsia="es-MX"/>
        </w:rPr>
        <w:t>la mitigación del riesgo de contagio a través de las medidas sanitarias y de sana distancia determinadas</w:t>
      </w:r>
      <w:proofErr w:type="gramEnd"/>
      <w:r w:rsidRPr="00B25236">
        <w:rPr>
          <w:rFonts w:ascii="Arial" w:eastAsia="Times New Roman" w:hAnsi="Arial" w:cs="Arial"/>
          <w:color w:val="2F2F2F"/>
          <w:sz w:val="18"/>
          <w:szCs w:val="18"/>
          <w:lang w:eastAsia="es-MX"/>
        </w:rPr>
        <w:t> por la Secretaría de Salud. En caso de riesgo por brote de contagios en los centros de trabajo o que el servidor público presente síntomas del virus, se podrán aplicar las medidas determinadas en las fracciones II a IV subsecuentes;</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SEXTO. </w:t>
      </w:r>
      <w:r w:rsidRPr="00B25236">
        <w:rPr>
          <w:rFonts w:ascii="Arial" w:eastAsia="Times New Roman" w:hAnsi="Arial" w:cs="Arial"/>
          <w:color w:val="2F2F2F"/>
          <w:sz w:val="18"/>
          <w:szCs w:val="18"/>
          <w:lang w:eastAsia="es-MX"/>
        </w:rPr>
        <w:t>Asimismo, aunado a lo anterior, la Secretaría de Salud, emitió el </w:t>
      </w:r>
      <w:r w:rsidRPr="00B25236">
        <w:rPr>
          <w:rFonts w:ascii="Arial" w:eastAsia="Times New Roman" w:hAnsi="Arial" w:cs="Arial"/>
          <w:i/>
          <w:iCs/>
          <w:color w:val="2F2F2F"/>
          <w:sz w:val="18"/>
          <w:szCs w:val="18"/>
          <w:lang w:eastAsia="es-MX"/>
        </w:rPr>
        <w:t>ACUERDO POR EL QUE SE DA A CONOCER EL MEDIO DE DIFUSIÓN DE LA NUEVA METODOLOGÍA DEL SEMÁFORO POR REGIONES PARA EVALUAR EL RIESGO EPIDEMIOLÓGICO QUE REPRESENTA LA ENFERMEDAD GRAVE DE ATENCIÓN PRIORITARIA COVID-19, </w:t>
      </w:r>
      <w:r w:rsidRPr="00B25236">
        <w:rPr>
          <w:rFonts w:ascii="Arial" w:eastAsia="Times New Roman" w:hAnsi="Arial" w:cs="Arial"/>
          <w:color w:val="2F2F2F"/>
          <w:sz w:val="18"/>
          <w:szCs w:val="18"/>
          <w:lang w:eastAsia="es-MX"/>
        </w:rPr>
        <w:t>publicado en el Diario Oficial de la Federación el veintisiete de julio de dos mil veintiuno, el cual señala en su artículo segundo lo siguiente:</w:t>
      </w:r>
    </w:p>
    <w:p w:rsidR="00B25236" w:rsidRPr="00B25236" w:rsidRDefault="00B25236" w:rsidP="00B25236">
      <w:pPr>
        <w:shd w:val="clear" w:color="auto" w:fill="FFFFFF"/>
        <w:spacing w:after="101" w:line="240" w:lineRule="auto"/>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w:t>
      </w:r>
      <w:r w:rsidRPr="00B25236">
        <w:rPr>
          <w:rFonts w:ascii="Arial" w:eastAsia="Times New Roman" w:hAnsi="Arial" w:cs="Arial"/>
          <w:b/>
          <w:bCs/>
          <w:color w:val="2F2F2F"/>
          <w:sz w:val="18"/>
          <w:szCs w:val="18"/>
          <w:lang w:eastAsia="es-MX"/>
        </w:rPr>
        <w:t>ARTÍCULO SEGUNDO</w:t>
      </w:r>
      <w:r w:rsidRPr="00B25236">
        <w:rPr>
          <w:rFonts w:ascii="Arial" w:eastAsia="Times New Roman" w:hAnsi="Arial" w:cs="Arial"/>
          <w:color w:val="2F2F2F"/>
          <w:sz w:val="18"/>
          <w:szCs w:val="18"/>
          <w:lang w:eastAsia="es-MX"/>
        </w:rPr>
        <w:t>.- Las personas a quienes se haya administrado un esquema de vacunación contra el virus SARS-CoV2 y habiendo transcurrido dos semanas posteriores a la aplicación de la última dosis, no serán consideradas dentro de la población en situación de vulnerabilidad para contraer dicha enfermedad grave de atención prioritaria."</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SÉPTIMO. </w:t>
      </w:r>
      <w:r w:rsidRPr="00B25236">
        <w:rPr>
          <w:rFonts w:ascii="Arial" w:eastAsia="Times New Roman" w:hAnsi="Arial" w:cs="Arial"/>
          <w:color w:val="2F2F2F"/>
          <w:sz w:val="18"/>
          <w:szCs w:val="18"/>
          <w:lang w:eastAsia="es-MX"/>
        </w:rPr>
        <w:t>Las Salas y Unidades Administrativas que integran este Tribunal, en colaboración con el personal de protección federal y de salud adscritos a la Dirección General de Administración, serán las encargadas de verificar qué se lleve a cabo el cumplimiento de las medidas sanitarias establecidas en el Protocolo Sanitario, únicamente, respecto de los servidores públicos y los usuarios que ingresen a este inmueble.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OCTAVO. </w:t>
      </w:r>
      <w:r w:rsidRPr="00B25236">
        <w:rPr>
          <w:rFonts w:ascii="Arial" w:eastAsia="Times New Roman" w:hAnsi="Arial" w:cs="Arial"/>
          <w:color w:val="2F2F2F"/>
          <w:sz w:val="18"/>
          <w:szCs w:val="18"/>
          <w:lang w:eastAsia="es-MX"/>
        </w:rPr>
        <w:t>Este Tribunal Federal de Conciliación y Arbitraje establece con base en los Acuerdos citados en los considerandos sexto y séptimo, los siguientes lineamientos para la reincorporación del personal adscrito a este Órgano Colegiado:</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A)</w:t>
      </w:r>
      <w:r w:rsidRPr="00B25236">
        <w:rPr>
          <w:rFonts w:ascii="Arial" w:eastAsia="Times New Roman" w:hAnsi="Arial" w:cs="Arial"/>
          <w:color w:val="2F2F2F"/>
          <w:sz w:val="20"/>
          <w:szCs w:val="20"/>
          <w:lang w:eastAsia="es-MX"/>
        </w:rPr>
        <w:t>    </w:t>
      </w:r>
      <w:r w:rsidRPr="00B25236">
        <w:rPr>
          <w:rFonts w:ascii="Arial" w:eastAsia="Times New Roman" w:hAnsi="Arial" w:cs="Arial"/>
          <w:color w:val="2F2F2F"/>
          <w:sz w:val="18"/>
          <w:szCs w:val="18"/>
          <w:lang w:eastAsia="es-MX"/>
        </w:rPr>
        <w:t> (</w:t>
      </w: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G)</w:t>
      </w:r>
      <w:r w:rsidRPr="00B25236">
        <w:rPr>
          <w:rFonts w:ascii="Arial" w:eastAsia="Times New Roman" w:hAnsi="Arial" w:cs="Arial"/>
          <w:color w:val="2F2F2F"/>
          <w:sz w:val="20"/>
          <w:szCs w:val="20"/>
          <w:lang w:eastAsia="es-MX"/>
        </w:rPr>
        <w:t>    </w:t>
      </w:r>
      <w:r w:rsidRPr="00B25236">
        <w:rPr>
          <w:rFonts w:ascii="Arial" w:eastAsia="Times New Roman" w:hAnsi="Arial" w:cs="Arial"/>
          <w:color w:val="2F2F2F"/>
          <w:sz w:val="18"/>
          <w:szCs w:val="18"/>
          <w:lang w:eastAsia="es-MX"/>
        </w:rPr>
        <w:t>El personal con síntomas y/o resultado positivo a prueba de virus SARS-CoV2, </w:t>
      </w:r>
      <w:r w:rsidRPr="00B25236">
        <w:rPr>
          <w:rFonts w:ascii="Arial" w:eastAsia="Times New Roman" w:hAnsi="Arial" w:cs="Arial"/>
          <w:b/>
          <w:bCs/>
          <w:color w:val="2F2F2F"/>
          <w:sz w:val="18"/>
          <w:szCs w:val="18"/>
          <w:lang w:eastAsia="es-MX"/>
        </w:rPr>
        <w:t>no asistirá</w:t>
      </w:r>
      <w:r w:rsidRPr="00B25236">
        <w:rPr>
          <w:rFonts w:ascii="Arial" w:eastAsia="Times New Roman" w:hAnsi="Arial" w:cs="Arial"/>
          <w:color w:val="2F2F2F"/>
          <w:sz w:val="18"/>
          <w:szCs w:val="18"/>
          <w:lang w:eastAsia="es-MX"/>
        </w:rPr>
        <w:t> a las instalaciones de este Tribunal y deberá dar aviso inmediatamente a su superior jerárquico inmediato, a fin de que éste último, notifique a la Dirección General de Administración, para que instruya a la Dirección de Recursos Humanos y Dirección de Recursos Materiales, a fin de que realicen las medidas necesarias de higiene y seguridad, en atención al protocolo sanitario respectivo.</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color w:val="2F2F2F"/>
          <w:sz w:val="20"/>
          <w:szCs w:val="20"/>
          <w:lang w:eastAsia="es-MX"/>
        </w:rPr>
        <w:t>       </w:t>
      </w:r>
      <w:r w:rsidRPr="00B25236">
        <w:rPr>
          <w:rFonts w:ascii="Arial" w:eastAsia="Times New Roman" w:hAnsi="Arial" w:cs="Arial"/>
          <w:color w:val="2F2F2F"/>
          <w:sz w:val="18"/>
          <w:szCs w:val="18"/>
          <w:lang w:eastAsia="es-MX"/>
        </w:rPr>
        <w:t>El trabajador por sí o por tercera persona deberá tramitar su licencia médica ante el Instituto de Seguridad y Servicios Sociales de los Trabajadores del Estado, y debiéndola hacer llegar a través de persona diversa, a la Dirección de Recursos Humanos.</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color w:val="2F2F2F"/>
          <w:sz w:val="20"/>
          <w:szCs w:val="20"/>
          <w:lang w:eastAsia="es-MX"/>
        </w:rPr>
        <w:t>       </w:t>
      </w:r>
      <w:r w:rsidRPr="00B25236">
        <w:rPr>
          <w:rFonts w:ascii="Arial" w:eastAsia="Times New Roman" w:hAnsi="Arial" w:cs="Arial"/>
          <w:color w:val="2F2F2F"/>
          <w:sz w:val="18"/>
          <w:szCs w:val="18"/>
          <w:lang w:eastAsia="es-MX"/>
        </w:rPr>
        <w:t>Para que el trabajador que haya presentado sintomatología de virus SARS-CoV2, y se pueda reincorporar a las instalaciones del Tribunal, deberá presentar el certificado médico de alta del Instituto de Seguridad y Servicios Sociales de los Trabajadores del Estado, ante la Dirección de Recursos Humanos y su jefe jerárquico inmediato.</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H)</w:t>
      </w:r>
      <w:r w:rsidRPr="00B25236">
        <w:rPr>
          <w:rFonts w:ascii="Arial" w:eastAsia="Times New Roman" w:hAnsi="Arial" w:cs="Arial"/>
          <w:color w:val="2F2F2F"/>
          <w:sz w:val="20"/>
          <w:szCs w:val="20"/>
          <w:lang w:eastAsia="es-MX"/>
        </w:rPr>
        <w:t>    </w:t>
      </w:r>
      <w:r w:rsidRPr="00B25236">
        <w:rPr>
          <w:rFonts w:ascii="Arial" w:eastAsia="Times New Roman" w:hAnsi="Arial" w:cs="Arial"/>
          <w:color w:val="2F2F2F"/>
          <w:sz w:val="18"/>
          <w:szCs w:val="18"/>
          <w:lang w:eastAsia="es-MX"/>
        </w:rPr>
        <w:t> (</w:t>
      </w:r>
      <w:r w:rsidRPr="00B25236">
        <w:rPr>
          <w:rFonts w:ascii="Arial" w:eastAsia="Times New Roman" w:hAnsi="Arial" w:cs="Arial"/>
          <w:b/>
          <w:bCs/>
          <w:color w:val="2F2F2F"/>
          <w:sz w:val="18"/>
          <w:szCs w:val="18"/>
          <w:lang w:eastAsia="es-MX"/>
        </w:rPr>
        <w:t>...</w:t>
      </w:r>
      <w:r w:rsidRPr="00B25236">
        <w:rPr>
          <w:rFonts w:ascii="Arial" w:eastAsia="Times New Roman" w:hAnsi="Arial" w:cs="Arial"/>
          <w:color w:val="2F2F2F"/>
          <w:sz w:val="18"/>
          <w:szCs w:val="18"/>
          <w:lang w:eastAsia="es-MX"/>
        </w:rPr>
        <w:t>)</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 </w:t>
      </w:r>
    </w:p>
    <w:p w:rsidR="00B25236" w:rsidRPr="00B25236" w:rsidRDefault="00B25236" w:rsidP="00B25236">
      <w:pPr>
        <w:shd w:val="clear" w:color="auto" w:fill="FFFFFF"/>
        <w:spacing w:after="101" w:line="240" w:lineRule="auto"/>
        <w:ind w:hanging="432"/>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L)</w:t>
      </w:r>
      <w:r w:rsidRPr="00B25236">
        <w:rPr>
          <w:rFonts w:ascii="Arial" w:eastAsia="Times New Roman" w:hAnsi="Arial" w:cs="Arial"/>
          <w:color w:val="2F2F2F"/>
          <w:sz w:val="20"/>
          <w:szCs w:val="20"/>
          <w:lang w:eastAsia="es-MX"/>
        </w:rPr>
        <w:t>    </w:t>
      </w:r>
      <w:r w:rsidRPr="00B25236">
        <w:rPr>
          <w:rFonts w:ascii="Arial" w:eastAsia="Times New Roman" w:hAnsi="Arial" w:cs="Arial"/>
          <w:color w:val="2F2F2F"/>
          <w:sz w:val="18"/>
          <w:szCs w:val="18"/>
          <w:lang w:eastAsia="es-MX"/>
        </w:rPr>
        <w:t>Aquellas personas que se encuentren desarrollando sus prácticas profesionales, servicio social o alguna actividad similar, deberán estarse a lo señalado en el considerando séptimo de este acuerdo, respecto de las medidas de seguridad e higiene establecidas.</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NOVENO.-</w:t>
      </w:r>
      <w:r w:rsidRPr="00B25236">
        <w:rPr>
          <w:rFonts w:ascii="Arial" w:eastAsia="Times New Roman" w:hAnsi="Arial" w:cs="Arial"/>
          <w:color w:val="2F2F2F"/>
          <w:sz w:val="18"/>
          <w:szCs w:val="18"/>
          <w:lang w:eastAsia="es-MX"/>
        </w:rPr>
        <w:t> En el Tribunal Federal de Conciliación y Arbitraje, estarán disponibles las medidas de higiene, filtros sanitarios, supervisión de sana distancia, sanitización y vigilancia por parte del personal de Protección Civil y Protección Federal para la portación de cubre boca de todas y cada una de las personas que se encuentren en el inmueble.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lastRenderedPageBreak/>
        <w:t>DÉCIMO.- </w:t>
      </w:r>
      <w:r w:rsidRPr="00B25236">
        <w:rPr>
          <w:rFonts w:ascii="Arial" w:eastAsia="Times New Roman" w:hAnsi="Arial" w:cs="Arial"/>
          <w:color w:val="2F2F2F"/>
          <w:sz w:val="18"/>
          <w:szCs w:val="18"/>
          <w:lang w:eastAsia="es-MX"/>
        </w:rPr>
        <w:t>El Órgano Interno de Control de este Tribunal, vigilará la debida aplicación de lo establecido en los considerados del presente acuerdo, en cumplimiento a lo señalado en el artículo sexto del acuerdo de la Secretaría de la Función Pública de treinta de julio y diecisiete de agosto del año en curso, citado en párrafos que anteceden.</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DÉCIMO PRIMERO.- </w:t>
      </w:r>
      <w:r w:rsidRPr="00B25236">
        <w:rPr>
          <w:rFonts w:ascii="Arial" w:eastAsia="Times New Roman" w:hAnsi="Arial" w:cs="Arial"/>
          <w:color w:val="2F2F2F"/>
          <w:sz w:val="18"/>
          <w:szCs w:val="18"/>
          <w:lang w:eastAsia="es-MX"/>
        </w:rPr>
        <w:t>Respecto de los incisos [A], [B] y [C] del considerando octavo, se prorroga el termino para la entrega del comprobante que acredite que concluyeron el proceso de vacunación contra el COVID-19, los trabajadores referidos en dichos apartados, hasta el quince de octubre de dos mil veintiuno.</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B25236" w:rsidRPr="00B25236" w:rsidRDefault="00B25236" w:rsidP="00B252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5236">
        <w:rPr>
          <w:rFonts w:ascii="Times" w:eastAsia="Times New Roman" w:hAnsi="Times" w:cs="Times"/>
          <w:b/>
          <w:bCs/>
          <w:color w:val="2F2F2F"/>
          <w:sz w:val="18"/>
          <w:szCs w:val="18"/>
          <w:lang w:eastAsia="es-MX"/>
        </w:rPr>
        <w:t>ACUERDO:</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ÚNICO. </w:t>
      </w:r>
      <w:r w:rsidRPr="00B25236">
        <w:rPr>
          <w:rFonts w:ascii="Arial" w:eastAsia="Times New Roman" w:hAnsi="Arial" w:cs="Arial"/>
          <w:color w:val="2F2F2F"/>
          <w:sz w:val="18"/>
          <w:szCs w:val="18"/>
          <w:lang w:eastAsia="es-MX"/>
        </w:rPr>
        <w:t>El Pleno del Tribunal Federal de Conciliación y Arbitraje establece el adendum a los lineamientos para las medidas de seguridad e higiene que adoptara el personal y la aplicación del protocolo sanitario en las Salas y Unidades Administrativas que integran este Órgano Colegiado; lo anterior, en términos de lo expuesto y fundado en la parte considerativa de la presente resolución.</w:t>
      </w:r>
    </w:p>
    <w:p w:rsidR="00B25236" w:rsidRPr="00B25236" w:rsidRDefault="00B25236" w:rsidP="00B252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5236">
        <w:rPr>
          <w:rFonts w:ascii="Times" w:eastAsia="Times New Roman" w:hAnsi="Times" w:cs="Times"/>
          <w:b/>
          <w:bCs/>
          <w:color w:val="2F2F2F"/>
          <w:sz w:val="18"/>
          <w:szCs w:val="18"/>
          <w:lang w:eastAsia="es-MX"/>
        </w:rPr>
        <w:t>TRANSITORIOS:</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PRIMERO. </w:t>
      </w:r>
      <w:r w:rsidRPr="00B25236">
        <w:rPr>
          <w:rFonts w:ascii="Arial" w:eastAsia="Times New Roman" w:hAnsi="Arial" w:cs="Arial"/>
          <w:color w:val="2F2F2F"/>
          <w:sz w:val="18"/>
          <w:szCs w:val="18"/>
          <w:lang w:eastAsia="es-MX"/>
        </w:rPr>
        <w:t>El presente entrará en vigor al día siguiente de su publicación en el Boletín Laboral Burocrático.</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Asimismo, publíquese en el Diario Oficial de la Federación.</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b/>
          <w:bCs/>
          <w:color w:val="2F2F2F"/>
          <w:sz w:val="18"/>
          <w:szCs w:val="18"/>
          <w:lang w:eastAsia="es-MX"/>
        </w:rPr>
        <w:t>SEGUNDO. </w:t>
      </w:r>
      <w:r w:rsidRPr="00B25236">
        <w:rPr>
          <w:rFonts w:ascii="Arial" w:eastAsia="Times New Roman" w:hAnsi="Arial" w:cs="Arial"/>
          <w:color w:val="2F2F2F"/>
          <w:sz w:val="18"/>
          <w:szCs w:val="18"/>
          <w:lang w:eastAsia="es-MX"/>
        </w:rPr>
        <w:t>Las medidas establecidas en el presente acuerdo estarán vigentes según las disposiciones emitidas por el Pleno de este Tribunal Federal de Conciliación y Arbitraje y la Dirección General de Administración de este Órgano Colegiado, y hasta que la evolución de la situación de salud en la Ciudad de México y, en su caso, en las disposiciones que ordene el Gobierno Federal, por conducto de la Secretaría de la Función Pública, Secretaría de Salud o el Consejo de Salubridad General, permitan la reanudación de actividades al cien por ciento, para los trabajadores y público usurario.</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Asimismo, es de considerarse que las subsecuentes disposiciones que sean necesarias y urgentes para el mejor manejo de las medidas de seguridad e higiene que se requieran para el desempeño de las actividades de este Tribunal Federal de Conciliación y Arbitraje, que sean apegadas a las emitidas por la Secretaría de Gobernación, Secretaría de Función Pública o Secretaría de Salud, podrán ser establecidas por la Dirección General de Administración con la aprobación del Magistrado Presidente de este Órgano Colegiado.</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Así lo resolvieron por </w:t>
      </w:r>
      <w:r w:rsidRPr="00B25236">
        <w:rPr>
          <w:rFonts w:ascii="Arial" w:eastAsia="Times New Roman" w:hAnsi="Arial" w:cs="Arial"/>
          <w:b/>
          <w:bCs/>
          <w:color w:val="2F2F2F"/>
          <w:sz w:val="18"/>
          <w:szCs w:val="18"/>
          <w:lang w:eastAsia="es-MX"/>
        </w:rPr>
        <w:t>U N A N I M I D A D </w:t>
      </w:r>
      <w:r w:rsidRPr="00B25236">
        <w:rPr>
          <w:rFonts w:ascii="Arial" w:eastAsia="Times New Roman" w:hAnsi="Arial" w:cs="Arial"/>
          <w:color w:val="2F2F2F"/>
          <w:sz w:val="18"/>
          <w:szCs w:val="18"/>
          <w:lang w:eastAsia="es-MX"/>
        </w:rPr>
        <w:t>de votos, los Magistrados presentes en el Pleno del Tribunal Federal de Conciliación y Arbitraje, en sesión celebrada en esta fecha.- El Presidente del Tribunal.- El Secretario General de Acuerdos.- Doy fe.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6"/>
          <w:szCs w:val="16"/>
          <w:lang w:eastAsia="es-MX"/>
        </w:rPr>
      </w:pPr>
      <w:r w:rsidRPr="00B25236">
        <w:rPr>
          <w:rFonts w:ascii="Arial" w:eastAsia="Times New Roman" w:hAnsi="Arial" w:cs="Arial"/>
          <w:color w:val="2F2F2F"/>
          <w:sz w:val="16"/>
          <w:szCs w:val="16"/>
          <w:lang w:eastAsia="es-MX"/>
        </w:rPr>
        <w:t>EL SECRETARIO GENERAL DE ACUERDOS DEL TRIBUNAL FEDERAL DE CONCILIACIÓN Y ARBITRAJE:</w:t>
      </w:r>
    </w:p>
    <w:p w:rsidR="00B25236" w:rsidRPr="00B25236" w:rsidRDefault="00B25236" w:rsidP="00B25236">
      <w:pPr>
        <w:shd w:val="clear" w:color="auto" w:fill="FFFFFF"/>
        <w:spacing w:after="101" w:line="240" w:lineRule="auto"/>
        <w:jc w:val="center"/>
        <w:rPr>
          <w:rFonts w:ascii="Arial" w:eastAsia="Times New Roman" w:hAnsi="Arial" w:cs="Arial"/>
          <w:color w:val="2F2F2F"/>
          <w:sz w:val="16"/>
          <w:szCs w:val="16"/>
          <w:lang w:eastAsia="es-MX"/>
        </w:rPr>
      </w:pPr>
      <w:r w:rsidRPr="00B25236">
        <w:rPr>
          <w:rFonts w:ascii="Arial" w:eastAsia="Times New Roman" w:hAnsi="Arial" w:cs="Arial"/>
          <w:b/>
          <w:bCs/>
          <w:color w:val="2F2F2F"/>
          <w:sz w:val="16"/>
          <w:szCs w:val="16"/>
          <w:lang w:eastAsia="es-MX"/>
        </w:rPr>
        <w:t>C E R T I F I C </w:t>
      </w:r>
      <w:proofErr w:type="gramStart"/>
      <w:r w:rsidRPr="00B25236">
        <w:rPr>
          <w:rFonts w:ascii="Arial" w:eastAsia="Times New Roman" w:hAnsi="Arial" w:cs="Arial"/>
          <w:b/>
          <w:bCs/>
          <w:color w:val="2F2F2F"/>
          <w:sz w:val="16"/>
          <w:szCs w:val="16"/>
          <w:lang w:eastAsia="es-MX"/>
        </w:rPr>
        <w:t>A :</w:t>
      </w:r>
      <w:proofErr w:type="gramEnd"/>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Que este acuerdo mediante el cual, el Pleno del Tribunal Federal de Conciliación y Arbitraje en sesión celebrada el cinco de octubre de dos mil veintiuno, realiza el adendum a los Lineamientos para las Medidas de Seguridad e Higiene que adoptara el personal de este Órgano Colegiado y la aplicación del Protocolo Sanitario en las Salas y Unidades Administrativas que integran este Órgano Colegiado,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seis días del mes de octubre de dos mil veintiuno.- Doy fe.</w:t>
      </w:r>
    </w:p>
    <w:p w:rsidR="00B25236" w:rsidRPr="00B25236" w:rsidRDefault="00B25236" w:rsidP="00B25236">
      <w:pPr>
        <w:shd w:val="clear" w:color="auto" w:fill="FFFFFF"/>
        <w:spacing w:after="101" w:line="240" w:lineRule="auto"/>
        <w:ind w:firstLine="288"/>
        <w:jc w:val="both"/>
        <w:rPr>
          <w:rFonts w:ascii="Arial" w:eastAsia="Times New Roman" w:hAnsi="Arial" w:cs="Arial"/>
          <w:color w:val="2F2F2F"/>
          <w:sz w:val="18"/>
          <w:szCs w:val="18"/>
          <w:lang w:eastAsia="es-MX"/>
        </w:rPr>
      </w:pPr>
      <w:r w:rsidRPr="00B25236">
        <w:rPr>
          <w:rFonts w:ascii="Arial" w:eastAsia="Times New Roman" w:hAnsi="Arial" w:cs="Arial"/>
          <w:color w:val="2F2F2F"/>
          <w:sz w:val="18"/>
          <w:szCs w:val="18"/>
          <w:lang w:eastAsia="es-MX"/>
        </w:rPr>
        <w:t>El Secretario General de Acuerdos, </w:t>
      </w:r>
      <w:r w:rsidRPr="00B25236">
        <w:rPr>
          <w:rFonts w:ascii="Arial" w:eastAsia="Times New Roman" w:hAnsi="Arial" w:cs="Arial"/>
          <w:b/>
          <w:bCs/>
          <w:color w:val="2F2F2F"/>
          <w:sz w:val="18"/>
          <w:szCs w:val="18"/>
          <w:lang w:eastAsia="es-MX"/>
        </w:rPr>
        <w:t>José Amauri Martínez Gutiérrez</w:t>
      </w:r>
      <w:r w:rsidRPr="00B25236">
        <w:rPr>
          <w:rFonts w:ascii="Arial" w:eastAsia="Times New Roman" w:hAnsi="Arial" w:cs="Arial"/>
          <w:color w:val="2F2F2F"/>
          <w:sz w:val="18"/>
          <w:szCs w:val="18"/>
          <w:lang w:eastAsia="es-MX"/>
        </w:rPr>
        <w:t>.- Rúbrica.</w:t>
      </w:r>
    </w:p>
    <w:p w:rsidR="00B25236" w:rsidRPr="00B25236" w:rsidRDefault="00B25236" w:rsidP="00B25236">
      <w:pPr>
        <w:jc w:val="both"/>
        <w:rPr>
          <w:rFonts w:ascii="Arial" w:hAnsi="Arial" w:cs="Arial"/>
          <w:b/>
          <w:color w:val="262626" w:themeColor="text1" w:themeTint="D9"/>
          <w:sz w:val="18"/>
        </w:rPr>
      </w:pPr>
    </w:p>
    <w:sectPr w:rsidR="00B25236" w:rsidRPr="00B252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36"/>
    <w:rsid w:val="00857D96"/>
    <w:rsid w:val="00B2523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1802">
      <w:bodyDiv w:val="1"/>
      <w:marLeft w:val="0"/>
      <w:marRight w:val="0"/>
      <w:marTop w:val="0"/>
      <w:marBottom w:val="0"/>
      <w:divBdr>
        <w:top w:val="none" w:sz="0" w:space="0" w:color="auto"/>
        <w:left w:val="none" w:sz="0" w:space="0" w:color="auto"/>
        <w:bottom w:val="none" w:sz="0" w:space="0" w:color="auto"/>
        <w:right w:val="none" w:sz="0" w:space="0" w:color="auto"/>
      </w:divBdr>
      <w:divsChild>
        <w:div w:id="662660274">
          <w:marLeft w:val="0"/>
          <w:marRight w:val="0"/>
          <w:marTop w:val="0"/>
          <w:marBottom w:val="101"/>
          <w:divBdr>
            <w:top w:val="none" w:sz="0" w:space="0" w:color="auto"/>
            <w:left w:val="none" w:sz="0" w:space="0" w:color="auto"/>
            <w:bottom w:val="none" w:sz="0" w:space="0" w:color="auto"/>
            <w:right w:val="none" w:sz="0" w:space="0" w:color="auto"/>
          </w:divBdr>
        </w:div>
        <w:div w:id="638726683">
          <w:marLeft w:val="0"/>
          <w:marRight w:val="0"/>
          <w:marTop w:val="101"/>
          <w:marBottom w:val="101"/>
          <w:divBdr>
            <w:top w:val="none" w:sz="0" w:space="0" w:color="auto"/>
            <w:left w:val="none" w:sz="0" w:space="0" w:color="auto"/>
            <w:bottom w:val="none" w:sz="0" w:space="0" w:color="auto"/>
            <w:right w:val="none" w:sz="0" w:space="0" w:color="auto"/>
          </w:divBdr>
        </w:div>
        <w:div w:id="1186865406">
          <w:marLeft w:val="0"/>
          <w:marRight w:val="0"/>
          <w:marTop w:val="0"/>
          <w:marBottom w:val="101"/>
          <w:divBdr>
            <w:top w:val="none" w:sz="0" w:space="0" w:color="auto"/>
            <w:left w:val="none" w:sz="0" w:space="0" w:color="auto"/>
            <w:bottom w:val="none" w:sz="0" w:space="0" w:color="auto"/>
            <w:right w:val="none" w:sz="0" w:space="0" w:color="auto"/>
          </w:divBdr>
        </w:div>
        <w:div w:id="1295678155">
          <w:marLeft w:val="0"/>
          <w:marRight w:val="0"/>
          <w:marTop w:val="0"/>
          <w:marBottom w:val="101"/>
          <w:divBdr>
            <w:top w:val="none" w:sz="0" w:space="0" w:color="auto"/>
            <w:left w:val="none" w:sz="0" w:space="0" w:color="auto"/>
            <w:bottom w:val="none" w:sz="0" w:space="0" w:color="auto"/>
            <w:right w:val="none" w:sz="0" w:space="0" w:color="auto"/>
          </w:divBdr>
        </w:div>
        <w:div w:id="2061399539">
          <w:marLeft w:val="0"/>
          <w:marRight w:val="0"/>
          <w:marTop w:val="0"/>
          <w:marBottom w:val="101"/>
          <w:divBdr>
            <w:top w:val="none" w:sz="0" w:space="0" w:color="auto"/>
            <w:left w:val="none" w:sz="0" w:space="0" w:color="auto"/>
            <w:bottom w:val="none" w:sz="0" w:space="0" w:color="auto"/>
            <w:right w:val="none" w:sz="0" w:space="0" w:color="auto"/>
          </w:divBdr>
        </w:div>
        <w:div w:id="370885645">
          <w:marLeft w:val="1008"/>
          <w:marRight w:val="720"/>
          <w:marTop w:val="0"/>
          <w:marBottom w:val="101"/>
          <w:divBdr>
            <w:top w:val="none" w:sz="0" w:space="0" w:color="auto"/>
            <w:left w:val="none" w:sz="0" w:space="0" w:color="auto"/>
            <w:bottom w:val="none" w:sz="0" w:space="0" w:color="auto"/>
            <w:right w:val="none" w:sz="0" w:space="0" w:color="auto"/>
          </w:divBdr>
        </w:div>
        <w:div w:id="1048608026">
          <w:marLeft w:val="0"/>
          <w:marRight w:val="0"/>
          <w:marTop w:val="0"/>
          <w:marBottom w:val="101"/>
          <w:divBdr>
            <w:top w:val="none" w:sz="0" w:space="0" w:color="auto"/>
            <w:left w:val="none" w:sz="0" w:space="0" w:color="auto"/>
            <w:bottom w:val="none" w:sz="0" w:space="0" w:color="auto"/>
            <w:right w:val="none" w:sz="0" w:space="0" w:color="auto"/>
          </w:divBdr>
        </w:div>
        <w:div w:id="1816599964">
          <w:marLeft w:val="1008"/>
          <w:marRight w:val="720"/>
          <w:marTop w:val="0"/>
          <w:marBottom w:val="101"/>
          <w:divBdr>
            <w:top w:val="none" w:sz="0" w:space="0" w:color="auto"/>
            <w:left w:val="none" w:sz="0" w:space="0" w:color="auto"/>
            <w:bottom w:val="none" w:sz="0" w:space="0" w:color="auto"/>
            <w:right w:val="none" w:sz="0" w:space="0" w:color="auto"/>
          </w:divBdr>
        </w:div>
        <w:div w:id="88964813">
          <w:marLeft w:val="1008"/>
          <w:marRight w:val="720"/>
          <w:marTop w:val="0"/>
          <w:marBottom w:val="101"/>
          <w:divBdr>
            <w:top w:val="none" w:sz="0" w:space="0" w:color="auto"/>
            <w:left w:val="none" w:sz="0" w:space="0" w:color="auto"/>
            <w:bottom w:val="none" w:sz="0" w:space="0" w:color="auto"/>
            <w:right w:val="none" w:sz="0" w:space="0" w:color="auto"/>
          </w:divBdr>
        </w:div>
        <w:div w:id="602346694">
          <w:marLeft w:val="1008"/>
          <w:marRight w:val="720"/>
          <w:marTop w:val="0"/>
          <w:marBottom w:val="101"/>
          <w:divBdr>
            <w:top w:val="none" w:sz="0" w:space="0" w:color="auto"/>
            <w:left w:val="none" w:sz="0" w:space="0" w:color="auto"/>
            <w:bottom w:val="none" w:sz="0" w:space="0" w:color="auto"/>
            <w:right w:val="none" w:sz="0" w:space="0" w:color="auto"/>
          </w:divBdr>
        </w:div>
        <w:div w:id="1841117829">
          <w:marLeft w:val="1008"/>
          <w:marRight w:val="720"/>
          <w:marTop w:val="0"/>
          <w:marBottom w:val="101"/>
          <w:divBdr>
            <w:top w:val="none" w:sz="0" w:space="0" w:color="auto"/>
            <w:left w:val="none" w:sz="0" w:space="0" w:color="auto"/>
            <w:bottom w:val="none" w:sz="0" w:space="0" w:color="auto"/>
            <w:right w:val="none" w:sz="0" w:space="0" w:color="auto"/>
          </w:divBdr>
        </w:div>
        <w:div w:id="110319381">
          <w:marLeft w:val="1008"/>
          <w:marRight w:val="720"/>
          <w:marTop w:val="0"/>
          <w:marBottom w:val="101"/>
          <w:divBdr>
            <w:top w:val="none" w:sz="0" w:space="0" w:color="auto"/>
            <w:left w:val="none" w:sz="0" w:space="0" w:color="auto"/>
            <w:bottom w:val="none" w:sz="0" w:space="0" w:color="auto"/>
            <w:right w:val="none" w:sz="0" w:space="0" w:color="auto"/>
          </w:divBdr>
        </w:div>
        <w:div w:id="1401446518">
          <w:marLeft w:val="0"/>
          <w:marRight w:val="0"/>
          <w:marTop w:val="0"/>
          <w:marBottom w:val="101"/>
          <w:divBdr>
            <w:top w:val="none" w:sz="0" w:space="0" w:color="auto"/>
            <w:left w:val="none" w:sz="0" w:space="0" w:color="auto"/>
            <w:bottom w:val="none" w:sz="0" w:space="0" w:color="auto"/>
            <w:right w:val="none" w:sz="0" w:space="0" w:color="auto"/>
          </w:divBdr>
        </w:div>
        <w:div w:id="731854284">
          <w:marLeft w:val="0"/>
          <w:marRight w:val="0"/>
          <w:marTop w:val="0"/>
          <w:marBottom w:val="101"/>
          <w:divBdr>
            <w:top w:val="none" w:sz="0" w:space="0" w:color="auto"/>
            <w:left w:val="none" w:sz="0" w:space="0" w:color="auto"/>
            <w:bottom w:val="none" w:sz="0" w:space="0" w:color="auto"/>
            <w:right w:val="none" w:sz="0" w:space="0" w:color="auto"/>
          </w:divBdr>
        </w:div>
        <w:div w:id="1706589879">
          <w:marLeft w:val="1008"/>
          <w:marRight w:val="720"/>
          <w:marTop w:val="0"/>
          <w:marBottom w:val="101"/>
          <w:divBdr>
            <w:top w:val="none" w:sz="0" w:space="0" w:color="auto"/>
            <w:left w:val="none" w:sz="0" w:space="0" w:color="auto"/>
            <w:bottom w:val="none" w:sz="0" w:space="0" w:color="auto"/>
            <w:right w:val="none" w:sz="0" w:space="0" w:color="auto"/>
          </w:divBdr>
        </w:div>
        <w:div w:id="1498377501">
          <w:marLeft w:val="1008"/>
          <w:marRight w:val="720"/>
          <w:marTop w:val="0"/>
          <w:marBottom w:val="101"/>
          <w:divBdr>
            <w:top w:val="none" w:sz="0" w:space="0" w:color="auto"/>
            <w:left w:val="none" w:sz="0" w:space="0" w:color="auto"/>
            <w:bottom w:val="none" w:sz="0" w:space="0" w:color="auto"/>
            <w:right w:val="none" w:sz="0" w:space="0" w:color="auto"/>
          </w:divBdr>
        </w:div>
        <w:div w:id="218371955">
          <w:marLeft w:val="1008"/>
          <w:marRight w:val="720"/>
          <w:marTop w:val="0"/>
          <w:marBottom w:val="101"/>
          <w:divBdr>
            <w:top w:val="none" w:sz="0" w:space="0" w:color="auto"/>
            <w:left w:val="none" w:sz="0" w:space="0" w:color="auto"/>
            <w:bottom w:val="none" w:sz="0" w:space="0" w:color="auto"/>
            <w:right w:val="none" w:sz="0" w:space="0" w:color="auto"/>
          </w:divBdr>
        </w:div>
        <w:div w:id="830680002">
          <w:marLeft w:val="1008"/>
          <w:marRight w:val="720"/>
          <w:marTop w:val="0"/>
          <w:marBottom w:val="101"/>
          <w:divBdr>
            <w:top w:val="none" w:sz="0" w:space="0" w:color="auto"/>
            <w:left w:val="none" w:sz="0" w:space="0" w:color="auto"/>
            <w:bottom w:val="none" w:sz="0" w:space="0" w:color="auto"/>
            <w:right w:val="none" w:sz="0" w:space="0" w:color="auto"/>
          </w:divBdr>
        </w:div>
        <w:div w:id="967592707">
          <w:marLeft w:val="1008"/>
          <w:marRight w:val="720"/>
          <w:marTop w:val="0"/>
          <w:marBottom w:val="101"/>
          <w:divBdr>
            <w:top w:val="none" w:sz="0" w:space="0" w:color="auto"/>
            <w:left w:val="none" w:sz="0" w:space="0" w:color="auto"/>
            <w:bottom w:val="none" w:sz="0" w:space="0" w:color="auto"/>
            <w:right w:val="none" w:sz="0" w:space="0" w:color="auto"/>
          </w:divBdr>
        </w:div>
        <w:div w:id="1298220738">
          <w:marLeft w:val="1008"/>
          <w:marRight w:val="720"/>
          <w:marTop w:val="0"/>
          <w:marBottom w:val="101"/>
          <w:divBdr>
            <w:top w:val="none" w:sz="0" w:space="0" w:color="auto"/>
            <w:left w:val="none" w:sz="0" w:space="0" w:color="auto"/>
            <w:bottom w:val="none" w:sz="0" w:space="0" w:color="auto"/>
            <w:right w:val="none" w:sz="0" w:space="0" w:color="auto"/>
          </w:divBdr>
        </w:div>
        <w:div w:id="195699596">
          <w:marLeft w:val="0"/>
          <w:marRight w:val="0"/>
          <w:marTop w:val="0"/>
          <w:marBottom w:val="101"/>
          <w:divBdr>
            <w:top w:val="none" w:sz="0" w:space="0" w:color="auto"/>
            <w:left w:val="none" w:sz="0" w:space="0" w:color="auto"/>
            <w:bottom w:val="none" w:sz="0" w:space="0" w:color="auto"/>
            <w:right w:val="none" w:sz="0" w:space="0" w:color="auto"/>
          </w:divBdr>
        </w:div>
        <w:div w:id="1320385922">
          <w:marLeft w:val="1008"/>
          <w:marRight w:val="720"/>
          <w:marTop w:val="0"/>
          <w:marBottom w:val="101"/>
          <w:divBdr>
            <w:top w:val="none" w:sz="0" w:space="0" w:color="auto"/>
            <w:left w:val="none" w:sz="0" w:space="0" w:color="auto"/>
            <w:bottom w:val="none" w:sz="0" w:space="0" w:color="auto"/>
            <w:right w:val="none" w:sz="0" w:space="0" w:color="auto"/>
          </w:divBdr>
        </w:div>
        <w:div w:id="83230853">
          <w:marLeft w:val="1008"/>
          <w:marRight w:val="720"/>
          <w:marTop w:val="0"/>
          <w:marBottom w:val="101"/>
          <w:divBdr>
            <w:top w:val="none" w:sz="0" w:space="0" w:color="auto"/>
            <w:left w:val="none" w:sz="0" w:space="0" w:color="auto"/>
            <w:bottom w:val="none" w:sz="0" w:space="0" w:color="auto"/>
            <w:right w:val="none" w:sz="0" w:space="0" w:color="auto"/>
          </w:divBdr>
        </w:div>
        <w:div w:id="2902096">
          <w:marLeft w:val="1008"/>
          <w:marRight w:val="720"/>
          <w:marTop w:val="0"/>
          <w:marBottom w:val="101"/>
          <w:divBdr>
            <w:top w:val="none" w:sz="0" w:space="0" w:color="auto"/>
            <w:left w:val="none" w:sz="0" w:space="0" w:color="auto"/>
            <w:bottom w:val="none" w:sz="0" w:space="0" w:color="auto"/>
            <w:right w:val="none" w:sz="0" w:space="0" w:color="auto"/>
          </w:divBdr>
        </w:div>
        <w:div w:id="929892971">
          <w:marLeft w:val="1008"/>
          <w:marRight w:val="720"/>
          <w:marTop w:val="0"/>
          <w:marBottom w:val="101"/>
          <w:divBdr>
            <w:top w:val="none" w:sz="0" w:space="0" w:color="auto"/>
            <w:left w:val="none" w:sz="0" w:space="0" w:color="auto"/>
            <w:bottom w:val="none" w:sz="0" w:space="0" w:color="auto"/>
            <w:right w:val="none" w:sz="0" w:space="0" w:color="auto"/>
          </w:divBdr>
        </w:div>
        <w:div w:id="1141537556">
          <w:marLeft w:val="1008"/>
          <w:marRight w:val="720"/>
          <w:marTop w:val="0"/>
          <w:marBottom w:val="101"/>
          <w:divBdr>
            <w:top w:val="none" w:sz="0" w:space="0" w:color="auto"/>
            <w:left w:val="none" w:sz="0" w:space="0" w:color="auto"/>
            <w:bottom w:val="none" w:sz="0" w:space="0" w:color="auto"/>
            <w:right w:val="none" w:sz="0" w:space="0" w:color="auto"/>
          </w:divBdr>
        </w:div>
        <w:div w:id="1741751602">
          <w:marLeft w:val="1008"/>
          <w:marRight w:val="720"/>
          <w:marTop w:val="0"/>
          <w:marBottom w:val="101"/>
          <w:divBdr>
            <w:top w:val="none" w:sz="0" w:space="0" w:color="auto"/>
            <w:left w:val="none" w:sz="0" w:space="0" w:color="auto"/>
            <w:bottom w:val="none" w:sz="0" w:space="0" w:color="auto"/>
            <w:right w:val="none" w:sz="0" w:space="0" w:color="auto"/>
          </w:divBdr>
        </w:div>
        <w:div w:id="1786651741">
          <w:marLeft w:val="1008"/>
          <w:marRight w:val="720"/>
          <w:marTop w:val="0"/>
          <w:marBottom w:val="101"/>
          <w:divBdr>
            <w:top w:val="none" w:sz="0" w:space="0" w:color="auto"/>
            <w:left w:val="none" w:sz="0" w:space="0" w:color="auto"/>
            <w:bottom w:val="none" w:sz="0" w:space="0" w:color="auto"/>
            <w:right w:val="none" w:sz="0" w:space="0" w:color="auto"/>
          </w:divBdr>
        </w:div>
        <w:div w:id="197670253">
          <w:marLeft w:val="1008"/>
          <w:marRight w:val="720"/>
          <w:marTop w:val="0"/>
          <w:marBottom w:val="101"/>
          <w:divBdr>
            <w:top w:val="none" w:sz="0" w:space="0" w:color="auto"/>
            <w:left w:val="none" w:sz="0" w:space="0" w:color="auto"/>
            <w:bottom w:val="none" w:sz="0" w:space="0" w:color="auto"/>
            <w:right w:val="none" w:sz="0" w:space="0" w:color="auto"/>
          </w:divBdr>
        </w:div>
        <w:div w:id="1045913647">
          <w:marLeft w:val="1008"/>
          <w:marRight w:val="720"/>
          <w:marTop w:val="0"/>
          <w:marBottom w:val="101"/>
          <w:divBdr>
            <w:top w:val="none" w:sz="0" w:space="0" w:color="auto"/>
            <w:left w:val="none" w:sz="0" w:space="0" w:color="auto"/>
            <w:bottom w:val="none" w:sz="0" w:space="0" w:color="auto"/>
            <w:right w:val="none" w:sz="0" w:space="0" w:color="auto"/>
          </w:divBdr>
        </w:div>
        <w:div w:id="148332214">
          <w:marLeft w:val="1008"/>
          <w:marRight w:val="720"/>
          <w:marTop w:val="0"/>
          <w:marBottom w:val="101"/>
          <w:divBdr>
            <w:top w:val="none" w:sz="0" w:space="0" w:color="auto"/>
            <w:left w:val="none" w:sz="0" w:space="0" w:color="auto"/>
            <w:bottom w:val="none" w:sz="0" w:space="0" w:color="auto"/>
            <w:right w:val="none" w:sz="0" w:space="0" w:color="auto"/>
          </w:divBdr>
        </w:div>
        <w:div w:id="5403808">
          <w:marLeft w:val="1008"/>
          <w:marRight w:val="720"/>
          <w:marTop w:val="0"/>
          <w:marBottom w:val="101"/>
          <w:divBdr>
            <w:top w:val="none" w:sz="0" w:space="0" w:color="auto"/>
            <w:left w:val="none" w:sz="0" w:space="0" w:color="auto"/>
            <w:bottom w:val="none" w:sz="0" w:space="0" w:color="auto"/>
            <w:right w:val="none" w:sz="0" w:space="0" w:color="auto"/>
          </w:divBdr>
        </w:div>
        <w:div w:id="1408067876">
          <w:marLeft w:val="0"/>
          <w:marRight w:val="0"/>
          <w:marTop w:val="0"/>
          <w:marBottom w:val="101"/>
          <w:divBdr>
            <w:top w:val="none" w:sz="0" w:space="0" w:color="auto"/>
            <w:left w:val="none" w:sz="0" w:space="0" w:color="auto"/>
            <w:bottom w:val="none" w:sz="0" w:space="0" w:color="auto"/>
            <w:right w:val="none" w:sz="0" w:space="0" w:color="auto"/>
          </w:divBdr>
        </w:div>
        <w:div w:id="850603174">
          <w:marLeft w:val="0"/>
          <w:marRight w:val="0"/>
          <w:marTop w:val="0"/>
          <w:marBottom w:val="101"/>
          <w:divBdr>
            <w:top w:val="none" w:sz="0" w:space="0" w:color="auto"/>
            <w:left w:val="none" w:sz="0" w:space="0" w:color="auto"/>
            <w:bottom w:val="none" w:sz="0" w:space="0" w:color="auto"/>
            <w:right w:val="none" w:sz="0" w:space="0" w:color="auto"/>
          </w:divBdr>
        </w:div>
        <w:div w:id="2134060076">
          <w:marLeft w:val="1008"/>
          <w:marRight w:val="720"/>
          <w:marTop w:val="0"/>
          <w:marBottom w:val="101"/>
          <w:divBdr>
            <w:top w:val="none" w:sz="0" w:space="0" w:color="auto"/>
            <w:left w:val="none" w:sz="0" w:space="0" w:color="auto"/>
            <w:bottom w:val="none" w:sz="0" w:space="0" w:color="auto"/>
            <w:right w:val="none" w:sz="0" w:space="0" w:color="auto"/>
          </w:divBdr>
        </w:div>
        <w:div w:id="710763203">
          <w:marLeft w:val="1008"/>
          <w:marRight w:val="720"/>
          <w:marTop w:val="0"/>
          <w:marBottom w:val="101"/>
          <w:divBdr>
            <w:top w:val="none" w:sz="0" w:space="0" w:color="auto"/>
            <w:left w:val="none" w:sz="0" w:space="0" w:color="auto"/>
            <w:bottom w:val="none" w:sz="0" w:space="0" w:color="auto"/>
            <w:right w:val="none" w:sz="0" w:space="0" w:color="auto"/>
          </w:divBdr>
        </w:div>
        <w:div w:id="1790082626">
          <w:marLeft w:val="1008"/>
          <w:marRight w:val="720"/>
          <w:marTop w:val="0"/>
          <w:marBottom w:val="101"/>
          <w:divBdr>
            <w:top w:val="none" w:sz="0" w:space="0" w:color="auto"/>
            <w:left w:val="none" w:sz="0" w:space="0" w:color="auto"/>
            <w:bottom w:val="none" w:sz="0" w:space="0" w:color="auto"/>
            <w:right w:val="none" w:sz="0" w:space="0" w:color="auto"/>
          </w:divBdr>
        </w:div>
        <w:div w:id="1713456793">
          <w:marLeft w:val="1008"/>
          <w:marRight w:val="720"/>
          <w:marTop w:val="0"/>
          <w:marBottom w:val="101"/>
          <w:divBdr>
            <w:top w:val="none" w:sz="0" w:space="0" w:color="auto"/>
            <w:left w:val="none" w:sz="0" w:space="0" w:color="auto"/>
            <w:bottom w:val="none" w:sz="0" w:space="0" w:color="auto"/>
            <w:right w:val="none" w:sz="0" w:space="0" w:color="auto"/>
          </w:divBdr>
        </w:div>
        <w:div w:id="2034728318">
          <w:marLeft w:val="0"/>
          <w:marRight w:val="0"/>
          <w:marTop w:val="0"/>
          <w:marBottom w:val="101"/>
          <w:divBdr>
            <w:top w:val="none" w:sz="0" w:space="0" w:color="auto"/>
            <w:left w:val="none" w:sz="0" w:space="0" w:color="auto"/>
            <w:bottom w:val="none" w:sz="0" w:space="0" w:color="auto"/>
            <w:right w:val="none" w:sz="0" w:space="0" w:color="auto"/>
          </w:divBdr>
        </w:div>
        <w:div w:id="1982078938">
          <w:marLeft w:val="1008"/>
          <w:marRight w:val="720"/>
          <w:marTop w:val="0"/>
          <w:marBottom w:val="101"/>
          <w:divBdr>
            <w:top w:val="none" w:sz="0" w:space="0" w:color="auto"/>
            <w:left w:val="none" w:sz="0" w:space="0" w:color="auto"/>
            <w:bottom w:val="none" w:sz="0" w:space="0" w:color="auto"/>
            <w:right w:val="none" w:sz="0" w:space="0" w:color="auto"/>
          </w:divBdr>
        </w:div>
        <w:div w:id="1931739174">
          <w:marLeft w:val="0"/>
          <w:marRight w:val="0"/>
          <w:marTop w:val="0"/>
          <w:marBottom w:val="101"/>
          <w:divBdr>
            <w:top w:val="none" w:sz="0" w:space="0" w:color="auto"/>
            <w:left w:val="none" w:sz="0" w:space="0" w:color="auto"/>
            <w:bottom w:val="none" w:sz="0" w:space="0" w:color="auto"/>
            <w:right w:val="none" w:sz="0" w:space="0" w:color="auto"/>
          </w:divBdr>
        </w:div>
        <w:div w:id="1099595484">
          <w:marLeft w:val="0"/>
          <w:marRight w:val="0"/>
          <w:marTop w:val="0"/>
          <w:marBottom w:val="101"/>
          <w:divBdr>
            <w:top w:val="none" w:sz="0" w:space="0" w:color="auto"/>
            <w:left w:val="none" w:sz="0" w:space="0" w:color="auto"/>
            <w:bottom w:val="none" w:sz="0" w:space="0" w:color="auto"/>
            <w:right w:val="none" w:sz="0" w:space="0" w:color="auto"/>
          </w:divBdr>
        </w:div>
        <w:div w:id="1950307470">
          <w:marLeft w:val="720"/>
          <w:marRight w:val="0"/>
          <w:marTop w:val="0"/>
          <w:marBottom w:val="101"/>
          <w:divBdr>
            <w:top w:val="none" w:sz="0" w:space="0" w:color="auto"/>
            <w:left w:val="none" w:sz="0" w:space="0" w:color="auto"/>
            <w:bottom w:val="none" w:sz="0" w:space="0" w:color="auto"/>
            <w:right w:val="none" w:sz="0" w:space="0" w:color="auto"/>
          </w:divBdr>
        </w:div>
        <w:div w:id="1603731487">
          <w:marLeft w:val="720"/>
          <w:marRight w:val="0"/>
          <w:marTop w:val="0"/>
          <w:marBottom w:val="101"/>
          <w:divBdr>
            <w:top w:val="none" w:sz="0" w:space="0" w:color="auto"/>
            <w:left w:val="none" w:sz="0" w:space="0" w:color="auto"/>
            <w:bottom w:val="none" w:sz="0" w:space="0" w:color="auto"/>
            <w:right w:val="none" w:sz="0" w:space="0" w:color="auto"/>
          </w:divBdr>
        </w:div>
        <w:div w:id="515465445">
          <w:marLeft w:val="720"/>
          <w:marRight w:val="0"/>
          <w:marTop w:val="0"/>
          <w:marBottom w:val="101"/>
          <w:divBdr>
            <w:top w:val="none" w:sz="0" w:space="0" w:color="auto"/>
            <w:left w:val="none" w:sz="0" w:space="0" w:color="auto"/>
            <w:bottom w:val="none" w:sz="0" w:space="0" w:color="auto"/>
            <w:right w:val="none" w:sz="0" w:space="0" w:color="auto"/>
          </w:divBdr>
        </w:div>
        <w:div w:id="1413090836">
          <w:marLeft w:val="720"/>
          <w:marRight w:val="0"/>
          <w:marTop w:val="0"/>
          <w:marBottom w:val="101"/>
          <w:divBdr>
            <w:top w:val="none" w:sz="0" w:space="0" w:color="auto"/>
            <w:left w:val="none" w:sz="0" w:space="0" w:color="auto"/>
            <w:bottom w:val="none" w:sz="0" w:space="0" w:color="auto"/>
            <w:right w:val="none" w:sz="0" w:space="0" w:color="auto"/>
          </w:divBdr>
        </w:div>
        <w:div w:id="257761949">
          <w:marLeft w:val="720"/>
          <w:marRight w:val="0"/>
          <w:marTop w:val="0"/>
          <w:marBottom w:val="101"/>
          <w:divBdr>
            <w:top w:val="none" w:sz="0" w:space="0" w:color="auto"/>
            <w:left w:val="none" w:sz="0" w:space="0" w:color="auto"/>
            <w:bottom w:val="none" w:sz="0" w:space="0" w:color="auto"/>
            <w:right w:val="none" w:sz="0" w:space="0" w:color="auto"/>
          </w:divBdr>
        </w:div>
        <w:div w:id="1730878327">
          <w:marLeft w:val="720"/>
          <w:marRight w:val="0"/>
          <w:marTop w:val="0"/>
          <w:marBottom w:val="101"/>
          <w:divBdr>
            <w:top w:val="none" w:sz="0" w:space="0" w:color="auto"/>
            <w:left w:val="none" w:sz="0" w:space="0" w:color="auto"/>
            <w:bottom w:val="none" w:sz="0" w:space="0" w:color="auto"/>
            <w:right w:val="none" w:sz="0" w:space="0" w:color="auto"/>
          </w:divBdr>
        </w:div>
        <w:div w:id="712536263">
          <w:marLeft w:val="720"/>
          <w:marRight w:val="0"/>
          <w:marTop w:val="0"/>
          <w:marBottom w:val="101"/>
          <w:divBdr>
            <w:top w:val="none" w:sz="0" w:space="0" w:color="auto"/>
            <w:left w:val="none" w:sz="0" w:space="0" w:color="auto"/>
            <w:bottom w:val="none" w:sz="0" w:space="0" w:color="auto"/>
            <w:right w:val="none" w:sz="0" w:space="0" w:color="auto"/>
          </w:divBdr>
        </w:div>
        <w:div w:id="576087128">
          <w:marLeft w:val="0"/>
          <w:marRight w:val="0"/>
          <w:marTop w:val="0"/>
          <w:marBottom w:val="101"/>
          <w:divBdr>
            <w:top w:val="none" w:sz="0" w:space="0" w:color="auto"/>
            <w:left w:val="none" w:sz="0" w:space="0" w:color="auto"/>
            <w:bottom w:val="none" w:sz="0" w:space="0" w:color="auto"/>
            <w:right w:val="none" w:sz="0" w:space="0" w:color="auto"/>
          </w:divBdr>
        </w:div>
        <w:div w:id="841507459">
          <w:marLeft w:val="0"/>
          <w:marRight w:val="0"/>
          <w:marTop w:val="0"/>
          <w:marBottom w:val="101"/>
          <w:divBdr>
            <w:top w:val="none" w:sz="0" w:space="0" w:color="auto"/>
            <w:left w:val="none" w:sz="0" w:space="0" w:color="auto"/>
            <w:bottom w:val="none" w:sz="0" w:space="0" w:color="auto"/>
            <w:right w:val="none" w:sz="0" w:space="0" w:color="auto"/>
          </w:divBdr>
        </w:div>
        <w:div w:id="1418357496">
          <w:marLeft w:val="0"/>
          <w:marRight w:val="0"/>
          <w:marTop w:val="0"/>
          <w:marBottom w:val="101"/>
          <w:divBdr>
            <w:top w:val="none" w:sz="0" w:space="0" w:color="auto"/>
            <w:left w:val="none" w:sz="0" w:space="0" w:color="auto"/>
            <w:bottom w:val="none" w:sz="0" w:space="0" w:color="auto"/>
            <w:right w:val="none" w:sz="0" w:space="0" w:color="auto"/>
          </w:divBdr>
        </w:div>
        <w:div w:id="1182819512">
          <w:marLeft w:val="0"/>
          <w:marRight w:val="0"/>
          <w:marTop w:val="0"/>
          <w:marBottom w:val="101"/>
          <w:divBdr>
            <w:top w:val="none" w:sz="0" w:space="0" w:color="auto"/>
            <w:left w:val="none" w:sz="0" w:space="0" w:color="auto"/>
            <w:bottom w:val="none" w:sz="0" w:space="0" w:color="auto"/>
            <w:right w:val="none" w:sz="0" w:space="0" w:color="auto"/>
          </w:divBdr>
        </w:div>
        <w:div w:id="189416539">
          <w:marLeft w:val="0"/>
          <w:marRight w:val="0"/>
          <w:marTop w:val="101"/>
          <w:marBottom w:val="101"/>
          <w:divBdr>
            <w:top w:val="none" w:sz="0" w:space="0" w:color="auto"/>
            <w:left w:val="none" w:sz="0" w:space="0" w:color="auto"/>
            <w:bottom w:val="none" w:sz="0" w:space="0" w:color="auto"/>
            <w:right w:val="none" w:sz="0" w:space="0" w:color="auto"/>
          </w:divBdr>
        </w:div>
        <w:div w:id="2136630693">
          <w:marLeft w:val="0"/>
          <w:marRight w:val="0"/>
          <w:marTop w:val="0"/>
          <w:marBottom w:val="101"/>
          <w:divBdr>
            <w:top w:val="none" w:sz="0" w:space="0" w:color="auto"/>
            <w:left w:val="none" w:sz="0" w:space="0" w:color="auto"/>
            <w:bottom w:val="none" w:sz="0" w:space="0" w:color="auto"/>
            <w:right w:val="none" w:sz="0" w:space="0" w:color="auto"/>
          </w:divBdr>
        </w:div>
        <w:div w:id="57899811">
          <w:marLeft w:val="0"/>
          <w:marRight w:val="0"/>
          <w:marTop w:val="101"/>
          <w:marBottom w:val="101"/>
          <w:divBdr>
            <w:top w:val="none" w:sz="0" w:space="0" w:color="auto"/>
            <w:left w:val="none" w:sz="0" w:space="0" w:color="auto"/>
            <w:bottom w:val="none" w:sz="0" w:space="0" w:color="auto"/>
            <w:right w:val="none" w:sz="0" w:space="0" w:color="auto"/>
          </w:divBdr>
        </w:div>
        <w:div w:id="557012576">
          <w:marLeft w:val="0"/>
          <w:marRight w:val="0"/>
          <w:marTop w:val="0"/>
          <w:marBottom w:val="101"/>
          <w:divBdr>
            <w:top w:val="none" w:sz="0" w:space="0" w:color="auto"/>
            <w:left w:val="none" w:sz="0" w:space="0" w:color="auto"/>
            <w:bottom w:val="none" w:sz="0" w:space="0" w:color="auto"/>
            <w:right w:val="none" w:sz="0" w:space="0" w:color="auto"/>
          </w:divBdr>
        </w:div>
        <w:div w:id="1070887332">
          <w:marLeft w:val="0"/>
          <w:marRight w:val="0"/>
          <w:marTop w:val="0"/>
          <w:marBottom w:val="101"/>
          <w:divBdr>
            <w:top w:val="none" w:sz="0" w:space="0" w:color="auto"/>
            <w:left w:val="none" w:sz="0" w:space="0" w:color="auto"/>
            <w:bottom w:val="none" w:sz="0" w:space="0" w:color="auto"/>
            <w:right w:val="none" w:sz="0" w:space="0" w:color="auto"/>
          </w:divBdr>
        </w:div>
        <w:div w:id="1079600509">
          <w:marLeft w:val="0"/>
          <w:marRight w:val="0"/>
          <w:marTop w:val="0"/>
          <w:marBottom w:val="101"/>
          <w:divBdr>
            <w:top w:val="none" w:sz="0" w:space="0" w:color="auto"/>
            <w:left w:val="none" w:sz="0" w:space="0" w:color="auto"/>
            <w:bottom w:val="none" w:sz="0" w:space="0" w:color="auto"/>
            <w:right w:val="none" w:sz="0" w:space="0" w:color="auto"/>
          </w:divBdr>
        </w:div>
        <w:div w:id="55589024">
          <w:marLeft w:val="0"/>
          <w:marRight w:val="0"/>
          <w:marTop w:val="0"/>
          <w:marBottom w:val="101"/>
          <w:divBdr>
            <w:top w:val="none" w:sz="0" w:space="0" w:color="auto"/>
            <w:left w:val="none" w:sz="0" w:space="0" w:color="auto"/>
            <w:bottom w:val="none" w:sz="0" w:space="0" w:color="auto"/>
            <w:right w:val="none" w:sz="0" w:space="0" w:color="auto"/>
          </w:divBdr>
        </w:div>
        <w:div w:id="2035572934">
          <w:marLeft w:val="0"/>
          <w:marRight w:val="0"/>
          <w:marTop w:val="0"/>
          <w:marBottom w:val="101"/>
          <w:divBdr>
            <w:top w:val="none" w:sz="0" w:space="0" w:color="auto"/>
            <w:left w:val="none" w:sz="0" w:space="0" w:color="auto"/>
            <w:bottom w:val="none" w:sz="0" w:space="0" w:color="auto"/>
            <w:right w:val="none" w:sz="0" w:space="0" w:color="auto"/>
          </w:divBdr>
        </w:div>
        <w:div w:id="903368248">
          <w:marLeft w:val="0"/>
          <w:marRight w:val="0"/>
          <w:marTop w:val="0"/>
          <w:marBottom w:val="101"/>
          <w:divBdr>
            <w:top w:val="none" w:sz="0" w:space="0" w:color="auto"/>
            <w:left w:val="none" w:sz="0" w:space="0" w:color="auto"/>
            <w:bottom w:val="none" w:sz="0" w:space="0" w:color="auto"/>
            <w:right w:val="none" w:sz="0" w:space="0" w:color="auto"/>
          </w:divBdr>
        </w:div>
        <w:div w:id="1313214366">
          <w:marLeft w:val="0"/>
          <w:marRight w:val="0"/>
          <w:marTop w:val="0"/>
          <w:marBottom w:val="101"/>
          <w:divBdr>
            <w:top w:val="none" w:sz="0" w:space="0" w:color="auto"/>
            <w:left w:val="none" w:sz="0" w:space="0" w:color="auto"/>
            <w:bottom w:val="none" w:sz="0" w:space="0" w:color="auto"/>
            <w:right w:val="none" w:sz="0" w:space="0" w:color="auto"/>
          </w:divBdr>
        </w:div>
        <w:div w:id="908229614">
          <w:marLeft w:val="0"/>
          <w:marRight w:val="0"/>
          <w:marTop w:val="0"/>
          <w:marBottom w:val="101"/>
          <w:divBdr>
            <w:top w:val="none" w:sz="0" w:space="0" w:color="auto"/>
            <w:left w:val="none" w:sz="0" w:space="0" w:color="auto"/>
            <w:bottom w:val="none" w:sz="0" w:space="0" w:color="auto"/>
            <w:right w:val="none" w:sz="0" w:space="0" w:color="auto"/>
          </w:divBdr>
        </w:div>
        <w:div w:id="3086370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2511</Words>
  <Characters>13811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2021-10-12T13:38:00Z</dcterms:created>
  <dcterms:modified xsi:type="dcterms:W3CDTF">2021-10-12T13:40:00Z</dcterms:modified>
</cp:coreProperties>
</file>