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85" w:rsidRPr="00841D9A" w:rsidRDefault="00A87B85" w:rsidP="00A87B85">
      <w:pPr>
        <w:jc w:val="center"/>
        <w:rPr>
          <w:rFonts w:ascii="Verdana" w:eastAsia="Verdana" w:hAnsi="Verdana" w:cs="Verdana"/>
          <w:b/>
          <w:color w:val="0000FF"/>
          <w:sz w:val="24"/>
          <w:szCs w:val="24"/>
        </w:rPr>
      </w:pPr>
      <w:r w:rsidRPr="00A87B85">
        <w:rPr>
          <w:rFonts w:ascii="Verdana" w:eastAsia="Verdana" w:hAnsi="Verdana" w:cs="Verdana"/>
          <w:b/>
          <w:color w:val="0000FF"/>
          <w:sz w:val="24"/>
          <w:szCs w:val="24"/>
        </w:rPr>
        <w:t>ACUERDO G/JGA/19/2023 por el que se da a conocer la adscripción del Magistrado José Antonio Rodríguez Martínez a la Primera Ponencia de la Sala Regional de Hidalgo y Auxiliar.</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02 de junio de 2023</w:t>
      </w:r>
      <w:r w:rsidRPr="0099730F">
        <w:rPr>
          <w:rFonts w:ascii="Verdana" w:eastAsia="Verdana" w:hAnsi="Verdana" w:cs="Verdana"/>
          <w:b/>
          <w:color w:val="0000FF"/>
          <w:sz w:val="24"/>
          <w:szCs w:val="24"/>
        </w:rPr>
        <w:t>)</w:t>
      </w:r>
      <w:bookmarkEnd w:id="0"/>
    </w:p>
    <w:p w:rsidR="003623F1" w:rsidRDefault="00A87B85" w:rsidP="00A87B85">
      <w:pPr>
        <w:jc w:val="both"/>
        <w:rPr>
          <w:rFonts w:ascii="Arial" w:hAnsi="Arial" w:cs="Arial"/>
          <w:b/>
          <w:color w:val="2F2F2F"/>
          <w:sz w:val="18"/>
          <w:szCs w:val="18"/>
          <w:shd w:val="clear" w:color="auto" w:fill="FFFFFF"/>
        </w:rPr>
      </w:pPr>
      <w:r w:rsidRPr="00A87B85">
        <w:rPr>
          <w:rFonts w:ascii="Arial" w:hAnsi="Arial" w:cs="Arial"/>
          <w:b/>
          <w:color w:val="2F2F2F"/>
          <w:sz w:val="18"/>
          <w:szCs w:val="18"/>
          <w:shd w:val="clear" w:color="auto" w:fill="FFFFFF"/>
        </w:rPr>
        <w:t>Al margen un sello con el Escudo Nacional, que dice: Estados Unidos Mexicanos.- Tribunal Federal de Justicia Administrativa.- Junta de Gobierno y Administración.</w:t>
      </w:r>
    </w:p>
    <w:p w:rsidR="00A87B85" w:rsidRPr="00A87B85" w:rsidRDefault="00A87B85" w:rsidP="00A87B8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87B85">
        <w:rPr>
          <w:rFonts w:ascii="Times" w:eastAsia="Times New Roman" w:hAnsi="Times" w:cs="Times"/>
          <w:b/>
          <w:bCs/>
          <w:color w:val="2F2F2F"/>
          <w:sz w:val="18"/>
          <w:szCs w:val="18"/>
          <w:lang w:eastAsia="es-MX"/>
        </w:rPr>
        <w:t>ACUERDO G/JGA/19/2023</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6"/>
          <w:szCs w:val="16"/>
          <w:lang w:eastAsia="es-MX"/>
        </w:rPr>
      </w:pPr>
      <w:r w:rsidRPr="00A87B85">
        <w:rPr>
          <w:rFonts w:ascii="Arial" w:eastAsia="Times New Roman" w:hAnsi="Arial" w:cs="Arial"/>
          <w:color w:val="2F2F2F"/>
          <w:sz w:val="16"/>
          <w:szCs w:val="16"/>
          <w:lang w:eastAsia="es-MX"/>
        </w:rPr>
        <w:t>ADSCRIPCIÓN DEL MAGISTRADO JOSÉ ANTONIO RODRÍGUEZ MARTÍNEZ A LA PRIMERA PONENCIA DE LA SALA REGIONAL DE HIDALGO Y AUXILIAR</w:t>
      </w:r>
    </w:p>
    <w:p w:rsidR="00A87B85" w:rsidRPr="00A87B85" w:rsidRDefault="00A87B85" w:rsidP="00A87B85">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A87B85">
        <w:rPr>
          <w:rFonts w:ascii="Times" w:eastAsia="Times New Roman" w:hAnsi="Times" w:cs="Times"/>
          <w:b/>
          <w:bCs/>
          <w:color w:val="2F2F2F"/>
          <w:sz w:val="18"/>
          <w:szCs w:val="18"/>
          <w:lang w:eastAsia="es-MX"/>
        </w:rPr>
        <w:t>CONSIDERANDO</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1. </w:t>
      </w:r>
      <w:r w:rsidRPr="00A87B85">
        <w:rPr>
          <w:rFonts w:ascii="Arial" w:eastAsia="Times New Roman" w:hAnsi="Arial" w:cs="Arial"/>
          <w:color w:val="2F2F2F"/>
          <w:sz w:val="18"/>
          <w:szCs w:val="18"/>
          <w:lang w:eastAsia="es-MX"/>
        </w:rPr>
        <w:t>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2. </w:t>
      </w:r>
      <w:r w:rsidRPr="00A87B85">
        <w:rPr>
          <w:rFonts w:ascii="Arial" w:eastAsia="Times New Roman" w:hAnsi="Arial" w:cs="Arial"/>
          <w:color w:val="2F2F2F"/>
          <w:sz w:val="18"/>
          <w:szCs w:val="18"/>
          <w:lang w:eastAsia="es-MX"/>
        </w:rPr>
        <w:t>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3. </w:t>
      </w:r>
      <w:r w:rsidRPr="00A87B85">
        <w:rPr>
          <w:rFonts w:ascii="Arial" w:eastAsia="Times New Roman" w:hAnsi="Arial" w:cs="Arial"/>
          <w:color w:val="2F2F2F"/>
          <w:sz w:val="18"/>
          <w:szCs w:val="18"/>
          <w:lang w:eastAsia="es-MX"/>
        </w:rPr>
        <w:t>Que el artículo 21 de la Ley Orgánica vigente de este Órgano Jurisdiccional, así como el primer párrafo del diverso 28 del Reglamento Interior del Tribunal Federal de Justicia Administrativa, establecen que la Junta de Gobierno y Administración tiene a su cargo la administración, vigilancia, disciplina y carrera jurisdiccional, contando con autonomía técnica y de gestión para el adecuado cumplimiento de sus funciones.</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4. </w:t>
      </w:r>
      <w:r w:rsidRPr="00A87B85">
        <w:rPr>
          <w:rFonts w:ascii="Arial" w:eastAsia="Times New Roman" w:hAnsi="Arial" w:cs="Arial"/>
          <w:color w:val="2F2F2F"/>
          <w:sz w:val="18"/>
          <w:szCs w:val="18"/>
          <w:lang w:eastAsia="es-MX"/>
        </w:rPr>
        <w:t>Que el artículo 29, primer párrafo del Reglamento Interior de este Órgano Jurisdiccional establece que los Acuerdos que apruebe y emita la Junta de Gobierno y Administración son instrumentos normativos de carácter obligatorio y de observancia general en el Tribunal.</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5. </w:t>
      </w:r>
      <w:r w:rsidRPr="00A87B85">
        <w:rPr>
          <w:rFonts w:ascii="Arial" w:eastAsia="Times New Roman" w:hAnsi="Arial" w:cs="Arial"/>
          <w:color w:val="2F2F2F"/>
          <w:sz w:val="18"/>
          <w:szCs w:val="18"/>
          <w:lang w:eastAsia="es-MX"/>
        </w:rPr>
        <w:t>Que las fracciones II, VI y XXXIX del artículo 23 de la Ley Orgánica vigente de este Tribunal, facultan a la Junta de Gobierno y Administración para expedir los acuerdos necesarios para el buen funcionamiento del Tribunal; adscribir a las Salas Regionales ordinarias, auxiliares, especializadas o mixtas a los Magistrados Regionales; así como resolver los demás asuntos que señalen las disposiciones aplicables.</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6. </w:t>
      </w:r>
      <w:r w:rsidRPr="00A87B85">
        <w:rPr>
          <w:rFonts w:ascii="Arial" w:eastAsia="Times New Roman" w:hAnsi="Arial" w:cs="Arial"/>
          <w:color w:val="2F2F2F"/>
          <w:sz w:val="18"/>
          <w:szCs w:val="18"/>
          <w:lang w:eastAsia="es-MX"/>
        </w:rPr>
        <w:t>Que en sesión de fecha 27 de junio de 2017, la Junta de Gobierno y Administración aprobó el Acuerdo </w:t>
      </w:r>
      <w:r w:rsidRPr="00A87B85">
        <w:rPr>
          <w:rFonts w:ascii="Arial" w:eastAsia="Times New Roman" w:hAnsi="Arial" w:cs="Arial"/>
          <w:b/>
          <w:bCs/>
          <w:color w:val="2F2F2F"/>
          <w:sz w:val="18"/>
          <w:szCs w:val="18"/>
          <w:lang w:eastAsia="es-MX"/>
        </w:rPr>
        <w:t>G/JGA/55/2017</w:t>
      </w:r>
      <w:r w:rsidRPr="00A87B85">
        <w:rPr>
          <w:rFonts w:ascii="Arial" w:eastAsia="Times New Roman" w:hAnsi="Arial" w:cs="Arial"/>
          <w:color w:val="2F2F2F"/>
          <w:sz w:val="18"/>
          <w:szCs w:val="18"/>
          <w:lang w:eastAsia="es-MX"/>
        </w:rPr>
        <w:t>, mediante el cual se adscribió al Magistrado José Antonio Rodríguez Martínez, a la Segunda Ponencia de la entonces Sala Regional de Hidalgo.</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7. </w:t>
      </w:r>
      <w:r w:rsidRPr="00A87B85">
        <w:rPr>
          <w:rFonts w:ascii="Arial" w:eastAsia="Times New Roman" w:hAnsi="Arial" w:cs="Arial"/>
          <w:color w:val="2F2F2F"/>
          <w:sz w:val="18"/>
          <w:szCs w:val="18"/>
          <w:lang w:eastAsia="es-MX"/>
        </w:rPr>
        <w:t>Que por Acuerdo </w:t>
      </w:r>
      <w:r w:rsidRPr="00A87B85">
        <w:rPr>
          <w:rFonts w:ascii="Arial" w:eastAsia="Times New Roman" w:hAnsi="Arial" w:cs="Arial"/>
          <w:b/>
          <w:bCs/>
          <w:color w:val="2F2F2F"/>
          <w:sz w:val="18"/>
          <w:szCs w:val="18"/>
          <w:lang w:eastAsia="es-MX"/>
        </w:rPr>
        <w:t>G/JGA/38/2021</w:t>
      </w:r>
      <w:r w:rsidRPr="00A87B85">
        <w:rPr>
          <w:rFonts w:ascii="Arial" w:eastAsia="Times New Roman" w:hAnsi="Arial" w:cs="Arial"/>
          <w:color w:val="2F2F2F"/>
          <w:sz w:val="18"/>
          <w:szCs w:val="18"/>
          <w:lang w:eastAsia="es-MX"/>
        </w:rPr>
        <w:t xml:space="preserve">, aprobado por la Junta de Gobierno y Administración en sesión ordinaria de fecha 02 de septiembre de 2021, se autorizó que el Licenciado Alejandro Granados </w:t>
      </w:r>
      <w:proofErr w:type="spellStart"/>
      <w:r w:rsidRPr="00A87B85">
        <w:rPr>
          <w:rFonts w:ascii="Arial" w:eastAsia="Times New Roman" w:hAnsi="Arial" w:cs="Arial"/>
          <w:color w:val="2F2F2F"/>
          <w:sz w:val="18"/>
          <w:szCs w:val="18"/>
          <w:lang w:eastAsia="es-MX"/>
        </w:rPr>
        <w:t>Escoffié</w:t>
      </w:r>
      <w:proofErr w:type="spellEnd"/>
      <w:r w:rsidRPr="00A87B85">
        <w:rPr>
          <w:rFonts w:ascii="Arial" w:eastAsia="Times New Roman" w:hAnsi="Arial" w:cs="Arial"/>
          <w:color w:val="2F2F2F"/>
          <w:sz w:val="18"/>
          <w:szCs w:val="18"/>
          <w:lang w:eastAsia="es-MX"/>
        </w:rPr>
        <w:t>, Primer Secretario de Acuerdos de la Primera Ponencia de la Sala Regional de Hidalgo y Auxiliar, supliera la falta de Magistrado Titular en la Ponencia de adscripción, en atención a que concluyeron los efectos del nombramiento del Magistrado José Antonio Rodríguez Martínez.</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8. </w:t>
      </w:r>
      <w:r w:rsidRPr="00A87B85">
        <w:rPr>
          <w:rFonts w:ascii="Arial" w:eastAsia="Times New Roman" w:hAnsi="Arial" w:cs="Arial"/>
          <w:color w:val="2F2F2F"/>
          <w:sz w:val="18"/>
          <w:szCs w:val="18"/>
          <w:lang w:eastAsia="es-MX"/>
        </w:rPr>
        <w:t>Que dadas las necesidades del servicio, y en cumplimiento a la resolución emitida por el Tercer Tribunal Colegiado del Vigésimo Noveno Circuito dentro del recurso de revisión en materia administrativa 95/2022, mediante Acuerdo </w:t>
      </w:r>
      <w:r w:rsidRPr="00A87B85">
        <w:rPr>
          <w:rFonts w:ascii="Arial" w:eastAsia="Times New Roman" w:hAnsi="Arial" w:cs="Arial"/>
          <w:b/>
          <w:bCs/>
          <w:color w:val="2F2F2F"/>
          <w:sz w:val="18"/>
          <w:szCs w:val="18"/>
          <w:lang w:eastAsia="es-MX"/>
        </w:rPr>
        <w:t>G/JGA/15/2023</w:t>
      </w:r>
      <w:r w:rsidRPr="00A87B85">
        <w:rPr>
          <w:rFonts w:ascii="Arial" w:eastAsia="Times New Roman" w:hAnsi="Arial" w:cs="Arial"/>
          <w:color w:val="2F2F2F"/>
          <w:sz w:val="18"/>
          <w:szCs w:val="18"/>
          <w:lang w:eastAsia="es-MX"/>
        </w:rPr>
        <w:t> aprobado por la Junta de Gobierno y Administración en sesión de fecha 27 de abril de 2023, se comisionó temporalmente al Magistrado José Antonio Rodríguez Martínez a la Primera Ponencia de la Segunda Sala Regional del Noroeste III.</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9. </w:t>
      </w:r>
      <w:r w:rsidRPr="00A87B85">
        <w:rPr>
          <w:rFonts w:ascii="Arial" w:eastAsia="Times New Roman" w:hAnsi="Arial" w:cs="Arial"/>
          <w:color w:val="2F2F2F"/>
          <w:sz w:val="18"/>
          <w:szCs w:val="18"/>
          <w:lang w:eastAsia="es-MX"/>
        </w:rPr>
        <w:t>Que en el Acuerdo señalado en el considerando anterior, también se determinó que una vez concluida la referida comisión, la Licenciada Beatriz Celina Rubio Esquer, Primera Secretaria de Acuerdos de la Primera Ponencia de la Segunda Sala Regional del Noroeste III, continuaría ejerciendo funciones de Magistrada por Ministerio de Ley en la Ponencia de su adscripción, de conformidad con lo previsto en el diverso </w:t>
      </w:r>
      <w:r w:rsidRPr="00A87B85">
        <w:rPr>
          <w:rFonts w:ascii="Arial" w:eastAsia="Times New Roman" w:hAnsi="Arial" w:cs="Arial"/>
          <w:b/>
          <w:bCs/>
          <w:color w:val="2F2F2F"/>
          <w:sz w:val="18"/>
          <w:szCs w:val="18"/>
          <w:lang w:eastAsia="es-MX"/>
        </w:rPr>
        <w:t>G/JGA/54/2020</w:t>
      </w:r>
      <w:r w:rsidRPr="00A87B85">
        <w:rPr>
          <w:rFonts w:ascii="Arial" w:eastAsia="Times New Roman" w:hAnsi="Arial" w:cs="Arial"/>
          <w:color w:val="2F2F2F"/>
          <w:sz w:val="18"/>
          <w:szCs w:val="18"/>
          <w:lang w:eastAsia="es-MX"/>
        </w:rPr>
        <w:t>.</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10. </w:t>
      </w:r>
      <w:r w:rsidRPr="00A87B85">
        <w:rPr>
          <w:rFonts w:ascii="Arial" w:eastAsia="Times New Roman" w:hAnsi="Arial" w:cs="Arial"/>
          <w:color w:val="2F2F2F"/>
          <w:sz w:val="18"/>
          <w:szCs w:val="18"/>
          <w:lang w:eastAsia="es-MX"/>
        </w:rPr>
        <w:t>Que el próximo 31 de mayo de 2023 concluye la comisión establecida en el Acuerdo </w:t>
      </w:r>
      <w:r w:rsidRPr="00A87B85">
        <w:rPr>
          <w:rFonts w:ascii="Arial" w:eastAsia="Times New Roman" w:hAnsi="Arial" w:cs="Arial"/>
          <w:b/>
          <w:bCs/>
          <w:color w:val="2F2F2F"/>
          <w:sz w:val="18"/>
          <w:szCs w:val="18"/>
          <w:lang w:eastAsia="es-MX"/>
        </w:rPr>
        <w:t>G/JGA/15/2023</w:t>
      </w:r>
      <w:r w:rsidRPr="00A87B85">
        <w:rPr>
          <w:rFonts w:ascii="Arial" w:eastAsia="Times New Roman" w:hAnsi="Arial" w:cs="Arial"/>
          <w:color w:val="2F2F2F"/>
          <w:sz w:val="18"/>
          <w:szCs w:val="18"/>
          <w:lang w:eastAsia="es-MX"/>
        </w:rPr>
        <w:t>, por lo que la Junta de Gobierno y Administración estima necesario adscribir al Magistrado José Antonio Rodríguez Martínez, para su debido funcionamiento, en la Sala Regional de Hidalgo y Auxiliar.</w:t>
      </w:r>
    </w:p>
    <w:p w:rsidR="00A87B85" w:rsidRPr="00A87B85" w:rsidRDefault="00A87B85" w:rsidP="00A87B85">
      <w:pPr>
        <w:shd w:val="clear" w:color="auto" w:fill="FFFFFF"/>
        <w:spacing w:after="80"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color w:val="2F2F2F"/>
          <w:sz w:val="18"/>
          <w:szCs w:val="18"/>
          <w:lang w:eastAsia="es-MX"/>
        </w:rPr>
        <w:lastRenderedPageBreak/>
        <w:t>Consecuentemente, con fundamento en lo dispuesto por los artículos 17 y 73 fracción XXIX-H de la Constitución Política de los Estados </w:t>
      </w:r>
      <w:r w:rsidRPr="00A87B85">
        <w:rPr>
          <w:rFonts w:ascii="Arial" w:eastAsia="Times New Roman" w:hAnsi="Arial" w:cs="Arial"/>
          <w:color w:val="000000"/>
          <w:sz w:val="18"/>
          <w:szCs w:val="18"/>
          <w:lang w:eastAsia="es-MX"/>
        </w:rPr>
        <w:t>Unidos Mexicanos; 1 párrafos segundo y quinto, 21, 23, fracciones II, VI, y XXXIX, de la Ley Orgánica del Tribunal Federal de Justicia Administrativa; así como los diversos 28 y 29 </w:t>
      </w:r>
      <w:r w:rsidRPr="00A87B85">
        <w:rPr>
          <w:rFonts w:ascii="Arial" w:eastAsia="Times New Roman" w:hAnsi="Arial" w:cs="Arial"/>
          <w:color w:val="2F2F2F"/>
          <w:sz w:val="18"/>
          <w:szCs w:val="18"/>
          <w:lang w:eastAsia="es-MX"/>
        </w:rPr>
        <w:t>del Reglamento Interior del Tribunal Federal de Justicia Administrativa; la Junta de Gobierno y Administración emite el siguiente:</w:t>
      </w:r>
    </w:p>
    <w:p w:rsidR="00A87B85" w:rsidRPr="00A87B85" w:rsidRDefault="00A87B85" w:rsidP="00A87B8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87B85">
        <w:rPr>
          <w:rFonts w:ascii="Times" w:eastAsia="Times New Roman" w:hAnsi="Times" w:cs="Times"/>
          <w:b/>
          <w:bCs/>
          <w:color w:val="2F2F2F"/>
          <w:sz w:val="18"/>
          <w:szCs w:val="18"/>
          <w:lang w:eastAsia="es-MX"/>
        </w:rPr>
        <w:t>ACUERDO</w:t>
      </w:r>
    </w:p>
    <w:p w:rsidR="00A87B85" w:rsidRPr="00A87B85" w:rsidRDefault="00A87B85" w:rsidP="00A87B85">
      <w:pPr>
        <w:shd w:val="clear" w:color="auto" w:fill="FFFFFF"/>
        <w:spacing w:after="101"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Primero. </w:t>
      </w:r>
      <w:r w:rsidRPr="00A87B85">
        <w:rPr>
          <w:rFonts w:ascii="Arial" w:eastAsia="Times New Roman" w:hAnsi="Arial" w:cs="Arial"/>
          <w:color w:val="2F2F2F"/>
          <w:sz w:val="18"/>
          <w:szCs w:val="18"/>
          <w:lang w:eastAsia="es-MX"/>
        </w:rPr>
        <w:t>Se adscribe al Magistrado José Antonio Rodríguez Martínez a la Primera Ponencia de la Sala Regional de Hidalgo y Auxiliar, con sede en la Ciudad de Pachuca, Estado de Hidalgo, </w:t>
      </w:r>
      <w:r w:rsidRPr="00A87B85">
        <w:rPr>
          <w:rFonts w:ascii="Arial" w:eastAsia="Times New Roman" w:hAnsi="Arial" w:cs="Arial"/>
          <w:b/>
          <w:bCs/>
          <w:color w:val="2F2F2F"/>
          <w:sz w:val="18"/>
          <w:szCs w:val="18"/>
          <w:lang w:eastAsia="es-MX"/>
        </w:rPr>
        <w:t>con efectos a partir del 01 de junio de 2023</w:t>
      </w:r>
      <w:r w:rsidRPr="00A87B85">
        <w:rPr>
          <w:rFonts w:ascii="Arial" w:eastAsia="Times New Roman" w:hAnsi="Arial" w:cs="Arial"/>
          <w:color w:val="2F2F2F"/>
          <w:sz w:val="18"/>
          <w:szCs w:val="18"/>
          <w:lang w:eastAsia="es-MX"/>
        </w:rPr>
        <w:t>; en consecuencia, la Lic. Beatriz Celina Rubio Esquer, Primera Secretaria de Acuerdos de la Primera Ponencia de la Sala Regional del Noroeste III en la Ciudad de Culiacán, Estado de Sinaloa, continuará en funciones de Magistrada por Ministerio de Ley en la Ponencia de su adscripción, conforme a lo señalado en el punto tercero del Acuerdo G/JGA/15/2023.</w:t>
      </w:r>
    </w:p>
    <w:p w:rsidR="00A87B85" w:rsidRPr="00A87B85" w:rsidRDefault="00A87B85" w:rsidP="00A87B85">
      <w:pPr>
        <w:shd w:val="clear" w:color="auto" w:fill="FFFFFF"/>
        <w:spacing w:after="101"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Segundo. </w:t>
      </w:r>
      <w:r w:rsidRPr="00A87B85">
        <w:rPr>
          <w:rFonts w:ascii="Arial" w:eastAsia="Times New Roman" w:hAnsi="Arial" w:cs="Arial"/>
          <w:color w:val="2F2F2F"/>
          <w:sz w:val="18"/>
          <w:szCs w:val="18"/>
          <w:lang w:eastAsia="es-MX"/>
        </w:rPr>
        <w:t>El Magistrado José Antonio Rodríguez Martínez, deberá hacer del conocimiento de las partes el presente Acuerdo en el primer proveído que dicte en cada uno de los asuntos de su competencia, y deberá colocar una copia del mismo en la ventanilla de la Oficialía de Partes y en lugares visibles al público en general en de la Sala Regional de Hidalgo y Auxiliar.</w:t>
      </w:r>
    </w:p>
    <w:p w:rsidR="00A87B85" w:rsidRPr="00A87B85" w:rsidRDefault="00A87B85" w:rsidP="00A87B85">
      <w:pPr>
        <w:shd w:val="clear" w:color="auto" w:fill="FFFFFF"/>
        <w:spacing w:after="101"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Tercero. </w:t>
      </w:r>
      <w:r w:rsidRPr="00A87B85">
        <w:rPr>
          <w:rFonts w:ascii="Arial" w:eastAsia="Times New Roman" w:hAnsi="Arial" w:cs="Arial"/>
          <w:color w:val="2F2F2F"/>
          <w:sz w:val="18"/>
          <w:szCs w:val="18"/>
          <w:lang w:eastAsia="es-MX"/>
        </w:rPr>
        <w:t xml:space="preserve">El Licenciado Alejandro Granados </w:t>
      </w:r>
      <w:proofErr w:type="spellStart"/>
      <w:r w:rsidRPr="00A87B85">
        <w:rPr>
          <w:rFonts w:ascii="Arial" w:eastAsia="Times New Roman" w:hAnsi="Arial" w:cs="Arial"/>
          <w:color w:val="2F2F2F"/>
          <w:sz w:val="18"/>
          <w:szCs w:val="18"/>
          <w:lang w:eastAsia="es-MX"/>
        </w:rPr>
        <w:t>Escoffié</w:t>
      </w:r>
      <w:proofErr w:type="spellEnd"/>
      <w:r w:rsidRPr="00A87B85">
        <w:rPr>
          <w:rFonts w:ascii="Arial" w:eastAsia="Times New Roman" w:hAnsi="Arial" w:cs="Arial"/>
          <w:color w:val="2F2F2F"/>
          <w:sz w:val="18"/>
          <w:szCs w:val="18"/>
          <w:lang w:eastAsia="es-MX"/>
        </w:rPr>
        <w:t xml:space="preserve"> deberá entregar la Ponencia de su actual adscripción conforme a lo señalado en el artículo 141 del Reglamento Interior vigente de este Tribunal.</w:t>
      </w:r>
    </w:p>
    <w:p w:rsidR="00A87B85" w:rsidRPr="00A87B85" w:rsidRDefault="00A87B85" w:rsidP="00A87B85">
      <w:pPr>
        <w:shd w:val="clear" w:color="auto" w:fill="FFFFFF"/>
        <w:spacing w:after="101"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Cuarto. </w:t>
      </w:r>
      <w:r w:rsidRPr="00A87B85">
        <w:rPr>
          <w:rFonts w:ascii="Arial" w:eastAsia="Times New Roman" w:hAnsi="Arial" w:cs="Arial"/>
          <w:color w:val="2F2F2F"/>
          <w:sz w:val="18"/>
          <w:szCs w:val="18"/>
          <w:lang w:eastAsia="es-MX"/>
        </w:rPr>
        <w:t>Notifíquese a las personas servidoras públicas señaladas en el presente Acuerdo; y otórguense las facilidades administrativas necesarias para su cumplimiento.</w:t>
      </w:r>
    </w:p>
    <w:p w:rsidR="00A87B85" w:rsidRPr="00A87B85" w:rsidRDefault="00A87B85" w:rsidP="00A87B85">
      <w:pPr>
        <w:shd w:val="clear" w:color="auto" w:fill="FFFFFF"/>
        <w:spacing w:after="101"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b/>
          <w:bCs/>
          <w:color w:val="2F2F2F"/>
          <w:sz w:val="18"/>
          <w:szCs w:val="18"/>
          <w:lang w:eastAsia="es-MX"/>
        </w:rPr>
        <w:t>Quinto. </w:t>
      </w:r>
      <w:r w:rsidRPr="00A87B85">
        <w:rPr>
          <w:rFonts w:ascii="Arial" w:eastAsia="Times New Roman" w:hAnsi="Arial" w:cs="Arial"/>
          <w:color w:val="2F2F2F"/>
          <w:sz w:val="18"/>
          <w:szCs w:val="18"/>
          <w:lang w:eastAsia="es-MX"/>
        </w:rPr>
        <w:t>Publíquese el presente Acuerdo en el Diario Oficial de la Federación y en la página web institucional del Tribunal Federal de Justicia Administrativa.</w:t>
      </w:r>
    </w:p>
    <w:p w:rsidR="00A87B85" w:rsidRPr="00A87B85" w:rsidRDefault="00A87B85" w:rsidP="00A87B85">
      <w:pPr>
        <w:shd w:val="clear" w:color="auto" w:fill="FFFFFF"/>
        <w:spacing w:after="101" w:line="240" w:lineRule="auto"/>
        <w:ind w:firstLine="288"/>
        <w:jc w:val="both"/>
        <w:rPr>
          <w:rFonts w:ascii="Arial" w:eastAsia="Times New Roman" w:hAnsi="Arial" w:cs="Arial"/>
          <w:color w:val="2F2F2F"/>
          <w:sz w:val="18"/>
          <w:szCs w:val="18"/>
          <w:lang w:eastAsia="es-MX"/>
        </w:rPr>
      </w:pPr>
      <w:r w:rsidRPr="00A87B85">
        <w:rPr>
          <w:rFonts w:ascii="Arial" w:eastAsia="Times New Roman" w:hAnsi="Arial" w:cs="Arial"/>
          <w:color w:val="2F2F2F"/>
          <w:sz w:val="18"/>
          <w:szCs w:val="18"/>
          <w:lang w:eastAsia="es-MX"/>
        </w:rPr>
        <w:t>Dictado en sesión ordinaria presencial de fecha 25 de mayo de 2023, por unanimidad de cinco votos a favor.- Firman el Magistrado</w:t>
      </w:r>
      <w:r w:rsidRPr="00A87B85">
        <w:rPr>
          <w:rFonts w:ascii="Arial" w:eastAsia="Times New Roman" w:hAnsi="Arial" w:cs="Arial"/>
          <w:b/>
          <w:bCs/>
          <w:color w:val="2F2F2F"/>
          <w:sz w:val="18"/>
          <w:szCs w:val="18"/>
          <w:lang w:eastAsia="es-MX"/>
        </w:rPr>
        <w:t xml:space="preserve"> Guillermo Valls </w:t>
      </w:r>
      <w:proofErr w:type="spellStart"/>
      <w:r w:rsidRPr="00A87B85">
        <w:rPr>
          <w:rFonts w:ascii="Arial" w:eastAsia="Times New Roman" w:hAnsi="Arial" w:cs="Arial"/>
          <w:b/>
          <w:bCs/>
          <w:color w:val="2F2F2F"/>
          <w:sz w:val="18"/>
          <w:szCs w:val="18"/>
          <w:lang w:eastAsia="es-MX"/>
        </w:rPr>
        <w:t>Esponda</w:t>
      </w:r>
      <w:proofErr w:type="spellEnd"/>
      <w:r w:rsidRPr="00A87B85">
        <w:rPr>
          <w:rFonts w:ascii="Arial" w:eastAsia="Times New Roman" w:hAnsi="Arial" w:cs="Arial"/>
          <w:color w:val="2F2F2F"/>
          <w:sz w:val="18"/>
          <w:szCs w:val="18"/>
          <w:lang w:eastAsia="es-MX"/>
        </w:rPr>
        <w:t>, Presidente de la Junta de Gobierno y Administración del Tribunal Federal de Justicia Administrativa, y la Licenciada</w:t>
      </w:r>
      <w:r w:rsidRPr="00A87B85">
        <w:rPr>
          <w:rFonts w:ascii="Arial" w:eastAsia="Times New Roman" w:hAnsi="Arial" w:cs="Arial"/>
          <w:b/>
          <w:bCs/>
          <w:color w:val="2F2F2F"/>
          <w:sz w:val="18"/>
          <w:szCs w:val="18"/>
          <w:lang w:eastAsia="es-MX"/>
        </w:rPr>
        <w:t xml:space="preserve"> Fátima </w:t>
      </w:r>
      <w:proofErr w:type="spellStart"/>
      <w:r w:rsidRPr="00A87B85">
        <w:rPr>
          <w:rFonts w:ascii="Arial" w:eastAsia="Times New Roman" w:hAnsi="Arial" w:cs="Arial"/>
          <w:b/>
          <w:bCs/>
          <w:color w:val="2F2F2F"/>
          <w:sz w:val="18"/>
          <w:szCs w:val="18"/>
          <w:lang w:eastAsia="es-MX"/>
        </w:rPr>
        <w:t>Gonzalez</w:t>
      </w:r>
      <w:proofErr w:type="spellEnd"/>
      <w:r w:rsidRPr="00A87B85">
        <w:rPr>
          <w:rFonts w:ascii="Arial" w:eastAsia="Times New Roman" w:hAnsi="Arial" w:cs="Arial"/>
          <w:b/>
          <w:bCs/>
          <w:color w:val="2F2F2F"/>
          <w:sz w:val="18"/>
          <w:szCs w:val="18"/>
          <w:lang w:eastAsia="es-MX"/>
        </w:rPr>
        <w:t xml:space="preserve"> Tello</w:t>
      </w:r>
      <w:r w:rsidRPr="00A87B85">
        <w:rPr>
          <w:rFonts w:ascii="Arial" w:eastAsia="Times New Roman" w:hAnsi="Arial" w:cs="Arial"/>
          <w:color w:val="2F2F2F"/>
          <w:sz w:val="18"/>
          <w:szCs w:val="18"/>
          <w:lang w:eastAsia="es-MX"/>
        </w:rPr>
        <w:t>, Secretaria Auxiliar de la Junta de Gobierno y Administración, con fundamento en los artículos 54, fracción XVI y 61, fracciones II, III y IV, de la Ley Orgánica del Tribunal Federal de Justicia Administrativa; así como los artículos 11, fracción I, 26, fracción IX, 99, fracciones VIII y XI, y 139 del Reglamento Interior del Tribunal Federal de Justicia Administrativa vigente.- Rúbricas.</w:t>
      </w:r>
    </w:p>
    <w:p w:rsidR="00A87B85" w:rsidRDefault="00A87B85" w:rsidP="00A87B85">
      <w:pPr>
        <w:jc w:val="both"/>
      </w:pPr>
    </w:p>
    <w:sectPr w:rsidR="00A87B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85"/>
    <w:rsid w:val="003623F1"/>
    <w:rsid w:val="00A87B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B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B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79235">
      <w:bodyDiv w:val="1"/>
      <w:marLeft w:val="0"/>
      <w:marRight w:val="0"/>
      <w:marTop w:val="0"/>
      <w:marBottom w:val="0"/>
      <w:divBdr>
        <w:top w:val="none" w:sz="0" w:space="0" w:color="auto"/>
        <w:left w:val="none" w:sz="0" w:space="0" w:color="auto"/>
        <w:bottom w:val="none" w:sz="0" w:space="0" w:color="auto"/>
        <w:right w:val="none" w:sz="0" w:space="0" w:color="auto"/>
      </w:divBdr>
      <w:divsChild>
        <w:div w:id="1461651555">
          <w:marLeft w:val="0"/>
          <w:marRight w:val="0"/>
          <w:marTop w:val="101"/>
          <w:marBottom w:val="101"/>
          <w:divBdr>
            <w:top w:val="none" w:sz="0" w:space="0" w:color="auto"/>
            <w:left w:val="none" w:sz="0" w:space="0" w:color="auto"/>
            <w:bottom w:val="none" w:sz="0" w:space="0" w:color="auto"/>
            <w:right w:val="none" w:sz="0" w:space="0" w:color="auto"/>
          </w:divBdr>
        </w:div>
        <w:div w:id="1016076401">
          <w:marLeft w:val="0"/>
          <w:marRight w:val="0"/>
          <w:marTop w:val="0"/>
          <w:marBottom w:val="80"/>
          <w:divBdr>
            <w:top w:val="none" w:sz="0" w:space="0" w:color="auto"/>
            <w:left w:val="none" w:sz="0" w:space="0" w:color="auto"/>
            <w:bottom w:val="none" w:sz="0" w:space="0" w:color="auto"/>
            <w:right w:val="none" w:sz="0" w:space="0" w:color="auto"/>
          </w:divBdr>
        </w:div>
        <w:div w:id="918827692">
          <w:marLeft w:val="0"/>
          <w:marRight w:val="0"/>
          <w:marTop w:val="101"/>
          <w:marBottom w:val="80"/>
          <w:divBdr>
            <w:top w:val="none" w:sz="0" w:space="0" w:color="auto"/>
            <w:left w:val="none" w:sz="0" w:space="0" w:color="auto"/>
            <w:bottom w:val="none" w:sz="0" w:space="0" w:color="auto"/>
            <w:right w:val="none" w:sz="0" w:space="0" w:color="auto"/>
          </w:divBdr>
        </w:div>
        <w:div w:id="362561130">
          <w:marLeft w:val="0"/>
          <w:marRight w:val="0"/>
          <w:marTop w:val="0"/>
          <w:marBottom w:val="80"/>
          <w:divBdr>
            <w:top w:val="none" w:sz="0" w:space="0" w:color="auto"/>
            <w:left w:val="none" w:sz="0" w:space="0" w:color="auto"/>
            <w:bottom w:val="none" w:sz="0" w:space="0" w:color="auto"/>
            <w:right w:val="none" w:sz="0" w:space="0" w:color="auto"/>
          </w:divBdr>
        </w:div>
        <w:div w:id="1888714211">
          <w:marLeft w:val="0"/>
          <w:marRight w:val="0"/>
          <w:marTop w:val="0"/>
          <w:marBottom w:val="80"/>
          <w:divBdr>
            <w:top w:val="none" w:sz="0" w:space="0" w:color="auto"/>
            <w:left w:val="none" w:sz="0" w:space="0" w:color="auto"/>
            <w:bottom w:val="none" w:sz="0" w:space="0" w:color="auto"/>
            <w:right w:val="none" w:sz="0" w:space="0" w:color="auto"/>
          </w:divBdr>
        </w:div>
        <w:div w:id="462040300">
          <w:marLeft w:val="0"/>
          <w:marRight w:val="0"/>
          <w:marTop w:val="0"/>
          <w:marBottom w:val="80"/>
          <w:divBdr>
            <w:top w:val="none" w:sz="0" w:space="0" w:color="auto"/>
            <w:left w:val="none" w:sz="0" w:space="0" w:color="auto"/>
            <w:bottom w:val="none" w:sz="0" w:space="0" w:color="auto"/>
            <w:right w:val="none" w:sz="0" w:space="0" w:color="auto"/>
          </w:divBdr>
        </w:div>
        <w:div w:id="2012640031">
          <w:marLeft w:val="0"/>
          <w:marRight w:val="0"/>
          <w:marTop w:val="0"/>
          <w:marBottom w:val="80"/>
          <w:divBdr>
            <w:top w:val="none" w:sz="0" w:space="0" w:color="auto"/>
            <w:left w:val="none" w:sz="0" w:space="0" w:color="auto"/>
            <w:bottom w:val="none" w:sz="0" w:space="0" w:color="auto"/>
            <w:right w:val="none" w:sz="0" w:space="0" w:color="auto"/>
          </w:divBdr>
        </w:div>
        <w:div w:id="532966524">
          <w:marLeft w:val="0"/>
          <w:marRight w:val="0"/>
          <w:marTop w:val="0"/>
          <w:marBottom w:val="80"/>
          <w:divBdr>
            <w:top w:val="none" w:sz="0" w:space="0" w:color="auto"/>
            <w:left w:val="none" w:sz="0" w:space="0" w:color="auto"/>
            <w:bottom w:val="none" w:sz="0" w:space="0" w:color="auto"/>
            <w:right w:val="none" w:sz="0" w:space="0" w:color="auto"/>
          </w:divBdr>
        </w:div>
        <w:div w:id="2140108766">
          <w:marLeft w:val="0"/>
          <w:marRight w:val="0"/>
          <w:marTop w:val="0"/>
          <w:marBottom w:val="80"/>
          <w:divBdr>
            <w:top w:val="none" w:sz="0" w:space="0" w:color="auto"/>
            <w:left w:val="none" w:sz="0" w:space="0" w:color="auto"/>
            <w:bottom w:val="none" w:sz="0" w:space="0" w:color="auto"/>
            <w:right w:val="none" w:sz="0" w:space="0" w:color="auto"/>
          </w:divBdr>
        </w:div>
        <w:div w:id="554663839">
          <w:marLeft w:val="0"/>
          <w:marRight w:val="0"/>
          <w:marTop w:val="0"/>
          <w:marBottom w:val="80"/>
          <w:divBdr>
            <w:top w:val="none" w:sz="0" w:space="0" w:color="auto"/>
            <w:left w:val="none" w:sz="0" w:space="0" w:color="auto"/>
            <w:bottom w:val="none" w:sz="0" w:space="0" w:color="auto"/>
            <w:right w:val="none" w:sz="0" w:space="0" w:color="auto"/>
          </w:divBdr>
        </w:div>
        <w:div w:id="548306446">
          <w:marLeft w:val="0"/>
          <w:marRight w:val="0"/>
          <w:marTop w:val="0"/>
          <w:marBottom w:val="80"/>
          <w:divBdr>
            <w:top w:val="none" w:sz="0" w:space="0" w:color="auto"/>
            <w:left w:val="none" w:sz="0" w:space="0" w:color="auto"/>
            <w:bottom w:val="none" w:sz="0" w:space="0" w:color="auto"/>
            <w:right w:val="none" w:sz="0" w:space="0" w:color="auto"/>
          </w:divBdr>
        </w:div>
        <w:div w:id="512961478">
          <w:marLeft w:val="0"/>
          <w:marRight w:val="0"/>
          <w:marTop w:val="0"/>
          <w:marBottom w:val="80"/>
          <w:divBdr>
            <w:top w:val="none" w:sz="0" w:space="0" w:color="auto"/>
            <w:left w:val="none" w:sz="0" w:space="0" w:color="auto"/>
            <w:bottom w:val="none" w:sz="0" w:space="0" w:color="auto"/>
            <w:right w:val="none" w:sz="0" w:space="0" w:color="auto"/>
          </w:divBdr>
        </w:div>
        <w:div w:id="1752771923">
          <w:marLeft w:val="0"/>
          <w:marRight w:val="0"/>
          <w:marTop w:val="0"/>
          <w:marBottom w:val="80"/>
          <w:divBdr>
            <w:top w:val="none" w:sz="0" w:space="0" w:color="auto"/>
            <w:left w:val="none" w:sz="0" w:space="0" w:color="auto"/>
            <w:bottom w:val="none" w:sz="0" w:space="0" w:color="auto"/>
            <w:right w:val="none" w:sz="0" w:space="0" w:color="auto"/>
          </w:divBdr>
        </w:div>
        <w:div w:id="1834905280">
          <w:marLeft w:val="0"/>
          <w:marRight w:val="0"/>
          <w:marTop w:val="0"/>
          <w:marBottom w:val="80"/>
          <w:divBdr>
            <w:top w:val="none" w:sz="0" w:space="0" w:color="auto"/>
            <w:left w:val="none" w:sz="0" w:space="0" w:color="auto"/>
            <w:bottom w:val="none" w:sz="0" w:space="0" w:color="auto"/>
            <w:right w:val="none" w:sz="0" w:space="0" w:color="auto"/>
          </w:divBdr>
        </w:div>
        <w:div w:id="1558131544">
          <w:marLeft w:val="0"/>
          <w:marRight w:val="0"/>
          <w:marTop w:val="101"/>
          <w:marBottom w:val="101"/>
          <w:divBdr>
            <w:top w:val="none" w:sz="0" w:space="0" w:color="auto"/>
            <w:left w:val="none" w:sz="0" w:space="0" w:color="auto"/>
            <w:bottom w:val="none" w:sz="0" w:space="0" w:color="auto"/>
            <w:right w:val="none" w:sz="0" w:space="0" w:color="auto"/>
          </w:divBdr>
        </w:div>
        <w:div w:id="1040980630">
          <w:marLeft w:val="0"/>
          <w:marRight w:val="0"/>
          <w:marTop w:val="0"/>
          <w:marBottom w:val="101"/>
          <w:divBdr>
            <w:top w:val="none" w:sz="0" w:space="0" w:color="auto"/>
            <w:left w:val="none" w:sz="0" w:space="0" w:color="auto"/>
            <w:bottom w:val="none" w:sz="0" w:space="0" w:color="auto"/>
            <w:right w:val="none" w:sz="0" w:space="0" w:color="auto"/>
          </w:divBdr>
        </w:div>
        <w:div w:id="2093426639">
          <w:marLeft w:val="0"/>
          <w:marRight w:val="0"/>
          <w:marTop w:val="0"/>
          <w:marBottom w:val="101"/>
          <w:divBdr>
            <w:top w:val="none" w:sz="0" w:space="0" w:color="auto"/>
            <w:left w:val="none" w:sz="0" w:space="0" w:color="auto"/>
            <w:bottom w:val="none" w:sz="0" w:space="0" w:color="auto"/>
            <w:right w:val="none" w:sz="0" w:space="0" w:color="auto"/>
          </w:divBdr>
        </w:div>
        <w:div w:id="1417171858">
          <w:marLeft w:val="0"/>
          <w:marRight w:val="0"/>
          <w:marTop w:val="0"/>
          <w:marBottom w:val="101"/>
          <w:divBdr>
            <w:top w:val="none" w:sz="0" w:space="0" w:color="auto"/>
            <w:left w:val="none" w:sz="0" w:space="0" w:color="auto"/>
            <w:bottom w:val="none" w:sz="0" w:space="0" w:color="auto"/>
            <w:right w:val="none" w:sz="0" w:space="0" w:color="auto"/>
          </w:divBdr>
        </w:div>
        <w:div w:id="719205191">
          <w:marLeft w:val="0"/>
          <w:marRight w:val="0"/>
          <w:marTop w:val="0"/>
          <w:marBottom w:val="101"/>
          <w:divBdr>
            <w:top w:val="none" w:sz="0" w:space="0" w:color="auto"/>
            <w:left w:val="none" w:sz="0" w:space="0" w:color="auto"/>
            <w:bottom w:val="none" w:sz="0" w:space="0" w:color="auto"/>
            <w:right w:val="none" w:sz="0" w:space="0" w:color="auto"/>
          </w:divBdr>
        </w:div>
        <w:div w:id="924192521">
          <w:marLeft w:val="0"/>
          <w:marRight w:val="0"/>
          <w:marTop w:val="0"/>
          <w:marBottom w:val="101"/>
          <w:divBdr>
            <w:top w:val="none" w:sz="0" w:space="0" w:color="auto"/>
            <w:left w:val="none" w:sz="0" w:space="0" w:color="auto"/>
            <w:bottom w:val="none" w:sz="0" w:space="0" w:color="auto"/>
            <w:right w:val="none" w:sz="0" w:space="0" w:color="auto"/>
          </w:divBdr>
        </w:div>
        <w:div w:id="134659424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1081</Words>
  <Characters>5948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2023-06-02T14:23:00Z</dcterms:created>
  <dcterms:modified xsi:type="dcterms:W3CDTF">2023-06-02T14:26:00Z</dcterms:modified>
</cp:coreProperties>
</file>