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Bdr>
          <w:bottom w:color="000000" w:space="0" w:sz="12" w:val="single"/>
        </w:pBdr>
        <w:shd w:fill="ffffff" w:val="clear"/>
        <w:spacing w:after="0" w:before="120" w:lineRule="auto"/>
        <w:jc w:val="center"/>
        <w:rPr>
          <w:rFonts w:ascii="Verdana" w:cs="Verdana" w:eastAsia="Verdana" w:hAnsi="Verdana"/>
          <w:b w:val="1"/>
          <w:color w:val="4a86e8"/>
          <w:sz w:val="20"/>
          <w:szCs w:val="20"/>
        </w:rPr>
      </w:pPr>
      <w:bookmarkStart w:colFirst="0" w:colLast="0" w:name="_arzav1nkl3au" w:id="0"/>
      <w:bookmarkEnd w:id="0"/>
      <w:r w:rsidDel="00000000" w:rsidR="00000000" w:rsidRPr="00000000">
        <w:rPr>
          <w:rFonts w:ascii="Verdana" w:cs="Verdana" w:eastAsia="Verdana" w:hAnsi="Verdana"/>
          <w:b w:val="1"/>
          <w:color w:val="4a86e8"/>
          <w:sz w:val="20"/>
          <w:szCs w:val="20"/>
          <w:rtl w:val="0"/>
        </w:rPr>
        <w:t xml:space="preserve">Acuerdo por el cual se dan a conocer los montos de los estímulos fiscales aplicables a la enajenación de gasolinas en la región fronteriza con Guatemala, correspondientes al periodo que se especifica</w:t>
        <w:br w:type="textWrapping"/>
        <w:t xml:space="preserve">(DOF 10 de mayo de 2024)</w:t>
      </w:r>
    </w:p>
    <w:p w:rsidR="00000000" w:rsidDel="00000000" w:rsidP="00000000" w:rsidRDefault="00000000" w:rsidRPr="00000000" w14:paraId="00000002">
      <w:pPr>
        <w:pStyle w:val="Heading2"/>
        <w:keepNext w:val="0"/>
        <w:keepLines w:val="0"/>
        <w:pBdr>
          <w:top w:color="000000" w:space="0" w:sz="6" w:val="single"/>
        </w:pBdr>
        <w:shd w:fill="ffffff" w:val="clear"/>
        <w:spacing w:after="100" w:lineRule="auto"/>
        <w:jc w:val="both"/>
        <w:rPr>
          <w:rFonts w:ascii="Verdana" w:cs="Verdana" w:eastAsia="Verdana" w:hAnsi="Verdana"/>
          <w:b w:val="1"/>
          <w:color w:val="2f2f2f"/>
          <w:sz w:val="20"/>
          <w:szCs w:val="20"/>
        </w:rPr>
      </w:pPr>
      <w:bookmarkStart w:colFirst="0" w:colLast="0" w:name="_d9g7ztbg4vom" w:id="1"/>
      <w:bookmarkEnd w:id="1"/>
      <w:r w:rsidDel="00000000" w:rsidR="00000000" w:rsidRPr="00000000">
        <w:rPr>
          <w:rFonts w:ascii="Verdana" w:cs="Verdana" w:eastAsia="Verdana" w:hAnsi="Verdana"/>
          <w:b w:val="1"/>
          <w:color w:val="2f2f2f"/>
          <w:sz w:val="20"/>
          <w:szCs w:val="20"/>
          <w:rtl w:val="0"/>
        </w:rPr>
        <w:t xml:space="preserve">Al margen un sello con el Escudo Nacional, que dice: Estados Unidos Mexicanos.- HACIENDA.- Secretaría de Hacienda y Crédito Público.</w:t>
      </w:r>
    </w:p>
    <w:p w:rsidR="00000000" w:rsidDel="00000000" w:rsidP="00000000" w:rsidRDefault="00000000" w:rsidRPr="00000000" w14:paraId="00000003">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Acuerdo 66/2024</w:t>
      </w:r>
    </w:p>
    <w:p w:rsidR="00000000" w:rsidDel="00000000" w:rsidP="00000000" w:rsidRDefault="00000000" w:rsidRPr="00000000" w14:paraId="00000004">
      <w:pPr>
        <w:shd w:fill="ffffff" w:val="clea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Acuerdo por el cual se dan a conocer los montos de los estímulos fiscales aplicables a la enajenación</w:t>
      </w:r>
    </w:p>
    <w:p w:rsidR="00000000" w:rsidDel="00000000" w:rsidP="00000000" w:rsidRDefault="00000000" w:rsidRPr="00000000" w14:paraId="00000005">
      <w:pPr>
        <w:shd w:fill="ffffff" w:val="clea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de gasolinas en la región fronteriza con Guatemala, correspondientes al periodo que se especifica.</w:t>
      </w:r>
    </w:p>
    <w:p w:rsidR="00000000" w:rsidDel="00000000" w:rsidP="00000000" w:rsidRDefault="00000000" w:rsidRPr="00000000" w14:paraId="0000000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ADÁN ENRIQUE GARCÍA RAMOS, Titular de la Unidad de Política de Ingresos no Tributarios y sobre Hidrocarburos de la Secretaría de Hacienda y Crédito Público, con fundamento en lo dispuesto por los artículos Primero y Tercero del Decreto por el que se establecen estímulos fiscales a la enajenación de los combustibles que se mencionan en la frontera sur de los Estados Unidos Mexicanos, publicado en el Diario Oficial de la Federación el 28 de diciembre de 2020, se dan a conocer los montos de los estímulos fiscales aplicables a la enajenación de gasolinas en los municipios fronterizos con Guatemala, durante el periodo que se indica, mediante el siguiente</w:t>
      </w:r>
    </w:p>
    <w:p w:rsidR="00000000" w:rsidDel="00000000" w:rsidP="00000000" w:rsidRDefault="00000000" w:rsidRPr="00000000" w14:paraId="00000007">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ACUERDO</w:t>
      </w:r>
    </w:p>
    <w:p w:rsidR="00000000" w:rsidDel="00000000" w:rsidP="00000000" w:rsidRDefault="00000000" w:rsidRPr="00000000" w14:paraId="0000000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Único.-</w:t>
      </w:r>
      <w:r w:rsidDel="00000000" w:rsidR="00000000" w:rsidRPr="00000000">
        <w:rPr>
          <w:rFonts w:ascii="Verdana" w:cs="Verdana" w:eastAsia="Verdana" w:hAnsi="Verdana"/>
          <w:color w:val="2f2f2f"/>
          <w:sz w:val="20"/>
          <w:szCs w:val="20"/>
          <w:rtl w:val="0"/>
        </w:rPr>
        <w:t xml:space="preserve"> Se dan a conocer los montos de los estímulos fiscales aplicables, en los municipios fronterizos con Guatemala, a que se refieren los artículos Primero y Tercero del Decreto por el que se establecen estímulos fiscales a la enajenación de los combustibles que se mencionan en la frontera sur de los Estados Unidos Mexicanos, durante el período comprendido del 11 al 17 de mayo de 2024.</w:t>
      </w:r>
    </w:p>
    <w:tbl>
      <w:tblPr>
        <w:tblStyle w:val="Table1"/>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972.547224700362"/>
        <w:gridCol w:w="3052.9645863232618"/>
        <w:tblGridChange w:id="0">
          <w:tblGrid>
            <w:gridCol w:w="5972.547224700362"/>
            <w:gridCol w:w="3052.9645863232618"/>
          </w:tblGrid>
        </w:tblGridChange>
      </w:tblGrid>
      <w:tr>
        <w:trPr>
          <w:cantSplit w:val="0"/>
          <w:trHeight w:val="315" w:hRule="atLeast"/>
          <w:tblHeader w:val="0"/>
        </w:trPr>
        <w:tc>
          <w:tcPr>
            <w:gridSpan w:val="2"/>
            <w:tcBorders>
              <w:top w:color="000000" w:space="0" w:sz="0" w:val="nil"/>
              <w:left w:color="000000" w:space="0" w:sz="0" w:val="nil"/>
              <w:bottom w:color="000000" w:space="0" w:sz="0" w:val="nil"/>
              <w:right w:color="000000" w:space="0" w:sz="0" w:val="nil"/>
            </w:tcBorders>
            <w:shd w:fill="d9d9d9" w:val="clear"/>
            <w:tcMar>
              <w:top w:w="0.0" w:type="dxa"/>
              <w:left w:w="80.0" w:type="dxa"/>
              <w:bottom w:w="0.0" w:type="dxa"/>
              <w:right w:w="80.0" w:type="dxa"/>
            </w:tcMar>
            <w:vAlign w:val="center"/>
          </w:tcPr>
          <w:p w:rsidR="00000000" w:rsidDel="00000000" w:rsidP="00000000" w:rsidRDefault="00000000" w:rsidRPr="00000000" w14:paraId="00000009">
            <w:pPr>
              <w:shd w:fill="ffffff" w:val="clear"/>
              <w:spacing w:after="100" w:lineRule="auto"/>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Zona I</w:t>
            </w:r>
          </w:p>
        </w:tc>
      </w:tr>
      <w:tr>
        <w:trPr>
          <w:cantSplit w:val="0"/>
          <w:trHeight w:val="285" w:hRule="atLeast"/>
          <w:tblHeader w:val="0"/>
        </w:trPr>
        <w:tc>
          <w:tcPr>
            <w:gridSpan w:val="2"/>
            <w:tcBorders>
              <w:top w:color="000000" w:space="0" w:sz="0" w:val="nil"/>
              <w:left w:color="000000" w:space="0" w:sz="0" w:val="nil"/>
              <w:bottom w:color="000000" w:space="0" w:sz="6"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0B">
            <w:pPr>
              <w:shd w:fill="ffffff" w:val="clear"/>
              <w:spacing w:after="100" w:lineRule="auto"/>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Municipios de Calakmul y Candelaria del Estado de Campeche</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0D">
            <w:pPr>
              <w:shd w:fill="ffffff" w:val="clear"/>
              <w:spacing w:after="100" w:lineRule="auto"/>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Monto del estímulo:</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0E">
            <w:pPr>
              <w:shd w:fill="ffffff" w:val="clear"/>
              <w:spacing w:after="10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r>
      <w:tr>
        <w:trPr>
          <w:cantSplit w:val="0"/>
          <w:trHeight w:val="28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0F">
            <w:pPr>
              <w:shd w:fill="ffffff" w:val="clear"/>
              <w:spacing w:after="100" w:lineRule="auto"/>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a)</w:t>
            </w:r>
            <w:r w:rsidDel="00000000" w:rsidR="00000000" w:rsidRPr="00000000">
              <w:rPr>
                <w:rFonts w:ascii="Verdana" w:cs="Verdana" w:eastAsia="Verdana" w:hAnsi="Verdana"/>
                <w:sz w:val="20"/>
                <w:szCs w:val="20"/>
                <w:rtl w:val="0"/>
              </w:rPr>
              <w:t xml:space="preserve"> Gasolina menor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10">
            <w:pPr>
              <w:shd w:fill="ffffff" w:val="clear"/>
              <w:spacing w:after="100" w:lineRule="auto"/>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1.880</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11">
            <w:pPr>
              <w:shd w:fill="ffffff" w:val="clear"/>
              <w:spacing w:after="100" w:lineRule="auto"/>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b)</w:t>
            </w:r>
            <w:r w:rsidDel="00000000" w:rsidR="00000000" w:rsidRPr="00000000">
              <w:rPr>
                <w:rFonts w:ascii="Verdana" w:cs="Verdana" w:eastAsia="Verdana" w:hAnsi="Verdana"/>
                <w:sz w:val="20"/>
                <w:szCs w:val="20"/>
                <w:rtl w:val="0"/>
              </w:rPr>
              <w:t xml:space="preserve"> Gasolina mayor o igual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12">
            <w:pPr>
              <w:shd w:fill="ffffff" w:val="clear"/>
              <w:spacing w:after="100" w:lineRule="auto"/>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2.105</w:t>
            </w:r>
          </w:p>
        </w:tc>
      </w:tr>
    </w:tbl>
    <w:p w:rsidR="00000000" w:rsidDel="00000000" w:rsidP="00000000" w:rsidRDefault="00000000" w:rsidRPr="00000000" w14:paraId="00000013">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bl>
      <w:tblPr>
        <w:tblStyle w:val="Table2"/>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972.547224700362"/>
        <w:gridCol w:w="3052.9645863232618"/>
        <w:tblGridChange w:id="0">
          <w:tblGrid>
            <w:gridCol w:w="5972.547224700362"/>
            <w:gridCol w:w="3052.9645863232618"/>
          </w:tblGrid>
        </w:tblGridChange>
      </w:tblGrid>
      <w:tr>
        <w:trPr>
          <w:cantSplit w:val="0"/>
          <w:trHeight w:val="315" w:hRule="atLeast"/>
          <w:tblHeader w:val="0"/>
        </w:trPr>
        <w:tc>
          <w:tcPr>
            <w:gridSpan w:val="2"/>
            <w:tcBorders>
              <w:top w:color="000000" w:space="0" w:sz="0" w:val="nil"/>
              <w:left w:color="000000" w:space="0" w:sz="0" w:val="nil"/>
              <w:bottom w:color="000000" w:space="0" w:sz="0" w:val="nil"/>
              <w:right w:color="000000" w:space="0" w:sz="0" w:val="nil"/>
            </w:tcBorders>
            <w:shd w:fill="d9d9d9" w:val="clear"/>
            <w:tcMar>
              <w:top w:w="0.0" w:type="dxa"/>
              <w:left w:w="80.0" w:type="dxa"/>
              <w:bottom w:w="0.0" w:type="dxa"/>
              <w:right w:w="80.0" w:type="dxa"/>
            </w:tcMar>
            <w:vAlign w:val="center"/>
          </w:tcPr>
          <w:p w:rsidR="00000000" w:rsidDel="00000000" w:rsidP="00000000" w:rsidRDefault="00000000" w:rsidRPr="00000000" w14:paraId="00000014">
            <w:pPr>
              <w:shd w:fill="ffffff" w:val="clear"/>
              <w:spacing w:after="100" w:lineRule="auto"/>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Zona II</w:t>
            </w:r>
          </w:p>
        </w:tc>
      </w:tr>
      <w:tr>
        <w:trPr>
          <w:cantSplit w:val="0"/>
          <w:trHeight w:val="285" w:hRule="atLeast"/>
          <w:tblHeader w:val="0"/>
        </w:trPr>
        <w:tc>
          <w:tcPr>
            <w:gridSpan w:val="2"/>
            <w:tcBorders>
              <w:top w:color="000000" w:space="0" w:sz="0" w:val="nil"/>
              <w:left w:color="000000" w:space="0" w:sz="0" w:val="nil"/>
              <w:bottom w:color="000000" w:space="0" w:sz="6"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16">
            <w:pPr>
              <w:shd w:fill="ffffff" w:val="clear"/>
              <w:spacing w:after="100" w:lineRule="auto"/>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Municipios de Balancán y Tenosique del Estado de Tabasco</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18">
            <w:pPr>
              <w:shd w:fill="ffffff" w:val="clear"/>
              <w:spacing w:after="100" w:lineRule="auto"/>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Monto del estímulo:</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19">
            <w:pPr>
              <w:shd w:fill="ffffff" w:val="clear"/>
              <w:spacing w:after="10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r>
      <w:tr>
        <w:trPr>
          <w:cantSplit w:val="0"/>
          <w:trHeight w:val="28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1A">
            <w:pPr>
              <w:shd w:fill="ffffff" w:val="clear"/>
              <w:spacing w:after="100" w:lineRule="auto"/>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a)</w:t>
            </w:r>
            <w:r w:rsidDel="00000000" w:rsidR="00000000" w:rsidRPr="00000000">
              <w:rPr>
                <w:rFonts w:ascii="Verdana" w:cs="Verdana" w:eastAsia="Verdana" w:hAnsi="Verdana"/>
                <w:sz w:val="20"/>
                <w:szCs w:val="20"/>
                <w:rtl w:val="0"/>
              </w:rPr>
              <w:t xml:space="preserve"> Gasolina menor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1B">
            <w:pPr>
              <w:shd w:fill="ffffff" w:val="clear"/>
              <w:spacing w:after="100" w:lineRule="auto"/>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1.312</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1C">
            <w:pPr>
              <w:shd w:fill="ffffff" w:val="clear"/>
              <w:spacing w:after="100" w:lineRule="auto"/>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b)</w:t>
            </w:r>
            <w:r w:rsidDel="00000000" w:rsidR="00000000" w:rsidRPr="00000000">
              <w:rPr>
                <w:rFonts w:ascii="Verdana" w:cs="Verdana" w:eastAsia="Verdana" w:hAnsi="Verdana"/>
                <w:sz w:val="20"/>
                <w:szCs w:val="20"/>
                <w:rtl w:val="0"/>
              </w:rPr>
              <w:t xml:space="preserve"> Gasolina mayor o igual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1D">
            <w:pPr>
              <w:shd w:fill="ffffff" w:val="clear"/>
              <w:spacing w:after="100" w:lineRule="auto"/>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1.379</w:t>
            </w:r>
          </w:p>
        </w:tc>
      </w:tr>
    </w:tbl>
    <w:p w:rsidR="00000000" w:rsidDel="00000000" w:rsidP="00000000" w:rsidRDefault="00000000" w:rsidRPr="00000000" w14:paraId="0000001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bl>
      <w:tblPr>
        <w:tblStyle w:val="Table3"/>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972.547224700362"/>
        <w:gridCol w:w="3052.9645863232618"/>
        <w:tblGridChange w:id="0">
          <w:tblGrid>
            <w:gridCol w:w="5972.547224700362"/>
            <w:gridCol w:w="3052.9645863232618"/>
          </w:tblGrid>
        </w:tblGridChange>
      </w:tblGrid>
      <w:tr>
        <w:trPr>
          <w:cantSplit w:val="0"/>
          <w:trHeight w:val="315" w:hRule="atLeast"/>
          <w:tblHeader w:val="0"/>
        </w:trPr>
        <w:tc>
          <w:tcPr>
            <w:gridSpan w:val="2"/>
            <w:tcBorders>
              <w:top w:color="000000" w:space="0" w:sz="0" w:val="nil"/>
              <w:left w:color="000000" w:space="0" w:sz="0" w:val="nil"/>
              <w:bottom w:color="000000" w:space="0" w:sz="0" w:val="nil"/>
              <w:right w:color="000000" w:space="0" w:sz="0" w:val="nil"/>
            </w:tcBorders>
            <w:shd w:fill="d9d9d9" w:val="clear"/>
            <w:tcMar>
              <w:top w:w="0.0" w:type="dxa"/>
              <w:left w:w="80.0" w:type="dxa"/>
              <w:bottom w:w="0.0" w:type="dxa"/>
              <w:right w:w="80.0" w:type="dxa"/>
            </w:tcMar>
            <w:vAlign w:val="center"/>
          </w:tcPr>
          <w:p w:rsidR="00000000" w:rsidDel="00000000" w:rsidP="00000000" w:rsidRDefault="00000000" w:rsidRPr="00000000" w14:paraId="0000001F">
            <w:pPr>
              <w:shd w:fill="ffffff" w:val="clear"/>
              <w:spacing w:after="100" w:lineRule="auto"/>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Zona III</w:t>
            </w:r>
          </w:p>
        </w:tc>
      </w:tr>
      <w:tr>
        <w:trPr>
          <w:cantSplit w:val="0"/>
          <w:trHeight w:val="285" w:hRule="atLeast"/>
          <w:tblHeader w:val="0"/>
        </w:trPr>
        <w:tc>
          <w:tcPr>
            <w:gridSpan w:val="2"/>
            <w:tcBorders>
              <w:top w:color="000000" w:space="0" w:sz="0" w:val="nil"/>
              <w:left w:color="000000" w:space="0" w:sz="0" w:val="nil"/>
              <w:bottom w:color="000000" w:space="0" w:sz="6"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21">
            <w:pPr>
              <w:shd w:fill="ffffff" w:val="clear"/>
              <w:spacing w:after="100" w:lineRule="auto"/>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Municipios de Ocosingo y Palenque del Estado de Chiapas</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23">
            <w:pPr>
              <w:shd w:fill="ffffff" w:val="clear"/>
              <w:spacing w:after="100" w:lineRule="auto"/>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Monto del estímulo:</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24">
            <w:pPr>
              <w:shd w:fill="ffffff" w:val="clear"/>
              <w:spacing w:after="10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r>
      <w:tr>
        <w:trPr>
          <w:cantSplit w:val="0"/>
          <w:trHeight w:val="28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25">
            <w:pPr>
              <w:shd w:fill="ffffff" w:val="clear"/>
              <w:spacing w:after="100" w:lineRule="auto"/>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a)</w:t>
            </w:r>
            <w:r w:rsidDel="00000000" w:rsidR="00000000" w:rsidRPr="00000000">
              <w:rPr>
                <w:rFonts w:ascii="Verdana" w:cs="Verdana" w:eastAsia="Verdana" w:hAnsi="Verdana"/>
                <w:sz w:val="20"/>
                <w:szCs w:val="20"/>
                <w:rtl w:val="0"/>
              </w:rPr>
              <w:t xml:space="preserve"> Gasolina menor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26">
            <w:pPr>
              <w:shd w:fill="ffffff" w:val="clear"/>
              <w:spacing w:after="100" w:lineRule="auto"/>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1.716</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27">
            <w:pPr>
              <w:shd w:fill="ffffff" w:val="clear"/>
              <w:spacing w:after="100" w:lineRule="auto"/>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b)</w:t>
            </w:r>
            <w:r w:rsidDel="00000000" w:rsidR="00000000" w:rsidRPr="00000000">
              <w:rPr>
                <w:rFonts w:ascii="Verdana" w:cs="Verdana" w:eastAsia="Verdana" w:hAnsi="Verdana"/>
                <w:sz w:val="20"/>
                <w:szCs w:val="20"/>
                <w:rtl w:val="0"/>
              </w:rPr>
              <w:t xml:space="preserve"> Gasolina mayor o igual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28">
            <w:pPr>
              <w:shd w:fill="ffffff" w:val="clear"/>
              <w:spacing w:after="100" w:lineRule="auto"/>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1.745</w:t>
            </w:r>
          </w:p>
        </w:tc>
      </w:tr>
    </w:tbl>
    <w:p w:rsidR="00000000" w:rsidDel="00000000" w:rsidP="00000000" w:rsidRDefault="00000000" w:rsidRPr="00000000" w14:paraId="0000002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bl>
      <w:tblPr>
        <w:tblStyle w:val="Table4"/>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972.547224700362"/>
        <w:gridCol w:w="3052.9645863232618"/>
        <w:tblGridChange w:id="0">
          <w:tblGrid>
            <w:gridCol w:w="5972.547224700362"/>
            <w:gridCol w:w="3052.9645863232618"/>
          </w:tblGrid>
        </w:tblGridChange>
      </w:tblGrid>
      <w:tr>
        <w:trPr>
          <w:cantSplit w:val="0"/>
          <w:trHeight w:val="315" w:hRule="atLeast"/>
          <w:tblHeader w:val="0"/>
        </w:trPr>
        <w:tc>
          <w:tcPr>
            <w:gridSpan w:val="2"/>
            <w:tcBorders>
              <w:top w:color="000000" w:space="0" w:sz="0" w:val="nil"/>
              <w:left w:color="000000" w:space="0" w:sz="0" w:val="nil"/>
              <w:bottom w:color="000000" w:space="0" w:sz="0" w:val="nil"/>
              <w:right w:color="000000" w:space="0" w:sz="0" w:val="nil"/>
            </w:tcBorders>
            <w:shd w:fill="d9d9d9" w:val="clear"/>
            <w:tcMar>
              <w:top w:w="0.0" w:type="dxa"/>
              <w:left w:w="80.0" w:type="dxa"/>
              <w:bottom w:w="0.0" w:type="dxa"/>
              <w:right w:w="80.0" w:type="dxa"/>
            </w:tcMar>
            <w:vAlign w:val="center"/>
          </w:tcPr>
          <w:p w:rsidR="00000000" w:rsidDel="00000000" w:rsidP="00000000" w:rsidRDefault="00000000" w:rsidRPr="00000000" w14:paraId="0000002A">
            <w:pPr>
              <w:shd w:fill="ffffff" w:val="clear"/>
              <w:spacing w:after="100" w:lineRule="auto"/>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Zona IV</w:t>
            </w:r>
          </w:p>
        </w:tc>
      </w:tr>
      <w:tr>
        <w:trPr>
          <w:cantSplit w:val="0"/>
          <w:trHeight w:val="285" w:hRule="atLeast"/>
          <w:tblHeader w:val="0"/>
        </w:trPr>
        <w:tc>
          <w:tcPr>
            <w:gridSpan w:val="2"/>
            <w:tcBorders>
              <w:top w:color="000000" w:space="0" w:sz="0" w:val="nil"/>
              <w:left w:color="000000" w:space="0" w:sz="0" w:val="nil"/>
              <w:bottom w:color="000000" w:space="0" w:sz="6"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2C">
            <w:pPr>
              <w:shd w:fill="ffffff" w:val="clear"/>
              <w:spacing w:after="100" w:lineRule="auto"/>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Municipios de Marqués de Comillas y Benemérito de las Américas del Estado de Chiapas</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2E">
            <w:pPr>
              <w:shd w:fill="ffffff" w:val="clear"/>
              <w:spacing w:after="100" w:lineRule="auto"/>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Monto del estímulo:</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2F">
            <w:pPr>
              <w:shd w:fill="ffffff" w:val="clear"/>
              <w:spacing w:after="10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r>
      <w:tr>
        <w:trPr>
          <w:cantSplit w:val="0"/>
          <w:trHeight w:val="28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30">
            <w:pPr>
              <w:shd w:fill="ffffff" w:val="clear"/>
              <w:spacing w:after="100" w:lineRule="auto"/>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a)</w:t>
            </w:r>
            <w:r w:rsidDel="00000000" w:rsidR="00000000" w:rsidRPr="00000000">
              <w:rPr>
                <w:rFonts w:ascii="Verdana" w:cs="Verdana" w:eastAsia="Verdana" w:hAnsi="Verdana"/>
                <w:sz w:val="20"/>
                <w:szCs w:val="20"/>
                <w:rtl w:val="0"/>
              </w:rPr>
              <w:t xml:space="preserve"> Gasolina menor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31">
            <w:pPr>
              <w:shd w:fill="ffffff" w:val="clear"/>
              <w:spacing w:after="100" w:lineRule="auto"/>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1.836</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32">
            <w:pPr>
              <w:shd w:fill="ffffff" w:val="clear"/>
              <w:spacing w:after="100" w:lineRule="auto"/>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b)</w:t>
            </w:r>
            <w:r w:rsidDel="00000000" w:rsidR="00000000" w:rsidRPr="00000000">
              <w:rPr>
                <w:rFonts w:ascii="Verdana" w:cs="Verdana" w:eastAsia="Verdana" w:hAnsi="Verdana"/>
                <w:sz w:val="20"/>
                <w:szCs w:val="20"/>
                <w:rtl w:val="0"/>
              </w:rPr>
              <w:t xml:space="preserve"> Gasolina mayor o igual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33">
            <w:pPr>
              <w:shd w:fill="ffffff" w:val="clear"/>
              <w:spacing w:after="100" w:lineRule="auto"/>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1.904</w:t>
            </w:r>
          </w:p>
        </w:tc>
      </w:tr>
    </w:tbl>
    <w:p w:rsidR="00000000" w:rsidDel="00000000" w:rsidP="00000000" w:rsidRDefault="00000000" w:rsidRPr="00000000" w14:paraId="00000034">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bl>
      <w:tblPr>
        <w:tblStyle w:val="Table5"/>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972.547224700362"/>
        <w:gridCol w:w="3052.9645863232618"/>
        <w:tblGridChange w:id="0">
          <w:tblGrid>
            <w:gridCol w:w="5972.547224700362"/>
            <w:gridCol w:w="3052.9645863232618"/>
          </w:tblGrid>
        </w:tblGridChange>
      </w:tblGrid>
      <w:tr>
        <w:trPr>
          <w:cantSplit w:val="0"/>
          <w:trHeight w:val="315" w:hRule="atLeast"/>
          <w:tblHeader w:val="0"/>
        </w:trPr>
        <w:tc>
          <w:tcPr>
            <w:gridSpan w:val="2"/>
            <w:tcBorders>
              <w:top w:color="000000" w:space="0" w:sz="0" w:val="nil"/>
              <w:left w:color="000000" w:space="0" w:sz="0" w:val="nil"/>
              <w:bottom w:color="000000" w:space="0" w:sz="0" w:val="nil"/>
              <w:right w:color="000000" w:space="0" w:sz="0" w:val="nil"/>
            </w:tcBorders>
            <w:shd w:fill="d9d9d9" w:val="clear"/>
            <w:tcMar>
              <w:top w:w="0.0" w:type="dxa"/>
              <w:left w:w="80.0" w:type="dxa"/>
              <w:bottom w:w="0.0" w:type="dxa"/>
              <w:right w:w="80.0" w:type="dxa"/>
            </w:tcMar>
            <w:vAlign w:val="center"/>
          </w:tcPr>
          <w:p w:rsidR="00000000" w:rsidDel="00000000" w:rsidP="00000000" w:rsidRDefault="00000000" w:rsidRPr="00000000" w14:paraId="00000035">
            <w:pPr>
              <w:shd w:fill="ffffff" w:val="clear"/>
              <w:spacing w:after="100" w:lineRule="auto"/>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Zona V</w:t>
            </w:r>
          </w:p>
        </w:tc>
      </w:tr>
      <w:tr>
        <w:trPr>
          <w:cantSplit w:val="0"/>
          <w:trHeight w:val="480" w:hRule="atLeast"/>
          <w:tblHeader w:val="0"/>
        </w:trPr>
        <w:tc>
          <w:tcPr>
            <w:gridSpan w:val="2"/>
            <w:tcBorders>
              <w:top w:color="000000" w:space="0" w:sz="0" w:val="nil"/>
              <w:left w:color="000000" w:space="0" w:sz="0" w:val="nil"/>
              <w:bottom w:color="000000" w:space="0" w:sz="6"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37">
            <w:pPr>
              <w:shd w:fill="ffffff" w:val="clear"/>
              <w:spacing w:after="100" w:lineRule="auto"/>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Municipios de Amatenango de la Frontera, Frontera Comalapa, La Trinitaria, Maravilla Tenejapa y Las Margaritas</w:t>
            </w:r>
          </w:p>
          <w:p w:rsidR="00000000" w:rsidDel="00000000" w:rsidP="00000000" w:rsidRDefault="00000000" w:rsidRPr="00000000" w14:paraId="00000038">
            <w:pPr>
              <w:shd w:fill="ffffff" w:val="clear"/>
              <w:spacing w:after="100" w:lineRule="auto"/>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del Estado de Chiapas</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3A">
            <w:pPr>
              <w:shd w:fill="ffffff" w:val="clear"/>
              <w:spacing w:after="100" w:lineRule="auto"/>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Monto del estímulo:</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3B">
            <w:pPr>
              <w:shd w:fill="ffffff" w:val="clear"/>
              <w:spacing w:after="10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r>
      <w:tr>
        <w:trPr>
          <w:cantSplit w:val="0"/>
          <w:trHeight w:val="28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3C">
            <w:pPr>
              <w:shd w:fill="ffffff" w:val="clear"/>
              <w:spacing w:after="100" w:lineRule="auto"/>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a)</w:t>
            </w:r>
            <w:r w:rsidDel="00000000" w:rsidR="00000000" w:rsidRPr="00000000">
              <w:rPr>
                <w:rFonts w:ascii="Verdana" w:cs="Verdana" w:eastAsia="Verdana" w:hAnsi="Verdana"/>
                <w:sz w:val="20"/>
                <w:szCs w:val="20"/>
                <w:rtl w:val="0"/>
              </w:rPr>
              <w:t xml:space="preserve"> Gasolina menor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3D">
            <w:pPr>
              <w:shd w:fill="ffffff" w:val="clear"/>
              <w:spacing w:after="100" w:lineRule="auto"/>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2.549</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3E">
            <w:pPr>
              <w:shd w:fill="ffffff" w:val="clear"/>
              <w:spacing w:after="100" w:lineRule="auto"/>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b)</w:t>
            </w:r>
            <w:r w:rsidDel="00000000" w:rsidR="00000000" w:rsidRPr="00000000">
              <w:rPr>
                <w:rFonts w:ascii="Verdana" w:cs="Verdana" w:eastAsia="Verdana" w:hAnsi="Verdana"/>
                <w:sz w:val="20"/>
                <w:szCs w:val="20"/>
                <w:rtl w:val="0"/>
              </w:rPr>
              <w:t xml:space="preserve"> Gasolina mayor o igual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3F">
            <w:pPr>
              <w:shd w:fill="ffffff" w:val="clear"/>
              <w:spacing w:after="100" w:lineRule="auto"/>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2.306</w:t>
            </w:r>
          </w:p>
        </w:tc>
      </w:tr>
    </w:tbl>
    <w:p w:rsidR="00000000" w:rsidDel="00000000" w:rsidP="00000000" w:rsidRDefault="00000000" w:rsidRPr="00000000" w14:paraId="0000004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bl>
      <w:tblPr>
        <w:tblStyle w:val="Table6"/>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972.547224700362"/>
        <w:gridCol w:w="3052.9645863232618"/>
        <w:tblGridChange w:id="0">
          <w:tblGrid>
            <w:gridCol w:w="5972.547224700362"/>
            <w:gridCol w:w="3052.9645863232618"/>
          </w:tblGrid>
        </w:tblGridChange>
      </w:tblGrid>
      <w:tr>
        <w:trPr>
          <w:cantSplit w:val="0"/>
          <w:trHeight w:val="315" w:hRule="atLeast"/>
          <w:tblHeader w:val="0"/>
        </w:trPr>
        <w:tc>
          <w:tcPr>
            <w:gridSpan w:val="2"/>
            <w:tcBorders>
              <w:top w:color="000000" w:space="0" w:sz="0" w:val="nil"/>
              <w:left w:color="000000" w:space="0" w:sz="0" w:val="nil"/>
              <w:bottom w:color="000000" w:space="0" w:sz="0" w:val="nil"/>
              <w:right w:color="000000" w:space="0" w:sz="0" w:val="nil"/>
            </w:tcBorders>
            <w:shd w:fill="d9d9d9" w:val="clear"/>
            <w:tcMar>
              <w:top w:w="0.0" w:type="dxa"/>
              <w:left w:w="80.0" w:type="dxa"/>
              <w:bottom w:w="0.0" w:type="dxa"/>
              <w:right w:w="80.0" w:type="dxa"/>
            </w:tcMar>
            <w:vAlign w:val="center"/>
          </w:tcPr>
          <w:p w:rsidR="00000000" w:rsidDel="00000000" w:rsidP="00000000" w:rsidRDefault="00000000" w:rsidRPr="00000000" w14:paraId="00000041">
            <w:pPr>
              <w:shd w:fill="ffffff" w:val="clear"/>
              <w:spacing w:after="100" w:lineRule="auto"/>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Zona VI</w:t>
            </w:r>
          </w:p>
        </w:tc>
      </w:tr>
      <w:tr>
        <w:trPr>
          <w:cantSplit w:val="0"/>
          <w:trHeight w:val="480" w:hRule="atLeast"/>
          <w:tblHeader w:val="0"/>
        </w:trPr>
        <w:tc>
          <w:tcPr>
            <w:gridSpan w:val="2"/>
            <w:tcBorders>
              <w:top w:color="000000" w:space="0" w:sz="0" w:val="nil"/>
              <w:left w:color="000000" w:space="0" w:sz="0" w:val="nil"/>
              <w:bottom w:color="000000" w:space="0" w:sz="6"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43">
            <w:pPr>
              <w:shd w:fill="ffffff" w:val="clear"/>
              <w:spacing w:after="100" w:lineRule="auto"/>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Municipios de Suchiate, Frontera Hidalgo, Metapa, Tuxtla Chico, Unión Juárez, Cacahoatán, Tapachula, Motozintla</w:t>
            </w:r>
          </w:p>
          <w:p w:rsidR="00000000" w:rsidDel="00000000" w:rsidP="00000000" w:rsidRDefault="00000000" w:rsidRPr="00000000" w14:paraId="00000044">
            <w:pPr>
              <w:shd w:fill="ffffff" w:val="clear"/>
              <w:spacing w:after="100" w:lineRule="auto"/>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y Mazapa de Madero del Estado de Chiapas</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46">
            <w:pPr>
              <w:shd w:fill="ffffff" w:val="clear"/>
              <w:spacing w:after="100" w:lineRule="auto"/>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Monto del estímulo:</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47">
            <w:pPr>
              <w:shd w:fill="ffffff" w:val="clear"/>
              <w:spacing w:after="10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r>
      <w:tr>
        <w:trPr>
          <w:cantSplit w:val="0"/>
          <w:trHeight w:val="28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48">
            <w:pPr>
              <w:shd w:fill="ffffff" w:val="clear"/>
              <w:spacing w:after="100" w:lineRule="auto"/>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a)</w:t>
            </w:r>
            <w:r w:rsidDel="00000000" w:rsidR="00000000" w:rsidRPr="00000000">
              <w:rPr>
                <w:rFonts w:ascii="Verdana" w:cs="Verdana" w:eastAsia="Verdana" w:hAnsi="Verdana"/>
                <w:sz w:val="20"/>
                <w:szCs w:val="20"/>
                <w:rtl w:val="0"/>
              </w:rPr>
              <w:t xml:space="preserve"> Gasolina menor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49">
            <w:pPr>
              <w:shd w:fill="ffffff" w:val="clear"/>
              <w:spacing w:after="100" w:lineRule="auto"/>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1.504</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4A">
            <w:pPr>
              <w:shd w:fill="ffffff" w:val="clear"/>
              <w:spacing w:after="100" w:lineRule="auto"/>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b)</w:t>
            </w:r>
            <w:r w:rsidDel="00000000" w:rsidR="00000000" w:rsidRPr="00000000">
              <w:rPr>
                <w:rFonts w:ascii="Verdana" w:cs="Verdana" w:eastAsia="Verdana" w:hAnsi="Verdana"/>
                <w:sz w:val="20"/>
                <w:szCs w:val="20"/>
                <w:rtl w:val="0"/>
              </w:rPr>
              <w:t xml:space="preserve"> Gasolina mayor o igual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4B">
            <w:pPr>
              <w:shd w:fill="ffffff" w:val="clear"/>
              <w:spacing w:after="100" w:lineRule="auto"/>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1.167</w:t>
            </w:r>
          </w:p>
        </w:tc>
      </w:tr>
    </w:tbl>
    <w:p w:rsidR="00000000" w:rsidDel="00000000" w:rsidP="00000000" w:rsidRDefault="00000000" w:rsidRPr="00000000" w14:paraId="0000004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04D">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TRANSITORIO</w:t>
      </w:r>
    </w:p>
    <w:p w:rsidR="00000000" w:rsidDel="00000000" w:rsidP="00000000" w:rsidRDefault="00000000" w:rsidRPr="00000000" w14:paraId="0000004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ÚNICO.-</w:t>
      </w:r>
      <w:r w:rsidDel="00000000" w:rsidR="00000000" w:rsidRPr="00000000">
        <w:rPr>
          <w:rFonts w:ascii="Verdana" w:cs="Verdana" w:eastAsia="Verdana" w:hAnsi="Verdana"/>
          <w:color w:val="2f2f2f"/>
          <w:sz w:val="20"/>
          <w:szCs w:val="20"/>
          <w:rtl w:val="0"/>
        </w:rPr>
        <w:t xml:space="preserve"> El presente Acuerdo entrará en vigor al día siguiente de su publicación en el Diario Oficial de la Federación.</w:t>
      </w:r>
    </w:p>
    <w:p w:rsidR="00000000" w:rsidDel="00000000" w:rsidP="00000000" w:rsidRDefault="00000000" w:rsidRPr="00000000" w14:paraId="0000004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Ciudad de México, a 09 de mayo de 2024.- Con fundamento en el artículo Primero, tercer párrafo, del Decreto por el que se establecen estímulos fiscales a la enajenación de los combustibles que se mencionan en la frontera sur de los Estados Unidos Mexicanos, en suplencia del C. Subsecretario de Hacienda y Crédito Público, el Titular de la Unidad de Política de Ingresos No Tributarios y Sobre Hidrocarburos, </w:t>
      </w:r>
      <w:r w:rsidDel="00000000" w:rsidR="00000000" w:rsidRPr="00000000">
        <w:rPr>
          <w:rFonts w:ascii="Verdana" w:cs="Verdana" w:eastAsia="Verdana" w:hAnsi="Verdana"/>
          <w:b w:val="1"/>
          <w:color w:val="2f2f2f"/>
          <w:sz w:val="20"/>
          <w:szCs w:val="20"/>
          <w:rtl w:val="0"/>
        </w:rPr>
        <w:t xml:space="preserve">Adán Enrique García Ramos</w:t>
      </w:r>
      <w:r w:rsidDel="00000000" w:rsidR="00000000" w:rsidRPr="00000000">
        <w:rPr>
          <w:rFonts w:ascii="Verdana" w:cs="Verdana" w:eastAsia="Verdana" w:hAnsi="Verdana"/>
          <w:color w:val="2f2f2f"/>
          <w:sz w:val="20"/>
          <w:szCs w:val="20"/>
          <w:rtl w:val="0"/>
        </w:rPr>
        <w:t xml:space="preserve">.- Rúbrica.</w:t>
      </w:r>
    </w:p>
    <w:p w:rsidR="00000000" w:rsidDel="00000000" w:rsidP="00000000" w:rsidRDefault="00000000" w:rsidRPr="00000000" w14:paraId="00000050">
      <w:pPr>
        <w:shd w:fill="ffffff" w:val="clear"/>
        <w:spacing w:after="100" w:lineRule="auto"/>
        <w:ind w:firstLine="280"/>
        <w:jc w:val="both"/>
        <w:rPr>
          <w:rFonts w:ascii="Verdana" w:cs="Verdana" w:eastAsia="Verdana" w:hAnsi="Verdana"/>
          <w:color w:val="2f2f2f"/>
          <w:sz w:val="20"/>
          <w:szCs w:val="20"/>
        </w:rPr>
      </w:pPr>
      <w:r w:rsidDel="00000000" w:rsidR="00000000" w:rsidRPr="00000000">
        <w:rPr>
          <w:rtl w:val="0"/>
        </w:rPr>
      </w:r>
    </w:p>
    <w:p w:rsidR="00000000" w:rsidDel="00000000" w:rsidP="00000000" w:rsidRDefault="00000000" w:rsidRPr="00000000" w14:paraId="00000051">
      <w:pPr>
        <w:rPr>
          <w:rFonts w:ascii="Verdana" w:cs="Verdana" w:eastAsia="Verdana" w:hAnsi="Verdana"/>
          <w:sz w:val="20"/>
          <w:szCs w:val="20"/>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