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RESOLUCIÓN por la que se declara el inicio del procedimiento administrativo de examen de vigencia y de la revisión de oficio de la cuota compensatoria impuesta a las importaciones de microalambre para soldar originarias de la República Popular China, independientemente del país de procedencia.</w:t>
      </w:r>
      <w:r>
        <w:rPr>
          <w:rFonts w:ascii="Verdana" w:hAnsi="Verdana" w:eastAsia="Verdana" w:cs="Verdana"/>
          <w:b/>
          <w:color w:val="0000FF"/>
          <w:sz w:val="24"/>
          <w:szCs w:val="24"/>
        </w:rPr>
        <w:br w:type="textWrapping"/>
      </w:r>
      <w:bookmarkStart w:id="137" w:name="_GoBack"/>
      <w:r>
        <w:rPr>
          <w:rFonts w:ascii="Verdana" w:hAnsi="Verdana" w:eastAsia="Verdana" w:cs="Verdana"/>
          <w:b/>
          <w:color w:val="0000FF"/>
          <w:sz w:val="24"/>
          <w:szCs w:val="24"/>
        </w:rPr>
        <w:t>(DOF del 0</w:t>
      </w:r>
      <w:r>
        <w:rPr>
          <w:rFonts w:hint="default" w:ascii="Verdana" w:hAnsi="Verdana" w:eastAsia="Verdana" w:cs="Verdana"/>
          <w:b/>
          <w:color w:val="0000FF"/>
          <w:sz w:val="24"/>
          <w:szCs w:val="24"/>
          <w:lang w:val="es-MX"/>
        </w:rPr>
        <w:t>5</w:t>
      </w:r>
      <w:r>
        <w:rPr>
          <w:rFonts w:ascii="Verdana" w:hAnsi="Verdana" w:eastAsia="Verdana" w:cs="Verdana"/>
          <w:b/>
          <w:color w:val="0000FF"/>
          <w:sz w:val="24"/>
          <w:szCs w:val="24"/>
        </w:rPr>
        <w:t xml:space="preserve"> de octubre de 2023)</w:t>
      </w:r>
      <w:bookmarkEnd w:id="137"/>
    </w:p>
    <w:p>
      <w:pPr>
        <w:shd w:val="clear" w:color="auto" w:fill="FFFFFF"/>
        <w:spacing w:after="101" w:line="240" w:lineRule="auto"/>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Secretaría de Economía.</w:t>
      </w:r>
    </w:p>
    <w:p>
      <w:pPr>
        <w:shd w:val="clear" w:color="auto" w:fill="FFFFFF"/>
        <w:spacing w:after="101" w:line="240" w:lineRule="auto"/>
        <w:jc w:val="both"/>
        <w:rPr>
          <w:rFonts w:hint="default" w:ascii="Arial" w:hAnsi="Arial" w:eastAsia="Times New Roman"/>
          <w:b/>
          <w:color w:val="2F2F2F"/>
          <w:sz w:val="20"/>
          <w:szCs w:val="16"/>
          <w:lang w:eastAsia="es-MX"/>
        </w:rPr>
      </w:pP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RESOLUCIÓN POR LA QUE SE DECLARA EL INICIO DEL PROCEDIMIENTO ADMINISTRATIVO DE EXAMEN DE VIGENCIA Y DE LA REVISIÓN DE OFICIO DE LA CUOTA COMPENSATORIA IMPUESTA A LAS IMPORTACIONES DE MICROALAMBRE PARA SOLDAR ORIGINARIAS DE LA REPÚBLICA POPULAR CHINA,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de inicio el expediente administrativo E.C.REV. 18/23 radicado en la Unidad de Prácticas Comerciales Internacionales de la Secretaría de Economía (la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bookmarkStart w:id="0" w:name="_Toc274150695"/>
      <w:bookmarkEnd w:id="0"/>
      <w:bookmarkStart w:id="1" w:name="_Toc472324692"/>
      <w:bookmarkEnd w:id="1"/>
      <w:bookmarkStart w:id="2" w:name="_Toc22039920"/>
      <w:bookmarkEnd w:id="2"/>
      <w:bookmarkStart w:id="3" w:name="_Toc86078893"/>
      <w:bookmarkEnd w:id="3"/>
      <w:bookmarkStart w:id="4" w:name="_Toc116571219"/>
      <w:bookmarkEnd w:id="4"/>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5" w:name="_Toc472324693"/>
      <w:bookmarkEnd w:id="5"/>
      <w:bookmarkStart w:id="6" w:name="_Toc22039921"/>
      <w:bookmarkEnd w:id="6"/>
      <w:bookmarkStart w:id="7" w:name="_Toc86078894"/>
      <w:bookmarkEnd w:id="7"/>
      <w:bookmarkStart w:id="8" w:name="_Toc116571220"/>
      <w:bookmarkEnd w:id="8"/>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9" w:name="_Ref112238278"/>
      <w:bookmarkEnd w:id="9"/>
      <w:bookmarkStart w:id="10" w:name="_Ref144398700"/>
      <w:bookmarkEnd w:id="10"/>
      <w:bookmarkStart w:id="11" w:name="_Ref412739212"/>
      <w:bookmarkEnd w:id="11"/>
      <w:bookmarkStart w:id="12" w:name="_Ref412809687"/>
      <w:bookmarkEnd w:id="12"/>
      <w:bookmarkStart w:id="13" w:name="_Ref412658561"/>
      <w:bookmarkEnd w:id="13"/>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5 de octubre de 2018 se publicó en el Diario Oficial de la Federación (DOF) la Resolución final de la investigación antidumping sobre las importaciones de microalambre para soldar originarias de la República Popular China ("China"), independientemente del país de procedencia ("Resolución Final"). Mediante dicha Resolución, la Secretaría determinó una cuota compensatoria definitiva de 0.57 dólares de los Estados Unidos de América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4" w:name="_Toc472324696"/>
      <w:bookmarkEnd w:id="14"/>
      <w:bookmarkStart w:id="15" w:name="_Toc22039923"/>
      <w:bookmarkEnd w:id="15"/>
      <w:bookmarkStart w:id="16" w:name="_Toc86078895"/>
      <w:bookmarkEnd w:id="16"/>
      <w:bookmarkStart w:id="17" w:name="_Toc116571222"/>
      <w:bookmarkEnd w:id="17"/>
      <w:r>
        <w:rPr>
          <w:rFonts w:hint="default" w:ascii="Arial" w:hAnsi="Arial" w:eastAsia="SimSun" w:cs="Arial"/>
          <w:b/>
          <w:bCs/>
          <w:i w:val="0"/>
          <w:iCs w:val="0"/>
          <w:caps w:val="0"/>
          <w:color w:val="2F2F2F"/>
          <w:spacing w:val="0"/>
          <w:kern w:val="0"/>
          <w:sz w:val="18"/>
          <w:szCs w:val="18"/>
          <w:shd w:val="clear" w:fill="FFFFFF"/>
          <w:lang w:val="en-US" w:eastAsia="zh-CN" w:bidi="ar"/>
        </w:rPr>
        <w:t>B. Aviso sobre la vigencia de cuotas compensatorias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microalambre para soldar originario de China, objeto de este examen y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8" w:name="_Toc472324697"/>
      <w:bookmarkEnd w:id="18"/>
      <w:bookmarkStart w:id="19" w:name="_Toc22039924"/>
      <w:bookmarkEnd w:id="19"/>
      <w:bookmarkStart w:id="20" w:name="_Toc86078896"/>
      <w:bookmarkEnd w:id="20"/>
      <w:bookmarkStart w:id="21" w:name="_Toc116571223"/>
      <w:bookmarkEnd w:id="21"/>
      <w:r>
        <w:rPr>
          <w:rFonts w:hint="default" w:ascii="Arial" w:hAnsi="Arial" w:eastAsia="SimSun" w:cs="Arial"/>
          <w:b/>
          <w:bCs/>
          <w:i w:val="0"/>
          <w:iCs w:val="0"/>
          <w:caps w:val="0"/>
          <w:color w:val="2F2F2F"/>
          <w:spacing w:val="0"/>
          <w:kern w:val="0"/>
          <w:sz w:val="18"/>
          <w:szCs w:val="18"/>
          <w:shd w:val="clear" w:fill="FFFFFF"/>
          <w:lang w:val="en-US" w:eastAsia="zh-CN" w:bidi="ar"/>
        </w:rPr>
        <w:t>C. Manifestación de interés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30 de agosto de 2023 Electrodos Infra, S.A. de C.V., Lincoln Electric Manufactura, S.A. de C.V. y Plásticos y Alambres, S.A. de C.V. ("Electrodos Infra", "Lincoln Electric" y "Plásticos y Alambres"), manifestaron su interés en que la Secretaría inicie el examen de vigencia de la cuota compensatoria definitiva impuesta a las importaciones de microalambre para soldar originarias de China. Propusieron como periodo de examen el comprendido del 1 de julio de 2022 al 30 junio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2" w:name="_Ref144397704"/>
      <w:bookmarkEnd w:id="22"/>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son empresas constituidas conforme a las leyes mexicanas. Entre sus principales actividades se encuentran las de fabricar, comprar, vender, distribuir y comercializar electrodos, alambres, soldaduras, fundentes, artículos para soldar y todo lo relacionado con los procesos de soldadura eléctrica y autógena. Para acreditar su calidad de productores nacionales de microalambre para soldar, presentaron el 30 de agosto de 2023 una carta de la Cámara Nacional de la Industria de Transformación de fecha 31 de agosto de 2023, en la que se señala que son productores nacionales del producto objeto de examen.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3" w:name="_Toc472324698"/>
      <w:bookmarkEnd w:id="23"/>
      <w:bookmarkStart w:id="24" w:name="_Toc22039925"/>
      <w:bookmarkEnd w:id="24"/>
      <w:bookmarkStart w:id="25" w:name="_Toc86078897"/>
      <w:bookmarkEnd w:id="25"/>
      <w:bookmarkStart w:id="26" w:name="_Toc116571224"/>
      <w:bookmarkEnd w:id="26"/>
      <w:r>
        <w:rPr>
          <w:rFonts w:hint="default" w:ascii="Arial" w:hAnsi="Arial" w:eastAsia="SimSun" w:cs="Arial"/>
          <w:b/>
          <w:bCs/>
          <w:i w:val="0"/>
          <w:iCs w:val="0"/>
          <w:caps w:val="0"/>
          <w:color w:val="2F2F2F"/>
          <w:spacing w:val="0"/>
          <w:kern w:val="0"/>
          <w:sz w:val="18"/>
          <w:szCs w:val="18"/>
          <w:shd w:val="clear" w:fill="FFFFFF"/>
          <w:lang w:val="en-US" w:eastAsia="zh-CN" w:bidi="ar"/>
        </w:rPr>
        <w:t>D. Producto objeto de examen y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7" w:name="_Toc472324699"/>
      <w:bookmarkEnd w:id="27"/>
      <w:bookmarkStart w:id="28" w:name="_Toc22039926"/>
      <w:bookmarkEnd w:id="28"/>
      <w:bookmarkStart w:id="29" w:name="_Toc86078898"/>
      <w:bookmarkEnd w:id="29"/>
      <w:bookmarkStart w:id="30" w:name="_Toc116571225"/>
      <w:bookmarkEnd w:id="30"/>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1" w:name="_Toc467144004"/>
      <w:bookmarkEnd w:id="31"/>
      <w:bookmarkStart w:id="32" w:name="_Toc467149394"/>
      <w:bookmarkEnd w:id="32"/>
      <w:bookmarkStart w:id="33" w:name="_Toc467144005"/>
      <w:bookmarkEnd w:id="33"/>
      <w:bookmarkStart w:id="34" w:name="_Toc467149395"/>
      <w:bookmarkEnd w:id="34"/>
      <w:bookmarkStart w:id="35" w:name="_Toc467144006"/>
      <w:bookmarkEnd w:id="35"/>
      <w:bookmarkStart w:id="36" w:name="_Toc467149396"/>
      <w:bookmarkEnd w:id="36"/>
      <w:bookmarkStart w:id="37" w:name="_Toc467144007"/>
      <w:bookmarkEnd w:id="37"/>
      <w:bookmarkStart w:id="38" w:name="_Toc467149397"/>
      <w:bookmarkEnd w:id="38"/>
      <w:bookmarkStart w:id="39" w:name="_Toc467144008"/>
      <w:bookmarkEnd w:id="39"/>
      <w:bookmarkStart w:id="40" w:name="_Toc467149398"/>
      <w:bookmarkEnd w:id="40"/>
      <w:bookmarkStart w:id="41" w:name="_Toc467144009"/>
      <w:bookmarkEnd w:id="41"/>
      <w:bookmarkStart w:id="42" w:name="_Toc467149399"/>
      <w:bookmarkEnd w:id="42"/>
      <w:bookmarkStart w:id="43" w:name="_Toc467144010"/>
      <w:bookmarkEnd w:id="43"/>
      <w:bookmarkStart w:id="44" w:name="_Toc467149400"/>
      <w:bookmarkEnd w:id="44"/>
      <w:bookmarkStart w:id="45" w:name="_Toc467144011"/>
      <w:bookmarkEnd w:id="45"/>
      <w:bookmarkStart w:id="46" w:name="_Toc467149401"/>
      <w:bookmarkEnd w:id="46"/>
      <w:bookmarkStart w:id="47" w:name="_Toc467144012"/>
      <w:bookmarkEnd w:id="47"/>
      <w:bookmarkStart w:id="48" w:name="_Toc467149402"/>
      <w:bookmarkEnd w:id="48"/>
      <w:bookmarkStart w:id="49" w:name="_Toc467144013"/>
      <w:bookmarkEnd w:id="49"/>
      <w:bookmarkStart w:id="50" w:name="_Toc467149403"/>
      <w:bookmarkEnd w:id="50"/>
      <w:bookmarkStart w:id="51" w:name="_Toc467144014"/>
      <w:bookmarkEnd w:id="51"/>
      <w:bookmarkStart w:id="52" w:name="_Toc467149404"/>
      <w:bookmarkEnd w:id="52"/>
      <w:bookmarkStart w:id="53" w:name="_Toc467144015"/>
      <w:bookmarkEnd w:id="53"/>
      <w:bookmarkStart w:id="54" w:name="_Toc467149405"/>
      <w:bookmarkEnd w:id="54"/>
      <w:bookmarkStart w:id="55" w:name="_Toc467144016"/>
      <w:bookmarkEnd w:id="55"/>
      <w:bookmarkStart w:id="56" w:name="_Toc467149406"/>
      <w:bookmarkEnd w:id="56"/>
      <w:bookmarkStart w:id="57" w:name="_Toc472324701"/>
      <w:bookmarkEnd w:id="57"/>
      <w:bookmarkStart w:id="58" w:name="_Toc22039928"/>
      <w:bookmarkEnd w:id="58"/>
      <w:bookmarkStart w:id="59" w:name="_Toc86078900"/>
      <w:bookmarkEnd w:id="59"/>
      <w:bookmarkStart w:id="60" w:name="_Toc116571226"/>
      <w:bookmarkEnd w:id="60"/>
      <w:bookmarkStart w:id="61" w:name="_Toc472324705"/>
      <w:bookmarkEnd w:id="61"/>
      <w:bookmarkStart w:id="62" w:name="_Toc22039932"/>
      <w:bookmarkEnd w:id="62"/>
      <w:bookmarkStart w:id="63" w:name="_Toc86078904"/>
      <w:bookmarkEnd w:id="63"/>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producto objeto de examen y de la revisión de oficio es el microalambre para soldar, el cual es un alambre sólido de acero al carbono aleado con manganeso y silicio, recubierto o no de cobre, en diámetros desde 0.6 hasta 1.6 milímetros, que se funde para unir dos o más piezas de acero por medio de la generación de un arco eléctrico.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En términos comerciales, el microalambre para soldar se define como electrodo de alambre para soldadura de acero al carbono, con o sin recubrimiento de cobre. También se le conoce como microalambre, alambre para soldar, alambre MIG, soldadura en rollo, soldadura de alambre, soldadura MIG, carrete de soldadura, electrodo de alambre, entre otras.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objeto de examen y de la revisión de oficio se encuentra en diámetros desde 0.6 hasta 1.6 milímetros y puede estar recubierto o no de cobre. Es un alambre sólido de acero al carbono aleado con contenido mínimo de silicio de 0.45% y de manganeso de 0.90%. El microalambre para soldar puede diferenciarse por su contenido de manganeso y silicio, los cuales influyen en sus propiedades mecánicas y resistencia a la corrosión.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64" w:name="_Ref132195784"/>
      <w:bookmarkEnd w:id="64"/>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Durante el periodo de vigencia de la cuota compensatoria, el producto objeto de examen se clasificó en las fracciones arancelarias 7229.20.01, 7229.90.99 y 8311.90.01 de la Tarifa de la Ley de los Impuestos Generales de Importación y de Exportación ("TIGIE") publicada en el DOF el 18 de junio de 2007, y sus posteriores modificaciones. Salvo alguna otra precisión, al señalarse TIGIE, se entenderá como el instrumento vigente en el periodo analizado o, en su caso, sus correspondientes modificaciones, conforme a la evolución que se describe a continuación.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El 1 de julio de 2020 se publicó en el DOF el "Decreto por el que se expide la Ley de los Impuestos Generales de importación y de Exportación, y se reforman y adicionan diversas disposiciones de la Ley Aduanera", en el cual se observa que las fracciones arancelarias 7229.20.01, 7229.90.99 y 8311.90.01 de la TIGIE permanecieron vigentes.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65" w:name="_Ref144393093"/>
      <w:bookmarkEnd w:id="65"/>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17 de noviembre de 2020 se publicó en el DOF el "Acuerdo por el que se dan a conocer los Números de Identificación Comercial (NICO) y sus tablas de correlación", en virtud del cual se crearon los NICO para las siguientes fracciones arancelarias: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7229.20.01 se creó el NICO 00, siendo relevante el mismo para el producto objeto de examen.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7229.90.99 se crearon cinco NICO, siendo relevantes para el producto objeto de examen los NICO 01, 02, 03, 04 y 99.</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8311.90.01 se creó el NICO 00, siendo relevante el mismo para el producto objeto de examen.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66" w:name="_Ref134094392"/>
      <w:bookmarkEnd w:id="66"/>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18 de noviembre de 2020 se publicó en el DOF el "Acuerdo por el que se dan a conocer las tablas de correlación entre las fracciones arancelarias de la Tarifa de la Ley de los Impuestos Generales de Importación y de Exportación (TIGIE) 2012 y 2020", donde se observa que las fracciones arancelarias 7229.20.01, 7229.90.99 y 8311.90.01, no presentan cambios en su número de identificación.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7 de junio de 2022 se publicó en el DOF el "Decreto por el que se expide la Ley de los Impuestos Generales de Importación y de Exportación" (Decreto que expide la LIGIE 2022), vigente a partir del 12 de diciembre de 2022, conforme a la "Cuarta Resolución de Modificaciones a las Reglas Generales de Comercio Exterior para 2022" ("Cuarta Resolución"), publicada en el DOF el 5 de diciembre de 2022 y el 14 de julio de 2022 se publicó el "Acuerdo por el que se dan a conocer las tablas de correlación entre las fracciones arancelarias de la Tarifa de la Ley de los Impuestos Generales de Importación y de Exportación (TIGIE) 2020-2022" ("Acuerdo de correlación 2022"), los cuales mantienen vigentes las fracciones arancelarias 7229.20.01, 7229.90.99 y 8311.90.01 de la TIGIE.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El 22 de agosto de 2022 se publicó en el DOF el "Acuerdo por el que se dan a conocer los Números de Identificación Comercial (NICO) y sus tablas de correlación" ("Acuerdo por el que se dan a conocer los NICO 2022"), vigentes a partir del 12 de diciembre de 2022 conforme a la Cuarta Resolución, mediante el cual se mantienen los NICO para la fracción arancelaria 7229.90.99 de la TIGIE y se modificaron para las fracciones arancelarias 7229.20.01 y 8311.90.01, en los siguientes términos: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7229.20.01 se suprimió el NICO 00 y se crearon nueve NICO, siendo relevantes para el producto objeto de examen los NICO 01, 02, 03, 04, 05, 06, 91, 92 y 99.</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8311.90.01 se suprimió el NICO 00 y se crearon nueve NICO, siendo relevantes para el producto objeto de examen los NICO 01, 02, 03, 04, 05, 06, 91, 92 y 99.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De acuerdo con lo anterior, el producto objeto de examen y de la revisión de oficio ingresa al mercado nacional a través de las fracciones arancelarias 7229.20.01, 7229.90.99 y 8311.90.01 de la TIGIE, cuya descripción es la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19"/>
        <w:gridCol w:w="6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319" w:type="dxa"/>
            <w:tcBorders>
              <w:top w:val="single" w:color="000000" w:sz="4" w:space="0"/>
              <w:bottom w:val="single" w:color="000000" w:sz="4" w:space="0"/>
            </w:tcBorders>
            <w:shd w:val="clear" w:color="auto" w:fill="F2F2F2"/>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Codificación arancelaria</w:t>
            </w:r>
          </w:p>
        </w:tc>
        <w:tc>
          <w:tcPr>
            <w:tcW w:w="6661" w:type="dxa"/>
            <w:tcBorders>
              <w:top w:val="single" w:color="000000" w:sz="4" w:space="0"/>
              <w:bottom w:val="single" w:color="000000" w:sz="4" w:space="0"/>
            </w:tcBorders>
            <w:shd w:val="clear" w:color="auto" w:fill="F2F2F2"/>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Capítulo 72</w:t>
            </w:r>
          </w:p>
        </w:tc>
        <w:tc>
          <w:tcPr>
            <w:tcW w:w="6661" w:type="dxa"/>
            <w:tcBorders>
              <w:top w:val="single" w:color="000000" w:sz="4" w:space="0"/>
              <w:bottom w:val="single" w:color="000000" w:sz="4" w:space="0"/>
            </w:tcBorders>
            <w:shd w:val="clear"/>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Fundición, hierro y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Partida 7229</w:t>
            </w:r>
          </w:p>
        </w:tc>
        <w:tc>
          <w:tcPr>
            <w:tcW w:w="6661" w:type="dxa"/>
            <w:tcBorders>
              <w:top w:val="single" w:color="000000" w:sz="4" w:space="0"/>
              <w:bottom w:val="single" w:color="000000" w:sz="4" w:space="0"/>
            </w:tcBorders>
            <w:shd w:val="clear"/>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Alambre de los demás aceros aleados.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7229.20</w:t>
            </w:r>
          </w:p>
        </w:tc>
        <w:tc>
          <w:tcPr>
            <w:tcW w:w="6661" w:type="dxa"/>
            <w:tcBorders>
              <w:top w:val="single" w:color="000000" w:sz="4" w:space="0"/>
              <w:bottom w:val="single" w:color="000000" w:sz="4" w:space="0"/>
            </w:tcBorders>
            <w:shd w:val="clear"/>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De acero silicomanganeso.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F2F2F2"/>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7229.20.01</w:t>
            </w:r>
          </w:p>
        </w:tc>
        <w:tc>
          <w:tcPr>
            <w:tcW w:w="6661" w:type="dxa"/>
            <w:tcBorders>
              <w:top w:val="single" w:color="000000" w:sz="4" w:space="0"/>
              <w:bottom w:val="single" w:color="000000" w:sz="4" w:space="0"/>
            </w:tcBorders>
            <w:shd w:val="clear" w:color="auto" w:fill="F2F2F2"/>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 acero silicomanganeso.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01</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Alambre de soldadura para proceso SAW.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02</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Varilla de soldadura para proceso TIG.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03</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04</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05</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06</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91</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92</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sin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99</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7229.90</w:t>
            </w:r>
          </w:p>
        </w:tc>
        <w:tc>
          <w:tcPr>
            <w:tcW w:w="6661"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F2F2F2"/>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7229.90.99</w:t>
            </w:r>
          </w:p>
        </w:tc>
        <w:tc>
          <w:tcPr>
            <w:tcW w:w="6661" w:type="dxa"/>
            <w:tcBorders>
              <w:top w:val="single" w:color="000000" w:sz="4" w:space="0"/>
              <w:bottom w:val="single" w:color="000000" w:sz="4" w:space="0"/>
            </w:tcBorders>
            <w:shd w:val="clear" w:color="auto" w:fill="F2F2F2"/>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01</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Revestidos de cobre y tratados o no con boro, con diámetro inferior o igual a 0.8 mm, reconocibles para la fabricación de electrodos para cátodos de encendido de focos, tubos de descarga o tubos de rayos cátodicos.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02</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 acero grado herramienta.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03</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Templados en aceite ("oil tempered"), de acero al cromo-silicio y/o al cromo-vanadio, con un contenido de carbono inferior a 1.3% en peso, y un diámetro inferior o igual a 6.35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04</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 acero rápido.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99</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Capítulo 83</w:t>
            </w:r>
          </w:p>
        </w:tc>
        <w:tc>
          <w:tcPr>
            <w:tcW w:w="6661"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Manufacturas diversas de metal común.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0" w:hRule="atLeast"/>
        </w:trPr>
        <w:tc>
          <w:tcPr>
            <w:tcW w:w="2319"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Partida 8311</w:t>
            </w:r>
          </w:p>
        </w:tc>
        <w:tc>
          <w:tcPr>
            <w:tcW w:w="6661"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8311.90</w:t>
            </w:r>
          </w:p>
        </w:tc>
        <w:tc>
          <w:tcPr>
            <w:tcW w:w="6661" w:type="dxa"/>
            <w:tcBorders>
              <w:top w:val="single" w:color="000000" w:sz="4" w:space="0"/>
              <w:bottom w:val="single" w:color="000000" w:sz="4" w:space="0"/>
            </w:tcBorders>
            <w:shd w:val="clear" w:color="auto" w:fill="FFFFFF"/>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F2F2F2"/>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8311.90.01</w:t>
            </w:r>
          </w:p>
        </w:tc>
        <w:tc>
          <w:tcPr>
            <w:tcW w:w="6661" w:type="dxa"/>
            <w:tcBorders>
              <w:top w:val="single" w:color="000000" w:sz="4" w:space="0"/>
              <w:bottom w:val="single" w:color="000000" w:sz="4" w:space="0"/>
            </w:tcBorders>
            <w:shd w:val="clear" w:color="auto" w:fill="F2F2F2"/>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 hierro o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01</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Alambre de soldadura para proceso SAW.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02</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Varilla de soldadura para proceso TIG.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03</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04</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05</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06</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91</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92</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sin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319"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99</w:t>
            </w:r>
          </w:p>
        </w:tc>
        <w:tc>
          <w:tcPr>
            <w:tcW w:w="6661" w:type="dxa"/>
            <w:tcBorders>
              <w:top w:val="single" w:color="000000" w:sz="4" w:space="0"/>
              <w:bottom w:val="single" w:color="000000" w:sz="4" w:space="0"/>
            </w:tcBorders>
            <w:shd w:val="clear" w:color="auto" w:fill="D9D9D9"/>
            <w:tcMar>
              <w:top w:w="0" w:type="dxa"/>
              <w:left w:w="70" w:type="dxa"/>
              <w:bottom w:w="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bl>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que expide la LIGIE 2022, Acuerdo de correlación 2022 y Acuerdo por el que se dan a conocer los NICO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La unidad de medida en las operaciones comerciales y de importación es el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por el que se modifica la Tarifa de la Ley de los Impuestos Generales de Importación y de Exportación", publicado en el DOF el 15 de agosto de 2023, las importaciones que ingresan a través de las fracciones arancelarias 7229.20.01, 7229.90.99 y 8311.90.01 de la TIGIE se encuentran sujetas a un arancel temporal del 25%, a partir del 16 de agosto de 2023, y hasta el 31 de julio de 2025, de conformidad con el Transitorio Primero de dicho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67" w:name="_Toc472324702"/>
      <w:bookmarkEnd w:id="67"/>
      <w:bookmarkStart w:id="68" w:name="_Toc22039929"/>
      <w:bookmarkEnd w:id="68"/>
      <w:bookmarkStart w:id="69" w:name="_Toc86078901"/>
      <w:bookmarkEnd w:id="69"/>
      <w:bookmarkStart w:id="70" w:name="_Toc116571227"/>
      <w:bookmarkEnd w:id="70"/>
      <w:bookmarkStart w:id="71" w:name="_Ref338058862"/>
      <w:bookmarkEnd w:id="71"/>
      <w:bookmarkStart w:id="72" w:name="_Toc334552406"/>
      <w:bookmarkEnd w:id="72"/>
      <w:bookmarkStart w:id="73" w:name="_Toc317859190"/>
      <w:bookmarkEnd w:id="73"/>
      <w:bookmarkStart w:id="74" w:name="_Toc317190417"/>
      <w:bookmarkEnd w:id="74"/>
      <w:bookmarkStart w:id="75" w:name="_Toc317188332"/>
      <w:bookmarkEnd w:id="75"/>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76" w:name="_Ref527126595"/>
      <w:bookmarkEnd w:id="76"/>
      <w:bookmarkStart w:id="77" w:name="_Toc22039930"/>
      <w:bookmarkEnd w:id="77"/>
      <w:bookmarkStart w:id="78" w:name="_Toc86078902"/>
      <w:bookmarkEnd w:id="78"/>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El principal insumo para la fabricación de microalambre para soldar es el alambrón de acero al carbono con contenido mínimo de silicio de 0.45% y de manganeso de 0.90%; otros insumos son: sulfato de cobre, ácido sulfúrico, agua, lubricantes, así como diversos materiales de empaque y trasporte. El proceso de fabricación del producto objeto de examen y de la revisión de oficio consta principalmente de las siguientes etapas: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Inspección favorable de la composición química del alambrón y liberación de la materia prima.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Decapado: Limpieza del alambre por medios mecánicos o químicos.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Trefilado del acero (seco y/o húmedo) conforme a los distintos diámetros requeridos.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Cobrizado: Consistente en el recubrimiento del alambre con cobre superficial (opcional).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Embobinado en carretes o tambores.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79" w:name="_Toc116571228"/>
      <w:bookmarkEnd w:id="79"/>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80" w:name="_Toc472324704"/>
      <w:bookmarkEnd w:id="80"/>
      <w:bookmarkStart w:id="81" w:name="_Toc22039931"/>
      <w:bookmarkEnd w:id="81"/>
      <w:bookmarkStart w:id="82" w:name="_Toc86078903"/>
      <w:bookmarkEnd w:id="82"/>
      <w:bookmarkStart w:id="83" w:name="_Toc116571229"/>
      <w:bookmarkEnd w:id="83"/>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se ofrece típicamente bajo el estándar de la norma AWS A5.18 de la Sociedad Americana de Soldadura (por sus siglas en inglés de American Welding Society), que cataloga los distintos tipos de alambre para soldar y sus propiedades, pero también existen otras normas como la DIN (por sus siglas en alemán de Deustches Institut für Normung) e ISO (por sus siglas en inglés de International Standard Organization).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En el ámbito nacional la norma NMX-H-097-CANACERO-2021 detalla la composición química y estándares permisibles de resistencia a la tensión, cedencia, elongación, impacto, entre otras propiedades físicas y mecánicas que deben cumplir los distintos tipos de microalambre para soldar que cataloga la citada norma.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bookmarkStart w:id="84" w:name="_Toc467144022"/>
      <w:bookmarkEnd w:id="84"/>
      <w:bookmarkStart w:id="85" w:name="_Toc467149412"/>
      <w:bookmarkEnd w:id="85"/>
      <w:bookmarkStart w:id="86" w:name="_Toc467144023"/>
      <w:bookmarkEnd w:id="86"/>
      <w:bookmarkStart w:id="87" w:name="_Toc467149413"/>
      <w:bookmarkEnd w:id="87"/>
      <w:bookmarkStart w:id="88" w:name="_Toc467144024"/>
      <w:bookmarkEnd w:id="88"/>
      <w:bookmarkStart w:id="89" w:name="_Toc467149414"/>
      <w:bookmarkEnd w:id="89"/>
      <w:bookmarkStart w:id="90" w:name="_Toc467144025"/>
      <w:bookmarkEnd w:id="90"/>
      <w:bookmarkStart w:id="91" w:name="_Toc467149415"/>
      <w:bookmarkEnd w:id="91"/>
      <w:bookmarkStart w:id="92" w:name="_Toc467144026"/>
      <w:bookmarkEnd w:id="92"/>
      <w:bookmarkStart w:id="93" w:name="_Toc467149416"/>
      <w:bookmarkEnd w:id="93"/>
      <w:bookmarkStart w:id="94" w:name="_Toc467144027"/>
      <w:bookmarkEnd w:id="94"/>
      <w:bookmarkStart w:id="95" w:name="_Toc467149417"/>
      <w:bookmarkEnd w:id="95"/>
      <w:bookmarkStart w:id="96" w:name="_Toc467144028"/>
      <w:bookmarkEnd w:id="96"/>
      <w:bookmarkStart w:id="97" w:name="_Toc467149418"/>
      <w:bookmarkEnd w:id="97"/>
      <w:r>
        <w:rPr>
          <w:rFonts w:hint="default" w:ascii="Arial" w:hAnsi="Arial" w:eastAsia="SimSun" w:cs="Arial"/>
          <w:b/>
          <w:bCs/>
          <w:i w:val="0"/>
          <w:iCs w:val="0"/>
          <w:caps w:val="0"/>
          <w:color w:val="2F2F2F"/>
          <w:spacing w:val="0"/>
          <w:kern w:val="0"/>
          <w:sz w:val="18"/>
          <w:szCs w:val="18"/>
          <w:shd w:val="clear" w:fill="FFFFFF"/>
          <w:lang w:val="en-US" w:eastAsia="zh-CN" w:bidi="ar"/>
        </w:rPr>
        <w:t>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98" w:name="_Toc116571230"/>
      <w:bookmarkEnd w:id="98"/>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La función esencial del microalambre para soldar es unir cualquier tipo de acero, ya sea láminas, placas y perfiles, entre otros, mediante la aplicación de un proceso de soldadura GMAW (por sus siglas en inglés de Gas Metal Arc Welding), también conocido como MIG (metal y gas inerte) o MAG (metal o gas activo).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se utiliza ampliamente en la industria metalmecánica, automotriz y de la construcción, asimismo, en la fabricación de equipos, estructuras, ensambles y reparación en materiales delgados.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De acuerdo a la clasificación AWS, las designaciones de microalambre para soldar más comerciales son ER70S-3 y ER70S-6, entre sus usos se encuentran los siguientes: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ER70S-3 es un material empleado para la soldadura de láminas, placas, perfiles y demás formas del material base en pasos sencillos o múltiples, también es usado en aquellos materiales ligeramente oxidados, con residuos de pintura, grasa, etc. Asimismo, es utilizado en la unión de cualquier tipo de acero al carbono comercial, igualmente, es usado ampliamente en la industria metalmecánica, automotriz y de la construcción, fabricación de equipos, estructuras, ensambles y reparación en materiales delgados, en general, en donde se requiere alta calidad de la soldadura, rapidez, limpieza y bajo costo de producción,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ER70S-6 es un material empleado para la soldadura de láminas, placas, perfiles y demás formas del material base en pasos sencillos o múltiples, además, es usado en aquellos materiales ligeramente oxidados, con residuos de pintura, grasa, etc., además, se utiliza en la unión de cualquier tipo de acero al carbono comercial, se emplea ampliamente en la fabricación de equipos, estructuras, ensambles y reparación en materiales delgados, en general, en donde se requiere alta calidad de la soldadura, rapidez, limpieza y bajo costo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Posibles partes interesadas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Las partes de las cuales la Secretaría tiene conocimiento y que podrían tener interés en comparecer al presente procedimiento, son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99" w:name="_Toc86078905"/>
      <w:bookmarkEnd w:id="99"/>
      <w:bookmarkStart w:id="100" w:name="_Toc116571231"/>
      <w:bookmarkEnd w:id="100"/>
      <w:r>
        <w:rPr>
          <w:rFonts w:hint="default" w:ascii="Arial" w:hAnsi="Arial" w:eastAsia="SimSun" w:cs="Arial"/>
          <w:b/>
          <w:bCs/>
          <w:i w:val="0"/>
          <w:iCs w:val="0"/>
          <w:caps w:val="0"/>
          <w:color w:val="2F2F2F"/>
          <w:spacing w:val="0"/>
          <w:kern w:val="0"/>
          <w:sz w:val="18"/>
          <w:szCs w:val="18"/>
          <w:shd w:val="clear" w:fill="FFFFFF"/>
          <w:lang w:val="en-US" w:eastAsia="zh-CN" w:bidi="ar"/>
        </w:rPr>
        <w:t>1. Productora nacional</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Electrodos Infra,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Lincoln Electric Manufactura,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Plásticos y Alambres,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Bosques de Cipreses Sur No. 51</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Bosques de las Lomas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11700,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01" w:name="_Toc116571232"/>
      <w:bookmarkEnd w:id="101"/>
      <w:bookmarkStart w:id="102" w:name="_Toc86078906"/>
      <w:bookmarkEnd w:id="102"/>
      <w:r>
        <w:rPr>
          <w:rFonts w:hint="default" w:ascii="Arial" w:hAnsi="Arial" w:eastAsia="SimSun" w:cs="Arial"/>
          <w:b/>
          <w:bCs/>
          <w:i w:val="0"/>
          <w:iCs w:val="0"/>
          <w:caps w:val="0"/>
          <w:color w:val="2F2F2F"/>
          <w:spacing w:val="0"/>
          <w:kern w:val="0"/>
          <w:sz w:val="18"/>
          <w:szCs w:val="18"/>
          <w:shd w:val="clear" w:fill="FFFFFF"/>
          <w:lang w:val="en-US" w:eastAsia="zh-CN" w:bidi="ar"/>
        </w:rPr>
        <w:t>2. Importadoras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Esab México,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Diego Díaz De Berlanga No. 130</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Antiguo Nogalar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66484, San Nicolás de los Garza, Nuevo León</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Industrial Global Supply,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5 de febrero No. 1305, local 4</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Felipe Carrillo Puerto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76138, Querétaro, Querétaro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Proveedor de Soldaduras y Aleaciones,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y/o AVALLOY</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San Dionisio No. 25, interior 6</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Jardines de San Ignacio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45040, Guadalajara, Jalisco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03" w:name="_Toc116571233"/>
      <w:bookmarkEnd w:id="103"/>
      <w:r>
        <w:rPr>
          <w:rFonts w:hint="default" w:ascii="Arial" w:hAnsi="Arial" w:eastAsia="SimSun" w:cs="Arial"/>
          <w:b/>
          <w:bCs/>
          <w:i w:val="0"/>
          <w:iCs w:val="0"/>
          <w:caps w:val="0"/>
          <w:color w:val="2F2F2F"/>
          <w:spacing w:val="0"/>
          <w:kern w:val="0"/>
          <w:sz w:val="18"/>
          <w:szCs w:val="18"/>
          <w:shd w:val="clear" w:fill="FFFFFF"/>
          <w:lang w:val="en-US" w:eastAsia="zh-CN" w:bidi="ar"/>
        </w:rPr>
        <w:t>3. Exportadoras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Changzhou Temo Welding Consumables Co. Ltd.</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Tanggiao Village</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Yoaguan, Wujin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213000, Changzhou, Jiangsu, China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Changzhou Toprank Co. Ltd.</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Wanda Plaza Xingei-District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Zip Code 213000, Changzhou Jiangsu,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04" w:name="_Toc116571234"/>
      <w:bookmarkEnd w:id="104"/>
      <w:r>
        <w:rPr>
          <w:rFonts w:hint="default" w:ascii="Arial" w:hAnsi="Arial" w:eastAsia="SimSun" w:cs="Arial"/>
          <w:b/>
          <w:bCs/>
          <w:i w:val="0"/>
          <w:iCs w:val="0"/>
          <w:caps w:val="0"/>
          <w:color w:val="2F2F2F"/>
          <w:spacing w:val="0"/>
          <w:kern w:val="0"/>
          <w:sz w:val="18"/>
          <w:szCs w:val="18"/>
          <w:shd w:val="clear" w:fill="FFFFFF"/>
          <w:lang w:val="en-US" w:eastAsia="zh-CN" w:bidi="ar"/>
        </w:rPr>
        <w:t>4. Gobierno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China en México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bookmarkStart w:id="105" w:name="_Toc467144033"/>
      <w:bookmarkEnd w:id="105"/>
      <w:bookmarkStart w:id="106" w:name="_Toc467149423"/>
      <w:bookmarkEnd w:id="106"/>
      <w:bookmarkStart w:id="107" w:name="_Toc472324711"/>
      <w:bookmarkEnd w:id="107"/>
      <w:bookmarkStart w:id="108" w:name="_Toc22039937"/>
      <w:bookmarkEnd w:id="108"/>
      <w:bookmarkStart w:id="109" w:name="_Toc86078907"/>
      <w:bookmarkEnd w:id="109"/>
      <w:bookmarkStart w:id="110" w:name="_Toc116571235"/>
      <w:bookmarkEnd w:id="110"/>
      <w:r>
        <w:rPr>
          <w:rFonts w:hint="default" w:ascii="Arial" w:hAnsi="Arial" w:eastAsia="SimSun" w:cs="Arial"/>
          <w:i w:val="0"/>
          <w:iCs w:val="0"/>
          <w:caps w:val="0"/>
          <w:color w:val="2F2F2F"/>
          <w:spacing w:val="0"/>
          <w:kern w:val="0"/>
          <w:sz w:val="18"/>
          <w:szCs w:val="18"/>
          <w:shd w:val="clear" w:fill="FFFFFF"/>
          <w:lang w:val="en-US" w:eastAsia="zh-CN" w:bidi="ar"/>
        </w:rPr>
        <w:t>Av. San Jerónimo No. 217 b</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Tizapán San Ángel, La Otra Banda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01090, Ciudad de México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11" w:name="_Toc472324712"/>
      <w:bookmarkEnd w:id="111"/>
      <w:bookmarkStart w:id="112" w:name="_Toc22039938"/>
      <w:bookmarkEnd w:id="112"/>
      <w:bookmarkStart w:id="113" w:name="_Toc86078908"/>
      <w:bookmarkEnd w:id="113"/>
      <w:bookmarkStart w:id="114" w:name="_Toc116571236"/>
      <w:bookmarkEnd w:id="114"/>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15" w:name="_Toc472324713"/>
      <w:bookmarkEnd w:id="115"/>
      <w:bookmarkStart w:id="116" w:name="_Toc22039939"/>
      <w:bookmarkEnd w:id="116"/>
      <w:bookmarkStart w:id="117" w:name="_Toc86078909"/>
      <w:bookmarkEnd w:id="117"/>
      <w:bookmarkStart w:id="118" w:name="_Toc116571237"/>
      <w:bookmarkEnd w:id="118"/>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12.1 y 12.3 del Acuerdo relativo a la Aplicación del Artículo VI del Acuerdo General sobre Aranceles Aduaneros y Comercio de 1994 (Acuerdo Antidumping); 5o., fracción VII, 67, 68, 70, fracción I y II, 70 B y 89 F de la Ley de Comercio Exterior (LCE); y 80, 81, 99 y 100 párrafos segundo y tercero del Reglamento de la Ley de Comercio Exterior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19" w:name="_Toc472324714"/>
      <w:bookmarkEnd w:id="119"/>
      <w:bookmarkStart w:id="120" w:name="_Toc22039940"/>
      <w:bookmarkEnd w:id="120"/>
      <w:bookmarkStart w:id="121" w:name="_Toc86078910"/>
      <w:bookmarkEnd w:id="121"/>
      <w:bookmarkStart w:id="122" w:name="_Toc116571238"/>
      <w:bookmarkEnd w:id="122"/>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23" w:name="_Toc472324716"/>
      <w:bookmarkEnd w:id="123"/>
      <w:bookmarkStart w:id="124" w:name="_Toc22039941"/>
      <w:bookmarkEnd w:id="124"/>
      <w:bookmarkStart w:id="125" w:name="_Toc86078911"/>
      <w:bookmarkEnd w:id="125"/>
      <w:bookmarkStart w:id="126" w:name="_Toc116571239"/>
      <w:bookmarkEnd w:id="126"/>
      <w:r>
        <w:rPr>
          <w:rFonts w:hint="default" w:ascii="Arial" w:hAnsi="Arial" w:eastAsia="SimSun" w:cs="Arial"/>
          <w:b/>
          <w:bCs/>
          <w:i w:val="0"/>
          <w:iCs w:val="0"/>
          <w:caps w:val="0"/>
          <w:color w:val="2F2F2F"/>
          <w:spacing w:val="0"/>
          <w:kern w:val="0"/>
          <w:sz w:val="18"/>
          <w:szCs w:val="18"/>
          <w:shd w:val="clear" w:fill="FFFFFF"/>
          <w:lang w:val="en-US" w:eastAsia="zh-CN" w:bidi="ar"/>
        </w:rPr>
        <w:t>D. Legitimación para el inicio del examen de vigencia de la cuota compensatoria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En el presente caso, Electrodos Infra, Lincoln Electric y Plásticos y Alambres, en su calidad de productores nacionales del producto objeto de examen, como se acreditó con la carta expedida por la Cámara Nacional de la Industria de Transformación del 31 de agosto de 2023, a que se refiere el punto 4 de la presente Resolución, manifestaron en tiempo y forma, su interés en que se inicie el examen de vigencia de la cuota compensatoria definitiva impuesta a las importaciones de microalambre para soldar originarias de China, por lo que se actualizan los supuestos previstos en la legislación de la materia y, en consecuencia, procede iniciarlo.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27" w:name="_Toc134613717"/>
      <w:bookmarkEnd w:id="127"/>
      <w:bookmarkStart w:id="128" w:name="_Toc472324717"/>
      <w:bookmarkEnd w:id="128"/>
      <w:bookmarkStart w:id="129" w:name="_Toc22039942"/>
      <w:bookmarkEnd w:id="129"/>
      <w:bookmarkStart w:id="130" w:name="_Toc86078912"/>
      <w:bookmarkEnd w:id="130"/>
      <w:bookmarkStart w:id="131" w:name="_Toc116571240"/>
      <w:bookmarkEnd w:id="131"/>
      <w:r>
        <w:rPr>
          <w:rFonts w:hint="default" w:ascii="Arial" w:hAnsi="Arial" w:eastAsia="SimSun" w:cs="Arial"/>
          <w:b/>
          <w:bCs/>
          <w:i w:val="0"/>
          <w:iCs w:val="0"/>
          <w:caps w:val="0"/>
          <w:color w:val="2F2F2F"/>
          <w:spacing w:val="0"/>
          <w:kern w:val="0"/>
          <w:sz w:val="18"/>
          <w:szCs w:val="18"/>
          <w:shd w:val="clear" w:fill="FFFFFF"/>
          <w:lang w:val="en-US" w:eastAsia="zh-CN" w:bidi="ar"/>
        </w:rPr>
        <w:t>E. Supuestos legales de la revisión de oficio de la cuota compensatoria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artículo 11.1 del Acuerdo Antidumping prevé que un derecho antidumping, que en la legislación mexicana se denomina cuota compensatoria, permanecerá en vigor durante el tiempo y en la medida necesarios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revisión anual a solicitud de parte o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En este sentido, los artículos 11.2 del Acuerdo Antidumping, y 68 de la LCE, facultan a la Secretaría para examinar, </w:t>
      </w:r>
      <w:r>
        <w:rPr>
          <w:rFonts w:hint="default" w:ascii="Arial" w:hAnsi="Arial" w:eastAsia="SimSun" w:cs="Arial"/>
          <w:i/>
          <w:iCs/>
          <w:caps w:val="0"/>
          <w:color w:val="2F2F2F"/>
          <w:spacing w:val="0"/>
          <w:kern w:val="0"/>
          <w:sz w:val="18"/>
          <w:szCs w:val="18"/>
          <w:shd w:val="clear" w:fill="FFFFFF"/>
          <w:lang w:val="en-US" w:eastAsia="zh-CN" w:bidi="ar"/>
        </w:rPr>
        <w:t>motu proprio</w:t>
      </w:r>
      <w:r>
        <w:rPr>
          <w:rFonts w:hint="default" w:ascii="Arial" w:hAnsi="Arial" w:eastAsia="SimSun" w:cs="Arial"/>
          <w:i w:val="0"/>
          <w:iCs w:val="0"/>
          <w:caps w:val="0"/>
          <w:color w:val="2F2F2F"/>
          <w:spacing w:val="0"/>
          <w:kern w:val="0"/>
          <w:sz w:val="18"/>
          <w:szCs w:val="18"/>
          <w:shd w:val="clear" w:fill="FFFFFF"/>
          <w:lang w:val="en-US" w:eastAsia="zh-CN" w:bidi="ar"/>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Por lo tanto, resulta altamente probable que las condiciones de mercado existentes al momento en el que se impuso la cuota compensatoria e incluso durante la substanciación del procedimiento que la antecedió hayan variado. En este caso, toda vez que la cuota compensatoria ha estado vigente por casi cinco años, resulta procedente iniciar el presente procedimiento de revisión de oficio de la cuota compensatoria para determinar la pertinencia de su mantenimiento, eliminación, modificación o actualización, con base en los datos pertenecientes a los periodos más cercanos posibles referidos en el punto 33 de la presente Resolución y con la mejor información disponible a partir de los hechos de los que se tenga conocimiento, de conformidad con la legislación nacional e internacional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Periodo de examen, de la revisión de oficio y de análisis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32" w:name="_Ref139561058"/>
      <w:bookmarkEnd w:id="132"/>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determina fijar como periodo de examen y de la revisión de oficio el propuesto por Electrodos Infra, Lincoln Electric y Plásticos y Alambres, comprendido del 1 de julio de 2022 al 30 junio de 2023 y como periodo de análisis el comprendido del 1 de julio de 2018 al 30 de junio de 2023, toda vez que estos se apegan a lo previsto en el artículo 76 del RLCE y a la recomendación del Comité de Prácticas Antidumping de la Organización Mundial del Comercio (documento G/ADP/6 adoptado el 5 de mayo de 2000).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33" w:name="_Toc472324718"/>
      <w:bookmarkEnd w:id="133"/>
      <w:bookmarkStart w:id="134" w:name="_Toc22039943"/>
      <w:bookmarkEnd w:id="134"/>
      <w:bookmarkStart w:id="135" w:name="_Toc86078913"/>
      <w:bookmarkEnd w:id="135"/>
      <w:bookmarkStart w:id="136" w:name="_Toc116571241"/>
      <w:bookmarkEnd w:id="136"/>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Por lo expuesto, con fundamento en los artículos 11.1, 11.2, 11.3 y 11.4 del Acuerdo Antidumping; 67, 68, 70 fracciones I y II, 70 B y 89 F de la LCE, y 99 y 100 segundo y tercer párrafo del RLCE, se emite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Se declara el inicio del procedimiento administrativo de examen de vigencia y de la revisión de oficio de la cuota compensatoria definitiva impuesta a las importaciones de microalambre para soldar originarias de China, independientemente del país de procedencia, que ingresan a través de las fracciones arancelarias 7229.20.01, 7229.90.99 y 8311.90.01 de la TIGIE, o por cualquier otra.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Se fija como periodo de examen y de la revisión de oficio el comprendido del 1 de julio de 2022 al 30 junio de 2023 y como periodo de análisis el comprendido del 1 de julio de 2018 al 30 de junio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por los artículos 11.2, 11.3 y 11.4 del Acuerdo Antidumping; 70 y 89 F último párrafo de la LCE, así como 94 del RLCE la cuota compensatoria definitiva a que se refiere el punto 1 de la presente Resolución, continuará vigente mientras se tramita el presente procedimiento de examen de vigencia y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6.1, 11.4, 12.1 y la nota al pie de página 15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de vigencia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número 189, Colonia Condesa, Demarcación Territorial Cuauhtémoc, Código Postal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número 189, Colonia Condesa, Demarcación Territorial Cuauhtémoc, Código Postal 06140,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de que se tenga conocimiento.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Agencia Nacional de Aduanas de México,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w:t>
      </w:r>
    </w:p>
    <w:p>
      <w:pPr>
        <w:keepNext w:val="0"/>
        <w:keepLines w:val="0"/>
        <w:widowControl/>
        <w:suppressLineNumbers w:val="0"/>
        <w:shd w:val="clear" w:fill="FFFFFF"/>
        <w:spacing w:after="101"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Ciudad de México, a 2 de octubre de 2023.-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81"/>
    <w:rsid w:val="007E4CFE"/>
    <w:rsid w:val="00861D81"/>
    <w:rsid w:val="38D531A3"/>
    <w:rsid w:val="42DC52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1332</Words>
  <Characters>7332</Characters>
  <Lines>61</Lines>
  <Paragraphs>17</Paragraphs>
  <TotalTime>13</TotalTime>
  <ScaleCrop>false</ScaleCrop>
  <LinksUpToDate>false</LinksUpToDate>
  <CharactersWithSpaces>8647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2023-10-03T14:30:00Z</dcterms:created>
  <dc:creator>Nancy Escutia</dc:creator>
  <cp:lastModifiedBy>Idcw1</cp:lastModifiedBy>
  <dcterms:modified xsi:type="dcterms:W3CDTF">2023-10-05T14:36:01Z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2058-12.2.0.13215</vt:lpwstr>
  </property>
  <property fmtid="{D5CDD505-2E9C-101B-9397-08002B2CF9AE}" pid="3" name="ICV">
    <vt:lpwstr>FBEF9AE777BA4ECEA4FD01F260A8C147_13</vt:lpwstr>
  </property>
</Properties>
</file>