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BE7" w:rsidRDefault="00F14BE7" w:rsidP="00F14BE7">
      <w:pPr>
        <w:jc w:val="center"/>
        <w:rPr>
          <w:rFonts w:ascii="Verdana" w:eastAsia="Verdana" w:hAnsi="Verdana" w:cs="Verdana"/>
          <w:b/>
          <w:color w:val="0000FF"/>
          <w:sz w:val="24"/>
          <w:szCs w:val="24"/>
        </w:rPr>
      </w:pPr>
      <w:r w:rsidRPr="00F14BE7">
        <w:rPr>
          <w:rFonts w:ascii="Verdana" w:eastAsia="Verdana" w:hAnsi="Verdana" w:cs="Verdana"/>
          <w:b/>
          <w:color w:val="0000FF"/>
          <w:sz w:val="24"/>
          <w:szCs w:val="24"/>
        </w:rPr>
        <w:t>AVISO mediante el cual se da a conocer la liga donde se puede consultar las Bases Generales para el Registro, Afectación, Disposición Final y Baja de Bienes Muebles de la Casa de Moneda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 de junio de 2022</w:t>
      </w:r>
      <w:r w:rsidRPr="00575D6A">
        <w:rPr>
          <w:rFonts w:ascii="Verdana" w:eastAsia="Verdana" w:hAnsi="Verdana" w:cs="Verdana"/>
          <w:b/>
          <w:color w:val="0000FF"/>
          <w:sz w:val="24"/>
          <w:szCs w:val="24"/>
        </w:rPr>
        <w:t>)</w:t>
      </w:r>
      <w:bookmarkEnd w:id="0"/>
    </w:p>
    <w:p w:rsidR="00976270" w:rsidRDefault="00F14BE7" w:rsidP="00F14BE7">
      <w:pPr>
        <w:jc w:val="both"/>
        <w:rPr>
          <w:rFonts w:ascii="Arial" w:hAnsi="Arial" w:cs="Arial"/>
          <w:b/>
          <w:color w:val="262626" w:themeColor="text1" w:themeTint="D9"/>
          <w:sz w:val="18"/>
        </w:rPr>
      </w:pPr>
      <w:r w:rsidRPr="00F14BE7">
        <w:rPr>
          <w:rFonts w:ascii="Arial" w:hAnsi="Arial" w:cs="Arial"/>
          <w:b/>
          <w:color w:val="262626" w:themeColor="text1" w:themeTint="D9"/>
          <w:sz w:val="18"/>
        </w:rPr>
        <w:t>Al margen un sello con el Escudo Nacional, que dice: Estados Unidos Mexicanos.- HACIENDA.- Secretaría de Hacienda y Crédito Público.- Casa de Moneda de México.</w:t>
      </w:r>
    </w:p>
    <w:p w:rsidR="00F14BE7" w:rsidRPr="00F14BE7" w:rsidRDefault="00F14BE7" w:rsidP="00F14BE7">
      <w:pPr>
        <w:spacing w:after="101" w:line="240" w:lineRule="auto"/>
        <w:ind w:firstLine="288"/>
        <w:jc w:val="both"/>
        <w:rPr>
          <w:rFonts w:ascii="Arial" w:eastAsia="Times New Roman" w:hAnsi="Arial" w:cs="Arial"/>
          <w:sz w:val="18"/>
          <w:szCs w:val="18"/>
          <w:lang w:eastAsia="es-MX"/>
        </w:rPr>
      </w:pPr>
      <w:r w:rsidRPr="00F14BE7">
        <w:rPr>
          <w:rFonts w:ascii="Arial" w:eastAsia="Times New Roman" w:hAnsi="Arial" w:cs="Arial"/>
          <w:sz w:val="18"/>
          <w:szCs w:val="18"/>
          <w:lang w:eastAsia="es-MX"/>
        </w:rPr>
        <w:t>AVISO MEDIANTE EL CUAL SE DA A CONOCER LA LIGA DONDE SE PUEDE CONSULTAR LAS BASES GENERALES PARA EL REGISTRO, AFECTACIÓN, DISPOSICIÓN FINAL Y BAJA DE BIENES MUEBLES DE LA CASA DE MONEDA DE MÉXICO</w:t>
      </w:r>
    </w:p>
    <w:p w:rsidR="00F14BE7" w:rsidRPr="00F14BE7" w:rsidRDefault="00F14BE7" w:rsidP="00F14BE7">
      <w:pPr>
        <w:spacing w:after="101" w:line="240" w:lineRule="auto"/>
        <w:ind w:firstLine="288"/>
        <w:jc w:val="both"/>
        <w:rPr>
          <w:rFonts w:ascii="Arial" w:eastAsia="Times New Roman" w:hAnsi="Arial" w:cs="Arial"/>
          <w:sz w:val="18"/>
          <w:szCs w:val="18"/>
          <w:lang w:eastAsia="es-MX"/>
        </w:rPr>
      </w:pPr>
      <w:r w:rsidRPr="00F14BE7">
        <w:rPr>
          <w:rFonts w:ascii="Arial" w:eastAsia="Times New Roman" w:hAnsi="Arial" w:cs="Arial"/>
          <w:sz w:val="18"/>
          <w:szCs w:val="18"/>
          <w:lang w:eastAsia="es-MX"/>
        </w:rPr>
        <w:t xml:space="preserve">Alejandro Ramírez Sandoval, Subdirector Corporativo Jurídico y de Seguridad de la Casa de Moneda de México, con fundamento en lo dispuesto en los artículos 11, fracciones II y III de la Ley de la Casa de Moneda de México; 101, fracción I, 139, párrafos segundo y tercero de la Ley General de Bienes Nacionales; 19 de la Ley Orgánica de la Administración Pública Federal; numeral 6.1. </w:t>
      </w:r>
      <w:proofErr w:type="gramStart"/>
      <w:r w:rsidRPr="00F14BE7">
        <w:rPr>
          <w:rFonts w:ascii="Arial" w:eastAsia="Times New Roman" w:hAnsi="Arial" w:cs="Arial"/>
          <w:sz w:val="18"/>
          <w:szCs w:val="18"/>
          <w:lang w:eastAsia="es-MX"/>
        </w:rPr>
        <w:t>del</w:t>
      </w:r>
      <w:proofErr w:type="gramEnd"/>
      <w:r w:rsidRPr="00F14BE7">
        <w:rPr>
          <w:rFonts w:ascii="Arial" w:eastAsia="Times New Roman" w:hAnsi="Arial" w:cs="Arial"/>
          <w:sz w:val="18"/>
          <w:szCs w:val="18"/>
          <w:lang w:eastAsia="es-MX"/>
        </w:rPr>
        <w:t xml:space="preserve"> Manual de Organización de la Casa de Moneda de México; y</w:t>
      </w:r>
    </w:p>
    <w:p w:rsidR="00F14BE7" w:rsidRPr="00F14BE7" w:rsidRDefault="00F14BE7" w:rsidP="00F14BE7">
      <w:pPr>
        <w:spacing w:after="101" w:line="240" w:lineRule="auto"/>
        <w:jc w:val="center"/>
        <w:rPr>
          <w:rFonts w:ascii="Arial" w:eastAsia="Times New Roman" w:hAnsi="Arial" w:cs="Arial"/>
          <w:b/>
          <w:sz w:val="18"/>
          <w:szCs w:val="18"/>
          <w:lang w:eastAsia="es-MX"/>
        </w:rPr>
      </w:pPr>
      <w:r w:rsidRPr="00F14BE7">
        <w:rPr>
          <w:rFonts w:ascii="Arial" w:eastAsia="Times New Roman" w:hAnsi="Arial" w:cs="Arial"/>
          <w:b/>
          <w:sz w:val="18"/>
          <w:szCs w:val="18"/>
          <w:lang w:eastAsia="es-MX"/>
        </w:rPr>
        <w:t>CONSIDERANDO</w:t>
      </w:r>
    </w:p>
    <w:p w:rsidR="00F14BE7" w:rsidRPr="00F14BE7" w:rsidRDefault="00F14BE7" w:rsidP="00F14BE7">
      <w:pPr>
        <w:spacing w:after="101" w:line="240" w:lineRule="auto"/>
        <w:ind w:firstLine="288"/>
        <w:jc w:val="both"/>
        <w:rPr>
          <w:rFonts w:ascii="Arial" w:eastAsia="Times New Roman" w:hAnsi="Arial" w:cs="Arial"/>
          <w:sz w:val="18"/>
          <w:szCs w:val="18"/>
          <w:lang w:eastAsia="es-MX"/>
        </w:rPr>
      </w:pPr>
      <w:r w:rsidRPr="00F14BE7">
        <w:rPr>
          <w:rFonts w:ascii="Arial" w:eastAsia="Times New Roman" w:hAnsi="Arial" w:cs="Arial"/>
          <w:sz w:val="18"/>
          <w:szCs w:val="18"/>
          <w:lang w:eastAsia="es-MX"/>
        </w:rPr>
        <w:t xml:space="preserve">El último párrafo del artículo segundo del Acuerdo publicado en el Diario Oficial de la Federación de fecha 21 de agosto de 2012, por el que se modifica el diverso de fecha 10 de agosto de 2010; y la jurisprudencia de la Suprema Corte de Justicia de la Nación, publicada en el Semanario Judicial de la Federación y su Gaceta Décima Época, Libro 26, Enero de 2016, Tomo II, página 1512, </w:t>
      </w:r>
      <w:proofErr w:type="spellStart"/>
      <w:r w:rsidRPr="00F14BE7">
        <w:rPr>
          <w:rFonts w:ascii="Arial" w:eastAsia="Times New Roman" w:hAnsi="Arial" w:cs="Arial"/>
          <w:sz w:val="18"/>
          <w:szCs w:val="18"/>
          <w:lang w:eastAsia="es-MX"/>
        </w:rPr>
        <w:t>Tésis</w:t>
      </w:r>
      <w:proofErr w:type="spellEnd"/>
      <w:r w:rsidRPr="00F14BE7">
        <w:rPr>
          <w:rFonts w:ascii="Arial" w:eastAsia="Times New Roman" w:hAnsi="Arial" w:cs="Arial"/>
          <w:sz w:val="18"/>
          <w:szCs w:val="18"/>
          <w:lang w:eastAsia="es-MX"/>
        </w:rPr>
        <w:t>: 2a./J. 152/2015 (10a.) registro número 2010889, en Materia Administrativa; esta Entidad, publica la normatividad interna que enseguida se indica, la cual puede verificarse completa en el portal web: www.gob.mx y en la dirección electrónica http://normasapf.funcionpublica.gob.mx/NORMASAPF/ y</w:t>
      </w:r>
    </w:p>
    <w:p w:rsidR="00F14BE7" w:rsidRPr="00F14BE7" w:rsidRDefault="00F14BE7" w:rsidP="00F14BE7">
      <w:pPr>
        <w:spacing w:after="101" w:line="240" w:lineRule="auto"/>
        <w:ind w:firstLine="288"/>
        <w:jc w:val="both"/>
        <w:rPr>
          <w:rFonts w:ascii="Arial" w:eastAsia="Times New Roman" w:hAnsi="Arial" w:cs="Arial"/>
          <w:sz w:val="18"/>
          <w:szCs w:val="18"/>
          <w:lang w:eastAsia="es-MX"/>
        </w:rPr>
      </w:pPr>
      <w:r w:rsidRPr="00F14BE7">
        <w:rPr>
          <w:rFonts w:ascii="Arial" w:eastAsia="Times New Roman" w:hAnsi="Arial" w:cs="Arial"/>
          <w:sz w:val="18"/>
          <w:szCs w:val="18"/>
          <w:lang w:eastAsia="es-MX"/>
        </w:rPr>
        <w:t>www.dof.gob.mx/2022/SHCP/BASES-GENERALES_CasadeMoneda_21-diciembre-2021.pdf</w:t>
      </w:r>
    </w:p>
    <w:p w:rsidR="00F14BE7" w:rsidRPr="00F14BE7" w:rsidRDefault="00F14BE7" w:rsidP="00F14BE7">
      <w:pPr>
        <w:spacing w:after="101" w:line="240" w:lineRule="auto"/>
        <w:ind w:firstLine="288"/>
        <w:jc w:val="both"/>
        <w:rPr>
          <w:rFonts w:ascii="Arial" w:eastAsia="Times New Roman" w:hAnsi="Arial" w:cs="Arial"/>
          <w:sz w:val="18"/>
          <w:szCs w:val="18"/>
          <w:lang w:eastAsia="es-MX"/>
        </w:rPr>
      </w:pPr>
      <w:r w:rsidRPr="00F14BE7">
        <w:rPr>
          <w:rFonts w:ascii="Arial" w:eastAsia="Times New Roman" w:hAnsi="Arial" w:cs="Arial"/>
          <w:sz w:val="18"/>
          <w:szCs w:val="18"/>
          <w:lang w:eastAsia="es-MX"/>
        </w:rPr>
        <w:t>DENOMINACION DE LA NORMA: Bases Generales para el Registro, Afectación, Disposición Final y Baja de Bienes Muebles de la Casa de Moneda de México.</w:t>
      </w:r>
    </w:p>
    <w:p w:rsidR="00F14BE7" w:rsidRPr="00F14BE7" w:rsidRDefault="00F14BE7" w:rsidP="00F14BE7">
      <w:pPr>
        <w:spacing w:after="101" w:line="240" w:lineRule="auto"/>
        <w:ind w:firstLine="288"/>
        <w:jc w:val="both"/>
        <w:rPr>
          <w:rFonts w:ascii="Arial" w:eastAsia="Times New Roman" w:hAnsi="Arial" w:cs="Arial"/>
          <w:sz w:val="18"/>
          <w:szCs w:val="18"/>
          <w:lang w:eastAsia="es-MX"/>
        </w:rPr>
      </w:pPr>
      <w:r w:rsidRPr="00F14BE7">
        <w:rPr>
          <w:rFonts w:ascii="Arial" w:eastAsia="Times New Roman" w:hAnsi="Arial" w:cs="Arial"/>
          <w:sz w:val="18"/>
          <w:szCs w:val="18"/>
          <w:lang w:eastAsia="es-MX"/>
        </w:rPr>
        <w:t>EMISOR: Casa de Moneda de México.</w:t>
      </w:r>
    </w:p>
    <w:p w:rsidR="00F14BE7" w:rsidRPr="00F14BE7" w:rsidRDefault="00F14BE7" w:rsidP="00F14BE7">
      <w:pPr>
        <w:spacing w:after="101" w:line="240" w:lineRule="auto"/>
        <w:ind w:firstLine="288"/>
        <w:jc w:val="both"/>
        <w:rPr>
          <w:rFonts w:ascii="Arial" w:eastAsia="Times New Roman" w:hAnsi="Arial" w:cs="Arial"/>
          <w:sz w:val="18"/>
          <w:szCs w:val="18"/>
          <w:lang w:eastAsia="es-MX"/>
        </w:rPr>
      </w:pPr>
      <w:r w:rsidRPr="00F14BE7">
        <w:rPr>
          <w:rFonts w:ascii="Arial" w:eastAsia="Times New Roman" w:hAnsi="Arial" w:cs="Arial"/>
          <w:sz w:val="18"/>
          <w:szCs w:val="18"/>
          <w:lang w:eastAsia="es-MX"/>
        </w:rPr>
        <w:t xml:space="preserve">FECHA DE EMISION: 09 de noviembre 2012. Reformado el 21 de diciembre de 2021. </w:t>
      </w:r>
    </w:p>
    <w:p w:rsidR="00F14BE7" w:rsidRPr="00F14BE7" w:rsidRDefault="00F14BE7" w:rsidP="00F14BE7">
      <w:pPr>
        <w:spacing w:after="101" w:line="240" w:lineRule="auto"/>
        <w:ind w:firstLine="288"/>
        <w:jc w:val="both"/>
        <w:rPr>
          <w:rFonts w:ascii="Arial" w:eastAsia="Times New Roman" w:hAnsi="Arial" w:cs="Arial"/>
          <w:sz w:val="18"/>
          <w:szCs w:val="18"/>
          <w:lang w:eastAsia="es-MX"/>
        </w:rPr>
      </w:pPr>
      <w:r w:rsidRPr="00F14BE7">
        <w:rPr>
          <w:rFonts w:ascii="Arial" w:eastAsia="Times New Roman" w:hAnsi="Arial" w:cs="Arial"/>
          <w:sz w:val="18"/>
          <w:szCs w:val="18"/>
          <w:lang w:eastAsia="es-MX"/>
        </w:rPr>
        <w:t xml:space="preserve">MATERIA: </w:t>
      </w:r>
      <w:r w:rsidRPr="00F14BE7">
        <w:rPr>
          <w:rFonts w:ascii="Arial" w:eastAsia="Times New Roman" w:hAnsi="Arial" w:cs="Arial"/>
          <w:color w:val="000000"/>
          <w:sz w:val="18"/>
          <w:szCs w:val="18"/>
          <w:lang w:eastAsia="es-MX"/>
        </w:rPr>
        <w:t>Administrativa.</w:t>
      </w:r>
    </w:p>
    <w:p w:rsidR="00F14BE7" w:rsidRPr="00F14BE7" w:rsidRDefault="00F14BE7" w:rsidP="00F14BE7">
      <w:pPr>
        <w:spacing w:after="101" w:line="240" w:lineRule="auto"/>
        <w:jc w:val="center"/>
        <w:rPr>
          <w:rFonts w:ascii="Arial" w:eastAsia="Times New Roman" w:hAnsi="Arial" w:cs="Arial"/>
          <w:b/>
          <w:sz w:val="18"/>
          <w:szCs w:val="18"/>
          <w:lang w:eastAsia="es-MX"/>
        </w:rPr>
      </w:pPr>
      <w:r w:rsidRPr="00F14BE7">
        <w:rPr>
          <w:rFonts w:ascii="Arial" w:eastAsia="Times New Roman" w:hAnsi="Arial" w:cs="Arial"/>
          <w:b/>
          <w:sz w:val="18"/>
          <w:szCs w:val="18"/>
          <w:lang w:eastAsia="es-MX"/>
        </w:rPr>
        <w:t>TRANSITORIOS</w:t>
      </w:r>
    </w:p>
    <w:p w:rsidR="00F14BE7" w:rsidRPr="00F14BE7" w:rsidRDefault="00F14BE7" w:rsidP="00F14BE7">
      <w:pPr>
        <w:spacing w:after="101" w:line="240" w:lineRule="auto"/>
        <w:ind w:firstLine="288"/>
        <w:jc w:val="both"/>
        <w:rPr>
          <w:rFonts w:ascii="Arial" w:eastAsia="Times New Roman" w:hAnsi="Arial" w:cs="Arial"/>
          <w:sz w:val="18"/>
          <w:szCs w:val="18"/>
          <w:lang w:eastAsia="es-MX"/>
        </w:rPr>
      </w:pPr>
      <w:r w:rsidRPr="00F14BE7">
        <w:rPr>
          <w:rFonts w:ascii="Arial" w:eastAsia="Times New Roman" w:hAnsi="Arial" w:cs="Arial"/>
          <w:b/>
          <w:bCs/>
          <w:sz w:val="18"/>
          <w:szCs w:val="18"/>
          <w:lang w:eastAsia="es-MX"/>
        </w:rPr>
        <w:t>Único.-</w:t>
      </w:r>
      <w:r w:rsidRPr="00F14BE7">
        <w:rPr>
          <w:rFonts w:ascii="Arial" w:eastAsia="Times New Roman" w:hAnsi="Arial" w:cs="Arial"/>
          <w:sz w:val="18"/>
          <w:szCs w:val="18"/>
          <w:lang w:eastAsia="es-MX"/>
        </w:rPr>
        <w:t xml:space="preserve"> El presente acuerdo entrará en vigor al día siguiente de su publicación en el Diario Oficial de la Federación.</w:t>
      </w:r>
    </w:p>
    <w:p w:rsidR="00F14BE7" w:rsidRPr="00F14BE7" w:rsidRDefault="00F14BE7" w:rsidP="00F14BE7">
      <w:pPr>
        <w:spacing w:after="101" w:line="240" w:lineRule="auto"/>
        <w:ind w:firstLine="288"/>
        <w:jc w:val="both"/>
        <w:rPr>
          <w:rFonts w:ascii="Arial" w:eastAsia="Times New Roman" w:hAnsi="Arial" w:cs="Arial"/>
          <w:sz w:val="18"/>
          <w:szCs w:val="18"/>
          <w:lang w:eastAsia="es-MX"/>
        </w:rPr>
      </w:pPr>
      <w:r w:rsidRPr="00F14BE7">
        <w:rPr>
          <w:rFonts w:ascii="Arial" w:eastAsia="Times New Roman" w:hAnsi="Arial" w:cs="Arial"/>
          <w:sz w:val="18"/>
          <w:szCs w:val="18"/>
          <w:lang w:eastAsia="es-MX"/>
        </w:rPr>
        <w:t>Ciudad de México, a 13 de mayo de 2022.- El Subdirector Corporativo Jurídico y de Seguridad, Lic.</w:t>
      </w:r>
      <w:r w:rsidRPr="00F14BE7">
        <w:rPr>
          <w:rFonts w:ascii="Arial" w:eastAsia="Times New Roman" w:hAnsi="Arial" w:cs="Arial"/>
          <w:b/>
          <w:bCs/>
          <w:sz w:val="18"/>
          <w:szCs w:val="18"/>
          <w:lang w:eastAsia="es-MX"/>
        </w:rPr>
        <w:t xml:space="preserve"> Alejandro Ramírez Sandoval</w:t>
      </w:r>
      <w:r w:rsidRPr="00F14BE7">
        <w:rPr>
          <w:rFonts w:ascii="Arial" w:eastAsia="Times New Roman" w:hAnsi="Arial" w:cs="Arial"/>
          <w:sz w:val="18"/>
          <w:szCs w:val="18"/>
          <w:lang w:eastAsia="es-MX"/>
        </w:rPr>
        <w:t>.- Rúbrica.</w:t>
      </w:r>
    </w:p>
    <w:p w:rsidR="00F14BE7" w:rsidRDefault="00F14BE7" w:rsidP="00F14BE7">
      <w:pPr>
        <w:jc w:val="both"/>
      </w:pPr>
    </w:p>
    <w:sectPr w:rsidR="00F14B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E7"/>
    <w:rsid w:val="005152B3"/>
    <w:rsid w:val="00DA3647"/>
    <w:rsid w:val="00F14B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B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F14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B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F14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605809">
      <w:bodyDiv w:val="1"/>
      <w:marLeft w:val="0"/>
      <w:marRight w:val="0"/>
      <w:marTop w:val="0"/>
      <w:marBottom w:val="0"/>
      <w:divBdr>
        <w:top w:val="none" w:sz="0" w:space="0" w:color="auto"/>
        <w:left w:val="none" w:sz="0" w:space="0" w:color="auto"/>
        <w:bottom w:val="none" w:sz="0" w:space="0" w:color="auto"/>
        <w:right w:val="none" w:sz="0" w:space="0" w:color="auto"/>
      </w:divBdr>
      <w:divsChild>
        <w:div w:id="2073771477">
          <w:marLeft w:val="0"/>
          <w:marRight w:val="0"/>
          <w:marTop w:val="0"/>
          <w:marBottom w:val="101"/>
          <w:divBdr>
            <w:top w:val="none" w:sz="0" w:space="0" w:color="auto"/>
            <w:left w:val="none" w:sz="0" w:space="0" w:color="auto"/>
            <w:bottom w:val="none" w:sz="0" w:space="0" w:color="auto"/>
            <w:right w:val="none" w:sz="0" w:space="0" w:color="auto"/>
          </w:divBdr>
        </w:div>
        <w:div w:id="485974719">
          <w:marLeft w:val="0"/>
          <w:marRight w:val="0"/>
          <w:marTop w:val="0"/>
          <w:marBottom w:val="101"/>
          <w:divBdr>
            <w:top w:val="none" w:sz="0" w:space="0" w:color="auto"/>
            <w:left w:val="none" w:sz="0" w:space="0" w:color="auto"/>
            <w:bottom w:val="none" w:sz="0" w:space="0" w:color="auto"/>
            <w:right w:val="none" w:sz="0" w:space="0" w:color="auto"/>
          </w:divBdr>
        </w:div>
        <w:div w:id="1779835861">
          <w:marLeft w:val="0"/>
          <w:marRight w:val="0"/>
          <w:marTop w:val="101"/>
          <w:marBottom w:val="101"/>
          <w:divBdr>
            <w:top w:val="none" w:sz="0" w:space="0" w:color="auto"/>
            <w:left w:val="none" w:sz="0" w:space="0" w:color="auto"/>
            <w:bottom w:val="none" w:sz="0" w:space="0" w:color="auto"/>
            <w:right w:val="none" w:sz="0" w:space="0" w:color="auto"/>
          </w:divBdr>
        </w:div>
        <w:div w:id="710035491">
          <w:marLeft w:val="0"/>
          <w:marRight w:val="0"/>
          <w:marTop w:val="0"/>
          <w:marBottom w:val="101"/>
          <w:divBdr>
            <w:top w:val="none" w:sz="0" w:space="0" w:color="auto"/>
            <w:left w:val="none" w:sz="0" w:space="0" w:color="auto"/>
            <w:bottom w:val="none" w:sz="0" w:space="0" w:color="auto"/>
            <w:right w:val="none" w:sz="0" w:space="0" w:color="auto"/>
          </w:divBdr>
        </w:div>
        <w:div w:id="308829090">
          <w:marLeft w:val="0"/>
          <w:marRight w:val="0"/>
          <w:marTop w:val="0"/>
          <w:marBottom w:val="101"/>
          <w:divBdr>
            <w:top w:val="none" w:sz="0" w:space="0" w:color="auto"/>
            <w:left w:val="none" w:sz="0" w:space="0" w:color="auto"/>
            <w:bottom w:val="none" w:sz="0" w:space="0" w:color="auto"/>
            <w:right w:val="none" w:sz="0" w:space="0" w:color="auto"/>
          </w:divBdr>
        </w:div>
        <w:div w:id="1827865550">
          <w:marLeft w:val="0"/>
          <w:marRight w:val="0"/>
          <w:marTop w:val="0"/>
          <w:marBottom w:val="101"/>
          <w:divBdr>
            <w:top w:val="none" w:sz="0" w:space="0" w:color="auto"/>
            <w:left w:val="none" w:sz="0" w:space="0" w:color="auto"/>
            <w:bottom w:val="none" w:sz="0" w:space="0" w:color="auto"/>
            <w:right w:val="none" w:sz="0" w:space="0" w:color="auto"/>
          </w:divBdr>
        </w:div>
        <w:div w:id="12609908">
          <w:marLeft w:val="0"/>
          <w:marRight w:val="0"/>
          <w:marTop w:val="0"/>
          <w:marBottom w:val="101"/>
          <w:divBdr>
            <w:top w:val="none" w:sz="0" w:space="0" w:color="auto"/>
            <w:left w:val="none" w:sz="0" w:space="0" w:color="auto"/>
            <w:bottom w:val="none" w:sz="0" w:space="0" w:color="auto"/>
            <w:right w:val="none" w:sz="0" w:space="0" w:color="auto"/>
          </w:divBdr>
        </w:div>
        <w:div w:id="773282637">
          <w:marLeft w:val="0"/>
          <w:marRight w:val="0"/>
          <w:marTop w:val="0"/>
          <w:marBottom w:val="101"/>
          <w:divBdr>
            <w:top w:val="none" w:sz="0" w:space="0" w:color="auto"/>
            <w:left w:val="none" w:sz="0" w:space="0" w:color="auto"/>
            <w:bottom w:val="none" w:sz="0" w:space="0" w:color="auto"/>
            <w:right w:val="none" w:sz="0" w:space="0" w:color="auto"/>
          </w:divBdr>
        </w:div>
        <w:div w:id="841165682">
          <w:marLeft w:val="0"/>
          <w:marRight w:val="0"/>
          <w:marTop w:val="0"/>
          <w:marBottom w:val="101"/>
          <w:divBdr>
            <w:top w:val="none" w:sz="0" w:space="0" w:color="auto"/>
            <w:left w:val="none" w:sz="0" w:space="0" w:color="auto"/>
            <w:bottom w:val="none" w:sz="0" w:space="0" w:color="auto"/>
            <w:right w:val="none" w:sz="0" w:space="0" w:color="auto"/>
          </w:divBdr>
        </w:div>
        <w:div w:id="920259814">
          <w:marLeft w:val="0"/>
          <w:marRight w:val="0"/>
          <w:marTop w:val="101"/>
          <w:marBottom w:val="101"/>
          <w:divBdr>
            <w:top w:val="none" w:sz="0" w:space="0" w:color="auto"/>
            <w:left w:val="none" w:sz="0" w:space="0" w:color="auto"/>
            <w:bottom w:val="none" w:sz="0" w:space="0" w:color="auto"/>
            <w:right w:val="none" w:sz="0" w:space="0" w:color="auto"/>
          </w:divBdr>
        </w:div>
        <w:div w:id="1794709360">
          <w:marLeft w:val="0"/>
          <w:marRight w:val="0"/>
          <w:marTop w:val="0"/>
          <w:marBottom w:val="101"/>
          <w:divBdr>
            <w:top w:val="none" w:sz="0" w:space="0" w:color="auto"/>
            <w:left w:val="none" w:sz="0" w:space="0" w:color="auto"/>
            <w:bottom w:val="none" w:sz="0" w:space="0" w:color="auto"/>
            <w:right w:val="none" w:sz="0" w:space="0" w:color="auto"/>
          </w:divBdr>
        </w:div>
        <w:div w:id="5873466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2022-06-06T13:52:00Z</dcterms:created>
  <dcterms:modified xsi:type="dcterms:W3CDTF">2022-06-06T13:54:00Z</dcterms:modified>
</cp:coreProperties>
</file>