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DE" w:rsidRPr="00153FDE" w:rsidRDefault="00153FDE" w:rsidP="00153FDE">
      <w:pPr>
        <w:jc w:val="center"/>
        <w:rPr>
          <w:rFonts w:ascii="Verdana" w:hAnsi="Verdana" w:cs="Tahoma"/>
          <w:b/>
          <w:bCs/>
          <w:color w:val="0070C0"/>
          <w:sz w:val="24"/>
        </w:rPr>
      </w:pPr>
      <w:bookmarkStart w:id="0" w:name="_GoBack"/>
      <w:r w:rsidRPr="00153FDE">
        <w:rPr>
          <w:rFonts w:ascii="Verdana" w:hAnsi="Verdana" w:cs="Tahoma"/>
          <w:b/>
          <w:bCs/>
          <w:color w:val="0070C0"/>
          <w:sz w:val="24"/>
        </w:rPr>
        <w:t>Aviso mediante el cual se da a conocer el monto del cupo máximo al mes de marzo de 2018, para exportar azúcar a los Estados Unidos de América durante el periodo comprendido entre el 1 de octubre de 2017 y el 30 de septiembre de 2018.</w:t>
      </w:r>
    </w:p>
    <w:bookmarkEnd w:id="0"/>
    <w:p w:rsidR="00D0127A" w:rsidRDefault="004554A7" w:rsidP="004554A7">
      <w:pPr>
        <w:jc w:val="center"/>
        <w:rPr>
          <w:rFonts w:ascii="Verdana" w:hAnsi="Verdana" w:cs="Tahoma"/>
          <w:b/>
          <w:bCs/>
          <w:color w:val="0070C0"/>
          <w:sz w:val="24"/>
        </w:rPr>
      </w:pPr>
      <w:r w:rsidRPr="004554A7">
        <w:rPr>
          <w:rFonts w:ascii="Verdana" w:hAnsi="Verdana" w:cs="Tahoma"/>
          <w:b/>
          <w:bCs/>
          <w:color w:val="0070C0"/>
          <w:sz w:val="24"/>
        </w:rPr>
        <w:t xml:space="preserve"> </w:t>
      </w:r>
      <w:r w:rsidR="00D0127A">
        <w:rPr>
          <w:rFonts w:ascii="Verdana" w:hAnsi="Verdana" w:cs="Tahoma"/>
          <w:b/>
          <w:bCs/>
          <w:color w:val="0070C0"/>
          <w:sz w:val="24"/>
        </w:rPr>
        <w:t>(DOF del 10 de abril de 2018)</w:t>
      </w:r>
    </w:p>
    <w:p w:rsidR="00153FDE" w:rsidRPr="00153FDE" w:rsidRDefault="00153FDE" w:rsidP="00153FDE">
      <w:pPr>
        <w:jc w:val="both"/>
        <w:rPr>
          <w:rFonts w:ascii="Verdana" w:hAnsi="Verdana" w:cs="Tahoma"/>
          <w:b/>
          <w:bCs/>
          <w:sz w:val="20"/>
        </w:rPr>
      </w:pPr>
      <w:r w:rsidRPr="00153FDE">
        <w:rPr>
          <w:rFonts w:ascii="Verdana" w:hAnsi="Verdana" w:cs="Tahoma"/>
          <w:b/>
          <w:bCs/>
          <w:sz w:val="20"/>
        </w:rPr>
        <w:t>Al margen un sello con el Escudo Nacional, que dice: Estados Unidos Mexicanos.- Secretaría de Economía.</w:t>
      </w:r>
    </w:p>
    <w:p w:rsidR="00153FDE" w:rsidRPr="00153FDE" w:rsidRDefault="00153FDE" w:rsidP="00153FDE">
      <w:pPr>
        <w:jc w:val="both"/>
        <w:rPr>
          <w:rFonts w:ascii="Verdana" w:hAnsi="Verdana" w:cs="Tahoma"/>
          <w:bCs/>
          <w:sz w:val="20"/>
        </w:rPr>
      </w:pPr>
      <w:r w:rsidRPr="00153FDE">
        <w:rPr>
          <w:rFonts w:ascii="Verdana" w:hAnsi="Verdana" w:cs="Tahoma"/>
          <w:bCs/>
          <w:sz w:val="20"/>
        </w:rPr>
        <w:t>AVISO MEDIANTE EL CUAL SE DA A CONOCER EL MONTO DEL CUPO MÁXIMO AL MES DE MARZO DE 2018, PARA EXPORTAR AZÚCAR A LOS ESTADOS UNIDOS DE AMÉRICA DURANTE EL PERIODO COMPRENDIDO ENTRE EL 1 DE OCTUBRE DE 2017 Y EL 30 DE SEPTIEMBRE DE 2018.</w:t>
      </w:r>
    </w:p>
    <w:p w:rsidR="00153FDE" w:rsidRPr="00153FDE" w:rsidRDefault="00153FDE" w:rsidP="00153FDE">
      <w:pPr>
        <w:jc w:val="both"/>
        <w:rPr>
          <w:rFonts w:ascii="Verdana" w:hAnsi="Verdana" w:cs="Tahoma"/>
          <w:bCs/>
          <w:sz w:val="20"/>
        </w:rPr>
      </w:pPr>
      <w:r w:rsidRPr="00153FDE">
        <w:rPr>
          <w:rFonts w:ascii="Verdana" w:hAnsi="Verdana" w:cs="Tahoma"/>
          <w:bCs/>
          <w:sz w:val="20"/>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153FDE" w:rsidRPr="00153FDE" w:rsidRDefault="00153FDE" w:rsidP="00153FDE">
      <w:pPr>
        <w:jc w:val="both"/>
        <w:rPr>
          <w:rFonts w:ascii="Verdana" w:hAnsi="Verdana" w:cs="Tahoma"/>
          <w:bCs/>
          <w:sz w:val="20"/>
        </w:rPr>
      </w:pPr>
      <w:r w:rsidRPr="00153FDE">
        <w:rPr>
          <w:rFonts w:ascii="Verdana" w:hAnsi="Verdana" w:cs="Tahoma"/>
          <w:bCs/>
          <w:sz w:val="20"/>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153FDE" w:rsidRPr="00153FDE" w:rsidRDefault="00153FDE" w:rsidP="00153FDE">
      <w:pPr>
        <w:jc w:val="both"/>
        <w:rPr>
          <w:rFonts w:ascii="Verdana" w:hAnsi="Verdana" w:cs="Tahoma"/>
          <w:bCs/>
          <w:sz w:val="20"/>
        </w:rPr>
      </w:pPr>
      <w:r w:rsidRPr="00153FDE">
        <w:rPr>
          <w:rFonts w:ascii="Verdana" w:hAnsi="Verdana" w:cs="Tahoma"/>
          <w:bCs/>
          <w:sz w:val="20"/>
        </w:rPr>
        <w:t>Mediante avisos publicados en el Diario Oficial de la Federación el 13 de octubre de 2017 se dio a conocer el monto de cupo máximo para exportar azúcar a los Estados Unidos de América, durante el periodo comprendido entre el 1 de octubre de 2017 y el 30 de septiembre de 2018.</w:t>
      </w:r>
    </w:p>
    <w:p w:rsidR="00153FDE" w:rsidRPr="00153FDE" w:rsidRDefault="00153FDE" w:rsidP="00153FDE">
      <w:pPr>
        <w:jc w:val="both"/>
        <w:rPr>
          <w:rFonts w:ascii="Verdana" w:hAnsi="Verdana" w:cs="Tahoma"/>
          <w:bCs/>
          <w:sz w:val="20"/>
        </w:rPr>
      </w:pPr>
      <w:r w:rsidRPr="00153FDE">
        <w:rPr>
          <w:rFonts w:ascii="Verdana" w:hAnsi="Verdana" w:cs="Tahoma"/>
          <w:bCs/>
          <w:sz w:val="20"/>
        </w:rPr>
        <w:t>De conformidad con el citado punto 13 del Acuerdo, dicho monto tendrá un ajuste regular en el mes de marzo de cada año.</w:t>
      </w:r>
    </w:p>
    <w:p w:rsidR="00153FDE" w:rsidRPr="00153FDE" w:rsidRDefault="00153FDE" w:rsidP="00153FDE">
      <w:pPr>
        <w:jc w:val="both"/>
        <w:rPr>
          <w:rFonts w:ascii="Verdana" w:hAnsi="Verdana" w:cs="Tahoma"/>
          <w:bCs/>
          <w:sz w:val="20"/>
        </w:rPr>
      </w:pPr>
      <w:r w:rsidRPr="00153FDE">
        <w:rPr>
          <w:rFonts w:ascii="Verdana" w:hAnsi="Verdana" w:cs="Tahoma"/>
          <w:bCs/>
          <w:sz w:val="20"/>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153FDE" w:rsidRPr="00153FDE" w:rsidRDefault="00153FDE" w:rsidP="00153FDE">
      <w:pPr>
        <w:jc w:val="both"/>
        <w:rPr>
          <w:rFonts w:ascii="Verdana" w:hAnsi="Verdana" w:cs="Tahoma"/>
          <w:b/>
          <w:bCs/>
          <w:sz w:val="20"/>
        </w:rPr>
      </w:pPr>
      <w:r w:rsidRPr="00153FDE">
        <w:rPr>
          <w:rFonts w:ascii="Verdana" w:hAnsi="Verdana" w:cs="Tahoma"/>
          <w:b/>
          <w:bCs/>
          <w:sz w:val="20"/>
        </w:rPr>
        <w:t>AVISO</w:t>
      </w:r>
    </w:p>
    <w:p w:rsidR="00153FDE" w:rsidRPr="00153FDE" w:rsidRDefault="00153FDE" w:rsidP="00153FDE">
      <w:pPr>
        <w:jc w:val="both"/>
        <w:rPr>
          <w:rFonts w:ascii="Verdana" w:hAnsi="Verdana" w:cs="Tahoma"/>
          <w:bCs/>
          <w:sz w:val="20"/>
        </w:rPr>
      </w:pPr>
      <w:r w:rsidRPr="00153FDE">
        <w:rPr>
          <w:rFonts w:ascii="Verdana" w:hAnsi="Verdana" w:cs="Tahoma"/>
          <w:b/>
          <w:bCs/>
          <w:sz w:val="20"/>
        </w:rPr>
        <w:t>1.-</w:t>
      </w:r>
      <w:r w:rsidRPr="00153FDE">
        <w:rPr>
          <w:rFonts w:ascii="Verdana" w:hAnsi="Verdana" w:cs="Tahoma"/>
          <w:bCs/>
          <w:sz w:val="20"/>
        </w:rPr>
        <w:t xml:space="preserve"> En cumplimiento a lo establecido en el Punto 13 del Acuerdo por el que se sujeta a permiso previo la exportación de azúcar y se establece un cupo máximo para su exportación, se da a conocer el monto del cupo total al mes de marzo de 2018 para exportar a los Estados Unidos de América (EUA) azúcar originaria de los Estados </w:t>
      </w:r>
      <w:r w:rsidRPr="00153FDE">
        <w:rPr>
          <w:rFonts w:ascii="Verdana" w:hAnsi="Verdana" w:cs="Tahoma"/>
          <w:bCs/>
          <w:sz w:val="20"/>
        </w:rPr>
        <w:lastRenderedPageBreak/>
        <w:t>Unidos Mexicanos, que derive de la caña de azúcar o de remolacha, durante el periodo comprendido entre el 1 de octubre de 2017 y el 30 de septiembre de 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153FDE" w:rsidRPr="00153FDE" w:rsidTr="00153FDE">
        <w:trPr>
          <w:trHeight w:val="348"/>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
                <w:bCs/>
                <w:sz w:val="20"/>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
                <w:bCs/>
                <w:sz w:val="20"/>
              </w:rPr>
              <w:t>Unidad de medida</w:t>
            </w:r>
          </w:p>
        </w:tc>
      </w:tr>
      <w:tr w:rsidR="00153FDE" w:rsidRPr="00153FDE" w:rsidTr="00153FDE">
        <w:trPr>
          <w:trHeight w:val="348"/>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Cs/>
                <w:sz w:val="20"/>
              </w:rPr>
              <w:t>1,150,612.860</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Cs/>
                <w:sz w:val="20"/>
              </w:rPr>
              <w:t>Toneladas métricas valor crudo</w:t>
            </w:r>
          </w:p>
        </w:tc>
      </w:tr>
    </w:tbl>
    <w:p w:rsidR="00153FDE" w:rsidRPr="00153FDE" w:rsidRDefault="00153FDE" w:rsidP="00153FDE">
      <w:pPr>
        <w:jc w:val="both"/>
        <w:rPr>
          <w:rFonts w:ascii="Verdana" w:hAnsi="Verdana" w:cs="Tahoma"/>
          <w:bCs/>
          <w:sz w:val="20"/>
        </w:rPr>
      </w:pPr>
      <w:r w:rsidRPr="00153FDE">
        <w:rPr>
          <w:rFonts w:ascii="Verdana" w:hAnsi="Verdana" w:cs="Tahoma"/>
          <w:bCs/>
          <w:sz w:val="20"/>
        </w:rPr>
        <w:t> </w:t>
      </w:r>
    </w:p>
    <w:p w:rsidR="00153FDE" w:rsidRPr="00153FDE" w:rsidRDefault="00153FDE" w:rsidP="00153FDE">
      <w:pPr>
        <w:jc w:val="both"/>
        <w:rPr>
          <w:rFonts w:ascii="Verdana" w:hAnsi="Verdana" w:cs="Tahoma"/>
          <w:bCs/>
          <w:sz w:val="20"/>
        </w:rPr>
      </w:pPr>
      <w:r w:rsidRPr="00153FDE">
        <w:rPr>
          <w:rFonts w:ascii="Verdana" w:hAnsi="Verdana" w:cs="Tahoma"/>
          <w:b/>
          <w:bCs/>
          <w:sz w:val="20"/>
        </w:rPr>
        <w:t>2.-</w:t>
      </w:r>
      <w:r w:rsidRPr="00153FDE">
        <w:rPr>
          <w:rFonts w:ascii="Verdana" w:hAnsi="Verdana" w:cs="Tahoma"/>
          <w:bCs/>
          <w:sz w:val="20"/>
        </w:rPr>
        <w:t> Conforme al Punto 13 del Acuerdo señalado en el numeral anterior, el monto se determinó conforme a la siguiente fórmula:</w:t>
      </w:r>
    </w:p>
    <w:p w:rsidR="00153FDE" w:rsidRPr="00153FDE" w:rsidRDefault="00153FDE" w:rsidP="00153FDE">
      <w:pPr>
        <w:jc w:val="both"/>
        <w:rPr>
          <w:rFonts w:ascii="Verdana" w:hAnsi="Verdana" w:cs="Tahoma"/>
          <w:bCs/>
          <w:sz w:val="20"/>
        </w:rPr>
      </w:pPr>
      <w:r w:rsidRPr="00153FDE">
        <w:rPr>
          <w:rFonts w:ascii="Verdana" w:hAnsi="Verdana" w:cs="Tahoma"/>
          <w:bCs/>
          <w:sz w:val="20"/>
        </w:rPr>
        <w:t>CT</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w:t>
      </w:r>
      <w:proofErr w:type="spellStart"/>
      <w:r w:rsidRPr="00153FDE">
        <w:rPr>
          <w:rFonts w:ascii="Verdana" w:hAnsi="Verdana" w:cs="Tahoma"/>
          <w:bCs/>
          <w:i/>
          <w:iCs/>
          <w:sz w:val="20"/>
        </w:rPr>
        <w:t>mín</w:t>
      </w:r>
      <w:proofErr w:type="spellEnd"/>
      <w:r w:rsidRPr="00153FDE">
        <w:rPr>
          <w:rFonts w:ascii="Verdana" w:hAnsi="Verdana" w:cs="Tahoma"/>
          <w:bCs/>
          <w:sz w:val="20"/>
        </w:rPr>
        <w:t> [(X</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*Z), Y</w:t>
      </w:r>
      <w:r w:rsidRPr="00153FDE">
        <w:rPr>
          <w:rFonts w:ascii="Verdana" w:hAnsi="Verdana" w:cs="Tahoma"/>
          <w:bCs/>
          <w:sz w:val="20"/>
          <w:vertAlign w:val="subscript"/>
        </w:rPr>
        <w:t>t+</w:t>
      </w:r>
      <w:r w:rsidRPr="00153FDE">
        <w:rPr>
          <w:rFonts w:ascii="Verdana" w:hAnsi="Verdana" w:cs="Tahoma"/>
          <w:bCs/>
          <w:sz w:val="20"/>
        </w:rPr>
        <w:t>3]</w:t>
      </w:r>
    </w:p>
    <w:p w:rsidR="00153FDE" w:rsidRPr="00153FDE" w:rsidRDefault="00153FDE" w:rsidP="00153FDE">
      <w:pPr>
        <w:jc w:val="both"/>
        <w:rPr>
          <w:rFonts w:ascii="Verdana" w:hAnsi="Verdana" w:cs="Tahoma"/>
          <w:bCs/>
          <w:sz w:val="20"/>
        </w:rPr>
      </w:pPr>
      <w:proofErr w:type="spellStart"/>
      <w:r w:rsidRPr="00153FDE">
        <w:rPr>
          <w:rFonts w:ascii="Verdana" w:hAnsi="Verdana" w:cs="Tahoma"/>
          <w:bCs/>
          <w:sz w:val="20"/>
        </w:rPr>
        <w:t>Donde</w:t>
      </w:r>
      <w:proofErr w:type="spellEnd"/>
      <w:r w:rsidRPr="00153FDE">
        <w:rPr>
          <w:rFonts w:ascii="Verdana" w:hAnsi="Verdana" w:cs="Tahoma"/>
          <w:bCs/>
          <w:sz w:val="20"/>
        </w:rPr>
        <w:t>:</w:t>
      </w:r>
    </w:p>
    <w:p w:rsidR="00153FDE" w:rsidRPr="00153FDE" w:rsidRDefault="00153FDE" w:rsidP="00153FDE">
      <w:pPr>
        <w:jc w:val="both"/>
        <w:rPr>
          <w:rFonts w:ascii="Verdana" w:hAnsi="Verdana" w:cs="Tahoma"/>
          <w:bCs/>
          <w:sz w:val="20"/>
        </w:rPr>
      </w:pPr>
      <w:r w:rsidRPr="00153FDE">
        <w:rPr>
          <w:rFonts w:ascii="Verdana" w:hAnsi="Verdana" w:cs="Tahoma"/>
          <w:b/>
          <w:bCs/>
          <w:sz w:val="20"/>
        </w:rPr>
        <w:t>-</w:t>
      </w:r>
      <w:r w:rsidRPr="00153FDE">
        <w:rPr>
          <w:rFonts w:ascii="Verdana" w:hAnsi="Verdana" w:cs="Tahoma"/>
          <w:bCs/>
          <w:sz w:val="20"/>
        </w:rPr>
        <w:t>      CT</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Cupo total calculado en marzo de 2018.</w:t>
      </w:r>
    </w:p>
    <w:p w:rsidR="00153FDE" w:rsidRPr="00153FDE" w:rsidRDefault="00153FDE" w:rsidP="00153FDE">
      <w:pPr>
        <w:jc w:val="both"/>
        <w:rPr>
          <w:rFonts w:ascii="Verdana" w:hAnsi="Verdana" w:cs="Tahoma"/>
          <w:bCs/>
          <w:sz w:val="20"/>
        </w:rPr>
      </w:pPr>
      <w:r w:rsidRPr="00153FDE">
        <w:rPr>
          <w:rFonts w:ascii="Verdana" w:hAnsi="Verdana" w:cs="Tahoma"/>
          <w:b/>
          <w:bCs/>
          <w:sz w:val="20"/>
        </w:rPr>
        <w:t>-</w:t>
      </w:r>
      <w:r w:rsidRPr="00153FDE">
        <w:rPr>
          <w:rFonts w:ascii="Verdana" w:hAnsi="Verdana" w:cs="Tahoma"/>
          <w:bCs/>
          <w:sz w:val="20"/>
        </w:rPr>
        <w:t>      X</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Necesidades totales de EUA, con base en la publicación del Informe de marzo de 2018 sobre las estimaciones de la oferta y la demanda agropecuaria mundiales (WASDE por sus siglas en inglés), el cual puede ser consultado a través del URL:</w:t>
      </w:r>
    </w:p>
    <w:p w:rsidR="00153FDE" w:rsidRPr="00153FDE" w:rsidRDefault="00153FDE" w:rsidP="00153FDE">
      <w:pPr>
        <w:jc w:val="both"/>
        <w:rPr>
          <w:rFonts w:ascii="Verdana" w:hAnsi="Verdana" w:cs="Tahoma"/>
          <w:bCs/>
          <w:sz w:val="20"/>
        </w:rPr>
      </w:pPr>
      <w:r w:rsidRPr="00153FDE">
        <w:rPr>
          <w:rFonts w:ascii="Verdana" w:hAnsi="Verdana" w:cs="Tahoma"/>
          <w:bCs/>
          <w:sz w:val="20"/>
        </w:rPr>
        <w:t>       </w:t>
      </w:r>
      <w:bookmarkStart w:id="1" w:name="_Hlt508705634"/>
      <w:bookmarkStart w:id="2" w:name="_Hlt508705635"/>
      <w:bookmarkEnd w:id="1"/>
      <w:bookmarkEnd w:id="2"/>
      <w:r w:rsidRPr="00153FDE">
        <w:rPr>
          <w:rFonts w:ascii="Verdana" w:hAnsi="Verdana" w:cs="Tahoma"/>
          <w:bCs/>
          <w:sz w:val="20"/>
        </w:rPr>
        <w:t>http://usda.mannlib.cornell.edu/usda/waob/wasde//2010s/2018/wasde-03-08-2018.pdf</w:t>
      </w:r>
    </w:p>
    <w:p w:rsidR="00153FDE" w:rsidRPr="00153FDE" w:rsidRDefault="00153FDE" w:rsidP="00153FDE">
      <w:pPr>
        <w:jc w:val="both"/>
        <w:rPr>
          <w:rFonts w:ascii="Verdana" w:hAnsi="Verdana" w:cs="Tahoma"/>
          <w:bCs/>
          <w:sz w:val="20"/>
        </w:rPr>
      </w:pPr>
      <w:r w:rsidRPr="00153FDE">
        <w:rPr>
          <w:rFonts w:ascii="Verdana" w:hAnsi="Verdana" w:cs="Tahoma"/>
          <w:bCs/>
          <w:sz w:val="20"/>
        </w:rPr>
        <w:t>       Que se calcula de la siguiente manera:</w:t>
      </w:r>
    </w:p>
    <w:p w:rsidR="00153FDE" w:rsidRPr="00153FDE" w:rsidRDefault="00153FDE" w:rsidP="00153FDE">
      <w:pPr>
        <w:jc w:val="both"/>
        <w:rPr>
          <w:rFonts w:ascii="Verdana" w:hAnsi="Verdana" w:cs="Tahoma"/>
          <w:bCs/>
          <w:sz w:val="20"/>
        </w:rPr>
      </w:pPr>
      <w:r w:rsidRPr="00153FDE">
        <w:rPr>
          <w:rFonts w:ascii="Verdana" w:hAnsi="Verdana" w:cs="Tahoma"/>
          <w:bCs/>
          <w:sz w:val="20"/>
        </w:rPr>
        <w:t xml:space="preserve">       (Uso total * 1.135) - inventarios iniciales - producción de azúcar de caña y remolacha - importaciones bajo arancel-cupo - importaciones bajo otros programas de importación - (otras importaciones según precise el WASDE en la nota 5 de la tabla denominada U.S. </w:t>
      </w:r>
      <w:proofErr w:type="spellStart"/>
      <w:r w:rsidRPr="00153FDE">
        <w:rPr>
          <w:rFonts w:ascii="Verdana" w:hAnsi="Verdana" w:cs="Tahoma"/>
          <w:bCs/>
          <w:sz w:val="20"/>
        </w:rPr>
        <w:t>Sugar</w:t>
      </w:r>
      <w:proofErr w:type="spellEnd"/>
      <w:r w:rsidRPr="00153FDE">
        <w:rPr>
          <w:rFonts w:ascii="Verdana" w:hAnsi="Verdana" w:cs="Tahoma"/>
          <w:bCs/>
          <w:sz w:val="20"/>
        </w:rPr>
        <w:t xml:space="preserve"> </w:t>
      </w:r>
      <w:proofErr w:type="spellStart"/>
      <w:r w:rsidRPr="00153FDE">
        <w:rPr>
          <w:rFonts w:ascii="Verdana" w:hAnsi="Verdana" w:cs="Tahoma"/>
          <w:bCs/>
          <w:sz w:val="20"/>
        </w:rPr>
        <w:t>Supply</w:t>
      </w:r>
      <w:proofErr w:type="spellEnd"/>
      <w:r w:rsidRPr="00153FDE">
        <w:rPr>
          <w:rFonts w:ascii="Verdana" w:hAnsi="Verdana" w:cs="Tahoma"/>
          <w:bCs/>
          <w:sz w:val="20"/>
        </w:rPr>
        <w:t xml:space="preserve"> and Use (Oferta y Uso de Azúcar en Estados Unidos) para otras de alto nivel + otras).</w:t>
      </w:r>
    </w:p>
    <w:p w:rsidR="00153FDE" w:rsidRPr="00153FDE" w:rsidRDefault="00153FDE" w:rsidP="00153FDE">
      <w:pPr>
        <w:jc w:val="both"/>
        <w:rPr>
          <w:rFonts w:ascii="Verdana" w:hAnsi="Verdana" w:cs="Tahoma"/>
          <w:bCs/>
          <w:sz w:val="20"/>
        </w:rPr>
      </w:pPr>
      <w:r w:rsidRPr="00153FDE">
        <w:rPr>
          <w:rFonts w:ascii="Verdana" w:hAnsi="Verdana" w:cs="Tahoma"/>
          <w:bCs/>
          <w:sz w:val="20"/>
        </w:rPr>
        <w:t>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53FDE" w:rsidRPr="00153FDE" w:rsidTr="00153FDE">
        <w:tc>
          <w:tcPr>
            <w:tcW w:w="0" w:type="auto"/>
            <w:shd w:val="clear" w:color="auto" w:fill="FFFFFF"/>
            <w:vAlign w:val="center"/>
            <w:hideMark/>
          </w:tcPr>
          <w:p w:rsidR="00153FDE" w:rsidRPr="00153FDE" w:rsidRDefault="00153FDE" w:rsidP="00153FDE">
            <w:pPr>
              <w:jc w:val="both"/>
              <w:rPr>
                <w:rFonts w:ascii="Verdana" w:hAnsi="Verdana" w:cs="Tahoma"/>
                <w:bCs/>
                <w:sz w:val="20"/>
              </w:rPr>
            </w:pPr>
          </w:p>
        </w:tc>
      </w:tr>
    </w:tbl>
    <w:p w:rsidR="00153FDE" w:rsidRPr="00153FDE" w:rsidRDefault="00153FDE" w:rsidP="00153FDE">
      <w:pPr>
        <w:jc w:val="both"/>
        <w:rPr>
          <w:rFonts w:ascii="Verdana" w:hAnsi="Verdana" w:cs="Tahom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153FDE" w:rsidRPr="00153FDE" w:rsidTr="00153FDE">
        <w:trPr>
          <w:trHeight w:val="358"/>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
                <w:bCs/>
                <w:sz w:val="20"/>
              </w:rPr>
              <w:t>Monto (Toneladas cortas valor crudo)</w:t>
            </w:r>
          </w:p>
        </w:tc>
      </w:tr>
      <w:tr w:rsidR="00153FDE" w:rsidRPr="00153FDE" w:rsidTr="00153FDE">
        <w:trPr>
          <w:trHeight w:val="34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Uso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12,630,000.00</w:t>
            </w:r>
          </w:p>
        </w:tc>
      </w:tr>
      <w:tr w:rsidR="00153FDE" w:rsidRPr="00153FDE" w:rsidTr="00153FDE">
        <w:trPr>
          <w:trHeight w:val="34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Inventarios iniciales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1,876,000.00</w:t>
            </w:r>
          </w:p>
        </w:tc>
      </w:tr>
      <w:tr w:rsidR="00153FDE" w:rsidRPr="00153FDE" w:rsidTr="00153FDE">
        <w:trPr>
          <w:trHeight w:val="34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Producción de azúcar de caña y remolacha</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9,240,000.00</w:t>
            </w:r>
          </w:p>
        </w:tc>
      </w:tr>
      <w:tr w:rsidR="00153FDE" w:rsidRPr="00153FDE" w:rsidTr="00153FDE">
        <w:trPr>
          <w:trHeight w:val="34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Importaciones bajo arancel-cupo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1,788,000.00</w:t>
            </w:r>
          </w:p>
        </w:tc>
      </w:tr>
      <w:tr w:rsidR="00153FDE" w:rsidRPr="00153FDE" w:rsidTr="00153FDE">
        <w:trPr>
          <w:trHeight w:val="58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 xml:space="preserve">Importaciones bajo otros programas </w:t>
            </w:r>
            <w:proofErr w:type="spellStart"/>
            <w:r w:rsidRPr="00153FDE">
              <w:rPr>
                <w:rFonts w:ascii="Verdana" w:hAnsi="Verdana" w:cs="Tahoma"/>
                <w:bCs/>
                <w:sz w:val="20"/>
              </w:rPr>
              <w:t>deimportación</w:t>
            </w:r>
            <w:proofErr w:type="spellEnd"/>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400,000.00</w:t>
            </w:r>
          </w:p>
        </w:tc>
      </w:tr>
      <w:tr w:rsidR="00153FDE" w:rsidRPr="00153FDE" w:rsidTr="00153FDE">
        <w:trPr>
          <w:trHeight w:val="600"/>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lastRenderedPageBreak/>
              <w:t>Nota 5 de otras importaciones (otras de alto nivel y otras)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53FDE" w:rsidRPr="00153FDE" w:rsidRDefault="00153FDE" w:rsidP="00153FDE">
            <w:pPr>
              <w:jc w:val="both"/>
              <w:rPr>
                <w:rFonts w:ascii="Verdana" w:hAnsi="Verdana" w:cs="Tahoma"/>
                <w:bCs/>
                <w:sz w:val="20"/>
              </w:rPr>
            </w:pPr>
            <w:r w:rsidRPr="00153FDE">
              <w:rPr>
                <w:rFonts w:ascii="Verdana" w:hAnsi="Verdana" w:cs="Tahoma"/>
                <w:bCs/>
                <w:sz w:val="20"/>
              </w:rPr>
              <w:t>10,000.00</w:t>
            </w:r>
          </w:p>
        </w:tc>
      </w:tr>
    </w:tbl>
    <w:p w:rsidR="00153FDE" w:rsidRPr="00153FDE" w:rsidRDefault="00153FDE" w:rsidP="00153FDE">
      <w:pPr>
        <w:jc w:val="both"/>
        <w:rPr>
          <w:rFonts w:ascii="Verdana" w:hAnsi="Verdana" w:cs="Tahoma"/>
          <w:bCs/>
          <w:sz w:val="20"/>
        </w:rPr>
      </w:pPr>
      <w:r w:rsidRPr="00153FDE">
        <w:rPr>
          <w:rFonts w:ascii="Verdana" w:hAnsi="Verdana" w:cs="Tahoma"/>
          <w:bCs/>
          <w:sz w:val="20"/>
        </w:rPr>
        <w:t>       </w:t>
      </w:r>
    </w:p>
    <w:p w:rsidR="00153FDE" w:rsidRPr="00153FDE" w:rsidRDefault="00153FDE" w:rsidP="00153FDE">
      <w:pPr>
        <w:jc w:val="both"/>
        <w:rPr>
          <w:rFonts w:ascii="Verdana" w:hAnsi="Verdana" w:cs="Tahoma"/>
          <w:bCs/>
          <w:sz w:val="20"/>
        </w:rPr>
      </w:pPr>
      <w:r w:rsidRPr="00153FDE">
        <w:rPr>
          <w:rFonts w:ascii="Verdana" w:hAnsi="Verdana" w:cs="Tahoma"/>
          <w:bCs/>
          <w:sz w:val="20"/>
        </w:rPr>
        <w:t>       El resultado del cálculo es:</w:t>
      </w:r>
    </w:p>
    <w:p w:rsidR="00153FDE" w:rsidRPr="00153FDE" w:rsidRDefault="00153FDE" w:rsidP="00153FDE">
      <w:pPr>
        <w:jc w:val="both"/>
        <w:rPr>
          <w:rFonts w:ascii="Verdana" w:hAnsi="Verdana" w:cs="Tahoma"/>
          <w:bCs/>
          <w:sz w:val="20"/>
        </w:rPr>
      </w:pPr>
      <w:r w:rsidRPr="00153FDE">
        <w:rPr>
          <w:rFonts w:ascii="Verdana" w:hAnsi="Verdana" w:cs="Tahoma"/>
          <w:bCs/>
          <w:sz w:val="20"/>
        </w:rPr>
        <w:t>       X</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1</w:t>
      </w:r>
      <w:proofErr w:type="gramStart"/>
      <w:r w:rsidRPr="00153FDE">
        <w:rPr>
          <w:rFonts w:ascii="Verdana" w:hAnsi="Verdana" w:cs="Tahoma"/>
          <w:bCs/>
          <w:sz w:val="20"/>
        </w:rPr>
        <w:t>,021,050.00</w:t>
      </w:r>
      <w:proofErr w:type="gramEnd"/>
      <w:r w:rsidRPr="00153FDE">
        <w:rPr>
          <w:rFonts w:ascii="Verdana" w:hAnsi="Verdana" w:cs="Tahoma"/>
          <w:bCs/>
          <w:sz w:val="20"/>
        </w:rPr>
        <w:t xml:space="preserve"> toneladas cortas valor crudo. El resultado se convierte a toneladas métricas dividiendo entre el factor: 1.10231125. Lo anterior da como resultado:</w:t>
      </w:r>
    </w:p>
    <w:p w:rsidR="00153FDE" w:rsidRPr="00153FDE" w:rsidRDefault="00153FDE" w:rsidP="00153FDE">
      <w:pPr>
        <w:jc w:val="both"/>
        <w:rPr>
          <w:rFonts w:ascii="Verdana" w:hAnsi="Verdana" w:cs="Tahoma"/>
          <w:bCs/>
          <w:sz w:val="20"/>
        </w:rPr>
      </w:pPr>
      <w:r w:rsidRPr="00153FDE">
        <w:rPr>
          <w:rFonts w:ascii="Verdana" w:hAnsi="Verdana" w:cs="Tahoma"/>
          <w:bCs/>
          <w:sz w:val="20"/>
        </w:rPr>
        <w:t>X</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926,281.030 toneladas métricas valor crudo (TMVC).</w:t>
      </w:r>
    </w:p>
    <w:p w:rsidR="00153FDE" w:rsidRPr="00153FDE" w:rsidRDefault="00153FDE" w:rsidP="00153FDE">
      <w:pPr>
        <w:jc w:val="both"/>
        <w:rPr>
          <w:rFonts w:ascii="Verdana" w:hAnsi="Verdana" w:cs="Tahoma"/>
          <w:bCs/>
          <w:sz w:val="20"/>
        </w:rPr>
      </w:pPr>
      <w:r w:rsidRPr="00153FDE">
        <w:rPr>
          <w:rFonts w:ascii="Verdana" w:hAnsi="Verdana" w:cs="Tahoma"/>
          <w:b/>
          <w:bCs/>
          <w:sz w:val="20"/>
        </w:rPr>
        <w:t>-</w:t>
      </w:r>
      <w:r w:rsidRPr="00153FDE">
        <w:rPr>
          <w:rFonts w:ascii="Verdana" w:hAnsi="Verdana" w:cs="Tahoma"/>
          <w:bCs/>
          <w:sz w:val="20"/>
        </w:rPr>
        <w:t>      Z= 1 en el mes de marzo.</w:t>
      </w:r>
    </w:p>
    <w:p w:rsidR="00153FDE" w:rsidRPr="00153FDE" w:rsidRDefault="00153FDE" w:rsidP="00153FDE">
      <w:pPr>
        <w:jc w:val="both"/>
        <w:rPr>
          <w:rFonts w:ascii="Verdana" w:hAnsi="Verdana" w:cs="Tahoma"/>
          <w:bCs/>
          <w:sz w:val="20"/>
        </w:rPr>
      </w:pPr>
      <w:r w:rsidRPr="00153FDE">
        <w:rPr>
          <w:rFonts w:ascii="Verdana" w:hAnsi="Verdana" w:cs="Tahoma"/>
          <w:bCs/>
          <w:sz w:val="20"/>
        </w:rPr>
        <w:t>X</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*Z = 926,281.030 toneladas métricas valor crudo.</w:t>
      </w:r>
    </w:p>
    <w:p w:rsidR="00153FDE" w:rsidRPr="00153FDE" w:rsidRDefault="00153FDE" w:rsidP="00153FDE">
      <w:pPr>
        <w:jc w:val="both"/>
        <w:rPr>
          <w:rFonts w:ascii="Verdana" w:hAnsi="Verdana" w:cs="Tahoma"/>
          <w:bCs/>
          <w:sz w:val="20"/>
        </w:rPr>
      </w:pPr>
      <w:r w:rsidRPr="00153FDE">
        <w:rPr>
          <w:rFonts w:ascii="Verdana" w:hAnsi="Verdana" w:cs="Tahoma"/>
          <w:b/>
          <w:bCs/>
          <w:sz w:val="20"/>
        </w:rPr>
        <w:t>-</w:t>
      </w:r>
      <w:r w:rsidRPr="00153FDE">
        <w:rPr>
          <w:rFonts w:ascii="Verdana" w:hAnsi="Verdana" w:cs="Tahoma"/>
          <w:bCs/>
          <w:sz w:val="20"/>
        </w:rPr>
        <w:t>      Y</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Excedente de oferta con la información del balance azucarero estimado vigente al mes de marzo de 2018, calculado por el Comité Nacional para el Desarrollo Sustentable de la Caña de Azúcar (CONADESUCA), el cual puede ser consultado en https://www.gob.mx/cms/uploads/</w:t>
      </w:r>
      <w:bookmarkStart w:id="3" w:name="_Hlt508797459"/>
      <w:bookmarkStart w:id="4" w:name="_Hlt508797460"/>
      <w:bookmarkEnd w:id="3"/>
      <w:bookmarkEnd w:id="4"/>
      <w:r w:rsidRPr="00153FDE">
        <w:rPr>
          <w:rFonts w:ascii="Verdana" w:hAnsi="Verdana" w:cs="Tahoma"/>
          <w:bCs/>
          <w:sz w:val="20"/>
        </w:rPr>
        <w:t>attachment/file/307256/Balance_nacional_de_az_car_y_edulcorantes_estimado_ciclo_17-18.pdf y se calcula de la siguiente manera:</w:t>
      </w:r>
    </w:p>
    <w:p w:rsidR="00153FDE" w:rsidRPr="00153FDE" w:rsidRDefault="00153FDE" w:rsidP="00153FDE">
      <w:pPr>
        <w:jc w:val="both"/>
        <w:rPr>
          <w:rFonts w:ascii="Verdana" w:hAnsi="Verdana" w:cs="Tahoma"/>
          <w:bCs/>
          <w:sz w:val="20"/>
        </w:rPr>
      </w:pPr>
      <w:r w:rsidRPr="00153FDE">
        <w:rPr>
          <w:rFonts w:ascii="Verdana" w:hAnsi="Verdana" w:cs="Tahoma"/>
          <w:bCs/>
          <w:sz w:val="20"/>
        </w:rPr>
        <w:t>       El diferencial entre la oferta total de azúcar menos el consumo nacional total, menos el inventario final estimado calculado por el CONADESUCA con base en el balance azucarero.</w:t>
      </w:r>
    </w:p>
    <w:p w:rsidR="00153FDE" w:rsidRPr="00153FDE" w:rsidRDefault="00153FDE" w:rsidP="00153FDE">
      <w:pPr>
        <w:jc w:val="both"/>
        <w:rPr>
          <w:rFonts w:ascii="Verdana" w:hAnsi="Verdana" w:cs="Tahoma"/>
          <w:bCs/>
          <w:sz w:val="20"/>
        </w:rPr>
      </w:pPr>
      <w:r w:rsidRPr="00153FDE">
        <w:rPr>
          <w:rFonts w:ascii="Verdana" w:hAnsi="Verdana" w:cs="Tahoma"/>
          <w:bCs/>
          <w:sz w:val="20"/>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153FDE" w:rsidRPr="00153FDE" w:rsidTr="00153FDE">
        <w:trPr>
          <w:trHeight w:val="358"/>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
                <w:bCs/>
                <w:sz w:val="20"/>
              </w:rPr>
              <w:t>Monto (Toneladas métricas)</w:t>
            </w:r>
          </w:p>
        </w:tc>
      </w:tr>
      <w:tr w:rsidR="00153FDE" w:rsidRPr="00153FDE" w:rsidTr="00153FDE">
        <w:trPr>
          <w:trHeight w:val="34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Cs/>
                <w:sz w:val="20"/>
              </w:rPr>
              <w:t>Oferta total de azúcar</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Cs/>
                <w:sz w:val="20"/>
              </w:rPr>
              <w:t>7,177,129</w:t>
            </w:r>
          </w:p>
        </w:tc>
      </w:tr>
      <w:tr w:rsidR="00153FDE" w:rsidRPr="00153FDE" w:rsidTr="00153FDE">
        <w:trPr>
          <w:trHeight w:val="34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Cs/>
                <w:sz w:val="20"/>
              </w:rPr>
              <w:t>Consumo nacional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Cs/>
                <w:sz w:val="20"/>
              </w:rPr>
              <w:t>4,791,543</w:t>
            </w:r>
          </w:p>
        </w:tc>
      </w:tr>
      <w:tr w:rsidR="00153FDE" w:rsidRPr="00153FDE" w:rsidTr="00153FDE">
        <w:trPr>
          <w:trHeight w:val="358"/>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Cs/>
                <w:sz w:val="20"/>
              </w:rPr>
              <w:t>Inventario final estimado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53FDE" w:rsidRPr="00153FDE" w:rsidRDefault="00153FDE" w:rsidP="00153FDE">
            <w:pPr>
              <w:jc w:val="both"/>
              <w:rPr>
                <w:rFonts w:ascii="Verdana" w:hAnsi="Verdana" w:cs="Tahoma"/>
                <w:bCs/>
                <w:sz w:val="20"/>
              </w:rPr>
            </w:pPr>
            <w:r w:rsidRPr="00153FDE">
              <w:rPr>
                <w:rFonts w:ascii="Verdana" w:hAnsi="Verdana" w:cs="Tahoma"/>
                <w:bCs/>
                <w:sz w:val="20"/>
              </w:rPr>
              <w:t>973,238</w:t>
            </w:r>
          </w:p>
        </w:tc>
      </w:tr>
    </w:tbl>
    <w:p w:rsidR="00153FDE" w:rsidRPr="00153FDE" w:rsidRDefault="00153FDE" w:rsidP="00153FDE">
      <w:pPr>
        <w:jc w:val="both"/>
        <w:rPr>
          <w:rFonts w:ascii="Verdana" w:hAnsi="Verdana" w:cs="Tahoma"/>
          <w:bCs/>
          <w:sz w:val="20"/>
        </w:rPr>
      </w:pPr>
      <w:r w:rsidRPr="00153FDE">
        <w:rPr>
          <w:rFonts w:ascii="Verdana" w:hAnsi="Verdana" w:cs="Tahoma"/>
          <w:bCs/>
          <w:sz w:val="20"/>
        </w:rPr>
        <w:t> </w:t>
      </w:r>
    </w:p>
    <w:p w:rsidR="00153FDE" w:rsidRPr="00153FDE" w:rsidRDefault="00153FDE" w:rsidP="00153FDE">
      <w:pPr>
        <w:jc w:val="both"/>
        <w:rPr>
          <w:rFonts w:ascii="Verdana" w:hAnsi="Verdana" w:cs="Tahoma"/>
          <w:bCs/>
          <w:sz w:val="20"/>
        </w:rPr>
      </w:pPr>
      <w:r w:rsidRPr="00153FDE">
        <w:rPr>
          <w:rFonts w:ascii="Verdana" w:hAnsi="Verdana" w:cs="Tahoma"/>
          <w:bCs/>
          <w:sz w:val="20"/>
        </w:rPr>
        <w:t>       El resultado del cálculo es:</w:t>
      </w:r>
    </w:p>
    <w:p w:rsidR="00153FDE" w:rsidRPr="00153FDE" w:rsidRDefault="00153FDE" w:rsidP="00153FDE">
      <w:pPr>
        <w:jc w:val="both"/>
        <w:rPr>
          <w:rFonts w:ascii="Verdana" w:hAnsi="Verdana" w:cs="Tahoma"/>
          <w:bCs/>
          <w:sz w:val="20"/>
        </w:rPr>
      </w:pPr>
      <w:r w:rsidRPr="00153FDE">
        <w:rPr>
          <w:rFonts w:ascii="Verdana" w:hAnsi="Verdana" w:cs="Tahoma"/>
          <w:bCs/>
          <w:sz w:val="20"/>
        </w:rPr>
        <w:t>       Y</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1</w:t>
      </w:r>
      <w:proofErr w:type="gramStart"/>
      <w:r w:rsidRPr="00153FDE">
        <w:rPr>
          <w:rFonts w:ascii="Verdana" w:hAnsi="Verdana" w:cs="Tahoma"/>
          <w:bCs/>
          <w:sz w:val="20"/>
        </w:rPr>
        <w:t>,412,348.000</w:t>
      </w:r>
      <w:proofErr w:type="gramEnd"/>
      <w:r w:rsidRPr="00153FDE">
        <w:rPr>
          <w:rFonts w:ascii="Verdana" w:hAnsi="Verdana" w:cs="Tahoma"/>
          <w:bCs/>
          <w:sz w:val="20"/>
        </w:rPr>
        <w:t xml:space="preserve"> toneladas métricas. El resultado se convierte a valor crudo multiplicando por el factor: 1.06. Lo anterior da como resultado:</w:t>
      </w:r>
    </w:p>
    <w:p w:rsidR="00153FDE" w:rsidRPr="00153FDE" w:rsidRDefault="00153FDE" w:rsidP="00153FDE">
      <w:pPr>
        <w:jc w:val="both"/>
        <w:rPr>
          <w:rFonts w:ascii="Verdana" w:hAnsi="Verdana" w:cs="Tahoma"/>
          <w:bCs/>
          <w:sz w:val="20"/>
        </w:rPr>
      </w:pPr>
      <w:r w:rsidRPr="00153FDE">
        <w:rPr>
          <w:rFonts w:ascii="Verdana" w:hAnsi="Verdana" w:cs="Tahoma"/>
          <w:bCs/>
          <w:sz w:val="20"/>
        </w:rPr>
        <w:t>Y</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1</w:t>
      </w:r>
      <w:proofErr w:type="gramStart"/>
      <w:r w:rsidRPr="00153FDE">
        <w:rPr>
          <w:rFonts w:ascii="Verdana" w:hAnsi="Verdana" w:cs="Tahoma"/>
          <w:bCs/>
          <w:sz w:val="20"/>
        </w:rPr>
        <w:t>,497,088.880</w:t>
      </w:r>
      <w:proofErr w:type="gramEnd"/>
      <w:r w:rsidRPr="00153FDE">
        <w:rPr>
          <w:rFonts w:ascii="Verdana" w:hAnsi="Verdana" w:cs="Tahoma"/>
          <w:bCs/>
          <w:sz w:val="20"/>
        </w:rPr>
        <w:t xml:space="preserve"> toneladas métricas valor crudo.</w:t>
      </w:r>
    </w:p>
    <w:p w:rsidR="00153FDE" w:rsidRPr="00153FDE" w:rsidRDefault="00153FDE" w:rsidP="00153FDE">
      <w:pPr>
        <w:jc w:val="both"/>
        <w:rPr>
          <w:rFonts w:ascii="Verdana" w:hAnsi="Verdana" w:cs="Tahoma"/>
          <w:bCs/>
          <w:sz w:val="20"/>
        </w:rPr>
      </w:pPr>
      <w:r w:rsidRPr="00153FDE">
        <w:rPr>
          <w:rFonts w:ascii="Verdana" w:hAnsi="Verdana" w:cs="Tahoma"/>
          <w:bCs/>
          <w:sz w:val="20"/>
        </w:rPr>
        <w:t>El resultado del cálculo es: CT</w:t>
      </w:r>
      <w:r w:rsidRPr="00153FDE">
        <w:rPr>
          <w:rFonts w:ascii="Verdana" w:hAnsi="Verdana" w:cs="Tahoma"/>
          <w:bCs/>
          <w:sz w:val="20"/>
          <w:vertAlign w:val="subscript"/>
        </w:rPr>
        <w:t>t+</w:t>
      </w:r>
      <w:r w:rsidRPr="00153FDE">
        <w:rPr>
          <w:rFonts w:ascii="Verdana" w:hAnsi="Verdana" w:cs="Tahoma"/>
          <w:bCs/>
          <w:sz w:val="20"/>
        </w:rPr>
        <w:t>3</w:t>
      </w:r>
      <w:r w:rsidRPr="00153FDE">
        <w:rPr>
          <w:rFonts w:ascii="Verdana" w:hAnsi="Verdana" w:cs="Tahoma"/>
          <w:bCs/>
          <w:sz w:val="20"/>
          <w:vertAlign w:val="subscript"/>
        </w:rPr>
        <w:t> </w:t>
      </w:r>
      <w:r w:rsidRPr="00153FDE">
        <w:rPr>
          <w:rFonts w:ascii="Verdana" w:hAnsi="Verdana" w:cs="Tahoma"/>
          <w:bCs/>
          <w:sz w:val="20"/>
        </w:rPr>
        <w:t>= 926,281.030 toneladas métricas valor crudo.</w:t>
      </w:r>
    </w:p>
    <w:p w:rsidR="00153FDE" w:rsidRPr="00153FDE" w:rsidRDefault="00153FDE" w:rsidP="00153FDE">
      <w:pPr>
        <w:jc w:val="both"/>
        <w:rPr>
          <w:rFonts w:ascii="Verdana" w:hAnsi="Verdana" w:cs="Tahoma"/>
          <w:bCs/>
          <w:sz w:val="20"/>
        </w:rPr>
      </w:pPr>
      <w:r w:rsidRPr="00153FDE">
        <w:rPr>
          <w:rFonts w:ascii="Verdana" w:hAnsi="Verdana" w:cs="Tahoma"/>
          <w:b/>
          <w:bCs/>
          <w:sz w:val="20"/>
        </w:rPr>
        <w:t>3.-</w:t>
      </w:r>
      <w:r w:rsidRPr="00153FDE">
        <w:rPr>
          <w:rFonts w:ascii="Verdana" w:hAnsi="Verdana" w:cs="Tahoma"/>
          <w:bCs/>
          <w:sz w:val="20"/>
        </w:rPr>
        <w:t xml:space="preserve"> De conformidad con el párrafo antepenúltimo del punto 13 del Acuerdo a que se refiere el numeral 1 del presente Aviso, el cupo de exportación se mantiene en </w:t>
      </w:r>
      <w:r w:rsidRPr="00153FDE">
        <w:rPr>
          <w:rFonts w:ascii="Verdana" w:hAnsi="Verdana" w:cs="Tahoma"/>
          <w:bCs/>
          <w:sz w:val="20"/>
        </w:rPr>
        <w:lastRenderedPageBreak/>
        <w:t>1,150,612.860 toneladas métricas valor crudo conforme al monto calculado en el mes de diciembre de 2017.</w:t>
      </w:r>
    </w:p>
    <w:p w:rsidR="00153FDE" w:rsidRPr="00153FDE" w:rsidRDefault="00153FDE" w:rsidP="00153FDE">
      <w:pPr>
        <w:jc w:val="both"/>
        <w:rPr>
          <w:rFonts w:ascii="Verdana" w:hAnsi="Verdana" w:cs="Tahoma"/>
          <w:bCs/>
          <w:sz w:val="20"/>
        </w:rPr>
      </w:pPr>
      <w:r w:rsidRPr="00153FDE">
        <w:rPr>
          <w:rFonts w:ascii="Verdana" w:hAnsi="Verdana" w:cs="Tahoma"/>
          <w:bCs/>
          <w:sz w:val="20"/>
        </w:rPr>
        <w:t>Ciudad de México, a 26 de marzo de 2018.- El Director General de Comercio Exterior, </w:t>
      </w:r>
      <w:r w:rsidRPr="00153FDE">
        <w:rPr>
          <w:rFonts w:ascii="Verdana" w:hAnsi="Verdana" w:cs="Tahoma"/>
          <w:b/>
          <w:bCs/>
          <w:sz w:val="20"/>
        </w:rPr>
        <w:t>Juan Díaz </w:t>
      </w:r>
      <w:proofErr w:type="spellStart"/>
      <w:r w:rsidRPr="00153FDE">
        <w:rPr>
          <w:rFonts w:ascii="Verdana" w:hAnsi="Verdana" w:cs="Tahoma"/>
          <w:b/>
          <w:bCs/>
          <w:sz w:val="20"/>
        </w:rPr>
        <w:t>Mazadiego</w:t>
      </w:r>
      <w:proofErr w:type="spellEnd"/>
      <w:r w:rsidRPr="00153FDE">
        <w:rPr>
          <w:rFonts w:ascii="Verdana" w:hAnsi="Verdana" w:cs="Tahoma"/>
          <w:bCs/>
          <w:sz w:val="20"/>
        </w:rPr>
        <w:t>.- Rúbrica.- El Director General de Industrias Ligeras, </w:t>
      </w:r>
      <w:r w:rsidRPr="00153FDE">
        <w:rPr>
          <w:rFonts w:ascii="Verdana" w:hAnsi="Verdana" w:cs="Tahoma"/>
          <w:b/>
          <w:bCs/>
          <w:sz w:val="20"/>
        </w:rPr>
        <w:t xml:space="preserve">Héctor Rodrigo Hernández </w:t>
      </w:r>
      <w:proofErr w:type="spellStart"/>
      <w:r w:rsidRPr="00153FDE">
        <w:rPr>
          <w:rFonts w:ascii="Verdana" w:hAnsi="Verdana" w:cs="Tahoma"/>
          <w:b/>
          <w:bCs/>
          <w:sz w:val="20"/>
        </w:rPr>
        <w:t>Rodriguez</w:t>
      </w:r>
      <w:proofErr w:type="spellEnd"/>
      <w:r w:rsidRPr="00153FDE">
        <w:rPr>
          <w:rFonts w:ascii="Verdana" w:hAnsi="Verdana" w:cs="Tahoma"/>
          <w:bCs/>
          <w:sz w:val="20"/>
        </w:rPr>
        <w:t>.- Rúbrica.</w:t>
      </w:r>
    </w:p>
    <w:p w:rsidR="00153FDE" w:rsidRPr="00153FDE" w:rsidRDefault="00153FDE" w:rsidP="00153FDE">
      <w:pPr>
        <w:jc w:val="both"/>
        <w:rPr>
          <w:rFonts w:ascii="Verdana" w:hAnsi="Verdana" w:cs="Tahoma"/>
          <w:bCs/>
          <w:sz w:val="20"/>
        </w:rPr>
      </w:pPr>
      <w:r w:rsidRPr="00153FDE">
        <w:rPr>
          <w:rFonts w:ascii="Verdana" w:hAnsi="Verdana" w:cs="Tahoma"/>
          <w:bCs/>
          <w:sz w:val="20"/>
        </w:rPr>
        <w:t> </w:t>
      </w:r>
    </w:p>
    <w:p w:rsidR="00D0127A" w:rsidRPr="00D0127A" w:rsidRDefault="00D0127A" w:rsidP="00D0127A">
      <w:pPr>
        <w:jc w:val="both"/>
        <w:rPr>
          <w:rFonts w:ascii="Verdana" w:hAnsi="Verdana" w:cs="Tahoma"/>
          <w:bCs/>
          <w:sz w:val="20"/>
        </w:rPr>
      </w:pPr>
    </w:p>
    <w:p w:rsidR="00BF3AEB" w:rsidRDefault="00153FD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7A"/>
    <w:rsid w:val="00153FDE"/>
    <w:rsid w:val="002228FA"/>
    <w:rsid w:val="004554A7"/>
    <w:rsid w:val="00C06CE1"/>
    <w:rsid w:val="00D01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29166">
      <w:bodyDiv w:val="1"/>
      <w:marLeft w:val="0"/>
      <w:marRight w:val="0"/>
      <w:marTop w:val="0"/>
      <w:marBottom w:val="0"/>
      <w:divBdr>
        <w:top w:val="none" w:sz="0" w:space="0" w:color="auto"/>
        <w:left w:val="none" w:sz="0" w:space="0" w:color="auto"/>
        <w:bottom w:val="none" w:sz="0" w:space="0" w:color="auto"/>
        <w:right w:val="none" w:sz="0" w:space="0" w:color="auto"/>
      </w:divBdr>
    </w:div>
    <w:div w:id="872381715">
      <w:bodyDiv w:val="1"/>
      <w:marLeft w:val="0"/>
      <w:marRight w:val="0"/>
      <w:marTop w:val="0"/>
      <w:marBottom w:val="0"/>
      <w:divBdr>
        <w:top w:val="none" w:sz="0" w:space="0" w:color="auto"/>
        <w:left w:val="none" w:sz="0" w:space="0" w:color="auto"/>
        <w:bottom w:val="none" w:sz="0" w:space="0" w:color="auto"/>
        <w:right w:val="none" w:sz="0" w:space="0" w:color="auto"/>
      </w:divBdr>
    </w:div>
    <w:div w:id="1118185381">
      <w:bodyDiv w:val="1"/>
      <w:marLeft w:val="0"/>
      <w:marRight w:val="0"/>
      <w:marTop w:val="0"/>
      <w:marBottom w:val="0"/>
      <w:divBdr>
        <w:top w:val="none" w:sz="0" w:space="0" w:color="auto"/>
        <w:left w:val="none" w:sz="0" w:space="0" w:color="auto"/>
        <w:bottom w:val="none" w:sz="0" w:space="0" w:color="auto"/>
        <w:right w:val="none" w:sz="0" w:space="0" w:color="auto"/>
      </w:divBdr>
      <w:divsChild>
        <w:div w:id="1478569159">
          <w:marLeft w:val="0"/>
          <w:marRight w:val="0"/>
          <w:marTop w:val="0"/>
          <w:marBottom w:val="101"/>
          <w:divBdr>
            <w:top w:val="none" w:sz="0" w:space="0" w:color="auto"/>
            <w:left w:val="none" w:sz="0" w:space="0" w:color="auto"/>
            <w:bottom w:val="none" w:sz="0" w:space="0" w:color="auto"/>
            <w:right w:val="none" w:sz="0" w:space="0" w:color="auto"/>
          </w:divBdr>
        </w:div>
        <w:div w:id="1780370677">
          <w:marLeft w:val="0"/>
          <w:marRight w:val="0"/>
          <w:marTop w:val="101"/>
          <w:marBottom w:val="101"/>
          <w:divBdr>
            <w:top w:val="none" w:sz="0" w:space="0" w:color="auto"/>
            <w:left w:val="none" w:sz="0" w:space="0" w:color="auto"/>
            <w:bottom w:val="none" w:sz="0" w:space="0" w:color="auto"/>
            <w:right w:val="none" w:sz="0" w:space="0" w:color="auto"/>
          </w:divBdr>
        </w:div>
        <w:div w:id="43795246">
          <w:marLeft w:val="0"/>
          <w:marRight w:val="0"/>
          <w:marTop w:val="0"/>
          <w:marBottom w:val="101"/>
          <w:divBdr>
            <w:top w:val="none" w:sz="0" w:space="0" w:color="auto"/>
            <w:left w:val="none" w:sz="0" w:space="0" w:color="auto"/>
            <w:bottom w:val="none" w:sz="0" w:space="0" w:color="auto"/>
            <w:right w:val="none" w:sz="0" w:space="0" w:color="auto"/>
          </w:divBdr>
        </w:div>
        <w:div w:id="1741948463">
          <w:marLeft w:val="0"/>
          <w:marRight w:val="0"/>
          <w:marTop w:val="0"/>
          <w:marBottom w:val="101"/>
          <w:divBdr>
            <w:top w:val="none" w:sz="0" w:space="0" w:color="auto"/>
            <w:left w:val="none" w:sz="0" w:space="0" w:color="auto"/>
            <w:bottom w:val="none" w:sz="0" w:space="0" w:color="auto"/>
            <w:right w:val="none" w:sz="0" w:space="0" w:color="auto"/>
          </w:divBdr>
        </w:div>
      </w:divsChild>
    </w:div>
    <w:div w:id="1166825693">
      <w:bodyDiv w:val="1"/>
      <w:marLeft w:val="0"/>
      <w:marRight w:val="0"/>
      <w:marTop w:val="0"/>
      <w:marBottom w:val="0"/>
      <w:divBdr>
        <w:top w:val="none" w:sz="0" w:space="0" w:color="auto"/>
        <w:left w:val="none" w:sz="0" w:space="0" w:color="auto"/>
        <w:bottom w:val="none" w:sz="0" w:space="0" w:color="auto"/>
        <w:right w:val="none" w:sz="0" w:space="0" w:color="auto"/>
      </w:divBdr>
    </w:div>
    <w:div w:id="1349913804">
      <w:bodyDiv w:val="1"/>
      <w:marLeft w:val="0"/>
      <w:marRight w:val="0"/>
      <w:marTop w:val="0"/>
      <w:marBottom w:val="0"/>
      <w:divBdr>
        <w:top w:val="none" w:sz="0" w:space="0" w:color="auto"/>
        <w:left w:val="none" w:sz="0" w:space="0" w:color="auto"/>
        <w:bottom w:val="none" w:sz="0" w:space="0" w:color="auto"/>
        <w:right w:val="none" w:sz="0" w:space="0" w:color="auto"/>
      </w:divBdr>
      <w:divsChild>
        <w:div w:id="528950780">
          <w:marLeft w:val="0"/>
          <w:marRight w:val="0"/>
          <w:marTop w:val="0"/>
          <w:marBottom w:val="40"/>
          <w:divBdr>
            <w:top w:val="none" w:sz="0" w:space="0" w:color="auto"/>
            <w:left w:val="none" w:sz="0" w:space="0" w:color="auto"/>
            <w:bottom w:val="none" w:sz="0" w:space="0" w:color="auto"/>
            <w:right w:val="none" w:sz="0" w:space="0" w:color="auto"/>
          </w:divBdr>
        </w:div>
        <w:div w:id="998461775">
          <w:marLeft w:val="0"/>
          <w:marRight w:val="0"/>
          <w:marTop w:val="0"/>
          <w:marBottom w:val="40"/>
          <w:divBdr>
            <w:top w:val="none" w:sz="0" w:space="0" w:color="auto"/>
            <w:left w:val="none" w:sz="0" w:space="0" w:color="auto"/>
            <w:bottom w:val="none" w:sz="0" w:space="0" w:color="auto"/>
            <w:right w:val="none" w:sz="0" w:space="0" w:color="auto"/>
          </w:divBdr>
        </w:div>
        <w:div w:id="1500193369">
          <w:marLeft w:val="0"/>
          <w:marRight w:val="0"/>
          <w:marTop w:val="0"/>
          <w:marBottom w:val="40"/>
          <w:divBdr>
            <w:top w:val="none" w:sz="0" w:space="0" w:color="auto"/>
            <w:left w:val="none" w:sz="0" w:space="0" w:color="auto"/>
            <w:bottom w:val="none" w:sz="0" w:space="0" w:color="auto"/>
            <w:right w:val="none" w:sz="0" w:space="0" w:color="auto"/>
          </w:divBdr>
        </w:div>
        <w:div w:id="851341209">
          <w:marLeft w:val="0"/>
          <w:marRight w:val="0"/>
          <w:marTop w:val="0"/>
          <w:marBottom w:val="40"/>
          <w:divBdr>
            <w:top w:val="none" w:sz="0" w:space="0" w:color="auto"/>
            <w:left w:val="none" w:sz="0" w:space="0" w:color="auto"/>
            <w:bottom w:val="none" w:sz="0" w:space="0" w:color="auto"/>
            <w:right w:val="none" w:sz="0" w:space="0" w:color="auto"/>
          </w:divBdr>
        </w:div>
        <w:div w:id="1754934065">
          <w:marLeft w:val="0"/>
          <w:marRight w:val="0"/>
          <w:marTop w:val="0"/>
          <w:marBottom w:val="40"/>
          <w:divBdr>
            <w:top w:val="none" w:sz="0" w:space="0" w:color="auto"/>
            <w:left w:val="none" w:sz="0" w:space="0" w:color="auto"/>
            <w:bottom w:val="none" w:sz="0" w:space="0" w:color="auto"/>
            <w:right w:val="none" w:sz="0" w:space="0" w:color="auto"/>
          </w:divBdr>
        </w:div>
        <w:div w:id="354620984">
          <w:marLeft w:val="0"/>
          <w:marRight w:val="0"/>
          <w:marTop w:val="0"/>
          <w:marBottom w:val="40"/>
          <w:divBdr>
            <w:top w:val="none" w:sz="0" w:space="0" w:color="auto"/>
            <w:left w:val="none" w:sz="0" w:space="0" w:color="auto"/>
            <w:bottom w:val="none" w:sz="0" w:space="0" w:color="auto"/>
            <w:right w:val="none" w:sz="0" w:space="0" w:color="auto"/>
          </w:divBdr>
        </w:div>
        <w:div w:id="1743791326">
          <w:marLeft w:val="0"/>
          <w:marRight w:val="0"/>
          <w:marTop w:val="0"/>
          <w:marBottom w:val="40"/>
          <w:divBdr>
            <w:top w:val="none" w:sz="0" w:space="0" w:color="auto"/>
            <w:left w:val="none" w:sz="0" w:space="0" w:color="auto"/>
            <w:bottom w:val="none" w:sz="0" w:space="0" w:color="auto"/>
            <w:right w:val="none" w:sz="0" w:space="0" w:color="auto"/>
          </w:divBdr>
        </w:div>
        <w:div w:id="2003584863">
          <w:marLeft w:val="0"/>
          <w:marRight w:val="0"/>
          <w:marTop w:val="0"/>
          <w:marBottom w:val="22"/>
          <w:divBdr>
            <w:top w:val="none" w:sz="0" w:space="0" w:color="auto"/>
            <w:left w:val="none" w:sz="0" w:space="0" w:color="auto"/>
            <w:bottom w:val="none" w:sz="0" w:space="0" w:color="auto"/>
            <w:right w:val="none" w:sz="0" w:space="0" w:color="auto"/>
          </w:divBdr>
        </w:div>
        <w:div w:id="509757968">
          <w:marLeft w:val="720"/>
          <w:marRight w:val="0"/>
          <w:marTop w:val="0"/>
          <w:marBottom w:val="22"/>
          <w:divBdr>
            <w:top w:val="none" w:sz="0" w:space="0" w:color="auto"/>
            <w:left w:val="none" w:sz="0" w:space="0" w:color="auto"/>
            <w:bottom w:val="none" w:sz="0" w:space="0" w:color="auto"/>
            <w:right w:val="none" w:sz="0" w:space="0" w:color="auto"/>
          </w:divBdr>
        </w:div>
        <w:div w:id="1680888693">
          <w:marLeft w:val="720"/>
          <w:marRight w:val="0"/>
          <w:marTop w:val="0"/>
          <w:marBottom w:val="22"/>
          <w:divBdr>
            <w:top w:val="none" w:sz="0" w:space="0" w:color="auto"/>
            <w:left w:val="none" w:sz="0" w:space="0" w:color="auto"/>
            <w:bottom w:val="none" w:sz="0" w:space="0" w:color="auto"/>
            <w:right w:val="none" w:sz="0" w:space="0" w:color="auto"/>
          </w:divBdr>
        </w:div>
        <w:div w:id="1062413840">
          <w:marLeft w:val="720"/>
          <w:marRight w:val="0"/>
          <w:marTop w:val="0"/>
          <w:marBottom w:val="22"/>
          <w:divBdr>
            <w:top w:val="none" w:sz="0" w:space="0" w:color="auto"/>
            <w:left w:val="none" w:sz="0" w:space="0" w:color="auto"/>
            <w:bottom w:val="none" w:sz="0" w:space="0" w:color="auto"/>
            <w:right w:val="none" w:sz="0" w:space="0" w:color="auto"/>
          </w:divBdr>
        </w:div>
        <w:div w:id="1056785231">
          <w:marLeft w:val="720"/>
          <w:marRight w:val="0"/>
          <w:marTop w:val="0"/>
          <w:marBottom w:val="22"/>
          <w:divBdr>
            <w:top w:val="none" w:sz="0" w:space="0" w:color="auto"/>
            <w:left w:val="none" w:sz="0" w:space="0" w:color="auto"/>
            <w:bottom w:val="none" w:sz="0" w:space="0" w:color="auto"/>
            <w:right w:val="none" w:sz="0" w:space="0" w:color="auto"/>
          </w:divBdr>
        </w:div>
        <w:div w:id="1556888038">
          <w:marLeft w:val="720"/>
          <w:marRight w:val="0"/>
          <w:marTop w:val="0"/>
          <w:marBottom w:val="22"/>
          <w:divBdr>
            <w:top w:val="none" w:sz="0" w:space="0" w:color="auto"/>
            <w:left w:val="none" w:sz="0" w:space="0" w:color="auto"/>
            <w:bottom w:val="none" w:sz="0" w:space="0" w:color="auto"/>
            <w:right w:val="none" w:sz="0" w:space="0" w:color="auto"/>
          </w:divBdr>
        </w:div>
        <w:div w:id="1254051207">
          <w:marLeft w:val="720"/>
          <w:marRight w:val="0"/>
          <w:marTop w:val="0"/>
          <w:marBottom w:val="22"/>
          <w:divBdr>
            <w:top w:val="none" w:sz="0" w:space="0" w:color="auto"/>
            <w:left w:val="none" w:sz="0" w:space="0" w:color="auto"/>
            <w:bottom w:val="none" w:sz="0" w:space="0" w:color="auto"/>
            <w:right w:val="none" w:sz="0" w:space="0" w:color="auto"/>
          </w:divBdr>
        </w:div>
        <w:div w:id="1458253622">
          <w:marLeft w:val="0"/>
          <w:marRight w:val="0"/>
          <w:marTop w:val="0"/>
          <w:marBottom w:val="22"/>
          <w:divBdr>
            <w:top w:val="none" w:sz="0" w:space="0" w:color="auto"/>
            <w:left w:val="none" w:sz="0" w:space="0" w:color="auto"/>
            <w:bottom w:val="none" w:sz="0" w:space="0" w:color="auto"/>
            <w:right w:val="none" w:sz="0" w:space="0" w:color="auto"/>
          </w:divBdr>
        </w:div>
        <w:div w:id="1367674795">
          <w:marLeft w:val="0"/>
          <w:marRight w:val="0"/>
          <w:marTop w:val="0"/>
          <w:marBottom w:val="22"/>
          <w:divBdr>
            <w:top w:val="none" w:sz="0" w:space="0" w:color="auto"/>
            <w:left w:val="none" w:sz="0" w:space="0" w:color="auto"/>
            <w:bottom w:val="none" w:sz="0" w:space="0" w:color="auto"/>
            <w:right w:val="none" w:sz="0" w:space="0" w:color="auto"/>
          </w:divBdr>
        </w:div>
        <w:div w:id="649014849">
          <w:marLeft w:val="0"/>
          <w:marRight w:val="0"/>
          <w:marTop w:val="0"/>
          <w:marBottom w:val="22"/>
          <w:divBdr>
            <w:top w:val="none" w:sz="0" w:space="0" w:color="auto"/>
            <w:left w:val="none" w:sz="0" w:space="0" w:color="auto"/>
            <w:bottom w:val="none" w:sz="0" w:space="0" w:color="auto"/>
            <w:right w:val="none" w:sz="0" w:space="0" w:color="auto"/>
          </w:divBdr>
        </w:div>
        <w:div w:id="2118479680">
          <w:marLeft w:val="0"/>
          <w:marRight w:val="0"/>
          <w:marTop w:val="0"/>
          <w:marBottom w:val="22"/>
          <w:divBdr>
            <w:top w:val="none" w:sz="0" w:space="0" w:color="auto"/>
            <w:left w:val="none" w:sz="0" w:space="0" w:color="auto"/>
            <w:bottom w:val="none" w:sz="0" w:space="0" w:color="auto"/>
            <w:right w:val="none" w:sz="0" w:space="0" w:color="auto"/>
          </w:divBdr>
        </w:div>
        <w:div w:id="497353281">
          <w:marLeft w:val="0"/>
          <w:marRight w:val="0"/>
          <w:marTop w:val="0"/>
          <w:marBottom w:val="22"/>
          <w:divBdr>
            <w:top w:val="none" w:sz="0" w:space="0" w:color="auto"/>
            <w:left w:val="none" w:sz="0" w:space="0" w:color="auto"/>
            <w:bottom w:val="none" w:sz="0" w:space="0" w:color="auto"/>
            <w:right w:val="none" w:sz="0" w:space="0" w:color="auto"/>
          </w:divBdr>
        </w:div>
        <w:div w:id="42141426">
          <w:marLeft w:val="720"/>
          <w:marRight w:val="0"/>
          <w:marTop w:val="0"/>
          <w:marBottom w:val="22"/>
          <w:divBdr>
            <w:top w:val="none" w:sz="0" w:space="0" w:color="auto"/>
            <w:left w:val="none" w:sz="0" w:space="0" w:color="auto"/>
            <w:bottom w:val="none" w:sz="0" w:space="0" w:color="auto"/>
            <w:right w:val="none" w:sz="0" w:space="0" w:color="auto"/>
          </w:divBdr>
        </w:div>
        <w:div w:id="214242770">
          <w:marLeft w:val="720"/>
          <w:marRight w:val="0"/>
          <w:marTop w:val="0"/>
          <w:marBottom w:val="40"/>
          <w:divBdr>
            <w:top w:val="none" w:sz="0" w:space="0" w:color="auto"/>
            <w:left w:val="none" w:sz="0" w:space="0" w:color="auto"/>
            <w:bottom w:val="none" w:sz="0" w:space="0" w:color="auto"/>
            <w:right w:val="none" w:sz="0" w:space="0" w:color="auto"/>
          </w:divBdr>
        </w:div>
        <w:div w:id="941839571">
          <w:marLeft w:val="720"/>
          <w:marRight w:val="0"/>
          <w:marTop w:val="0"/>
          <w:marBottom w:val="80"/>
          <w:divBdr>
            <w:top w:val="none" w:sz="0" w:space="0" w:color="auto"/>
            <w:left w:val="none" w:sz="0" w:space="0" w:color="auto"/>
            <w:bottom w:val="none" w:sz="0" w:space="0" w:color="auto"/>
            <w:right w:val="none" w:sz="0" w:space="0" w:color="auto"/>
          </w:divBdr>
        </w:div>
        <w:div w:id="1171457412">
          <w:marLeft w:val="720"/>
          <w:marRight w:val="0"/>
          <w:marTop w:val="0"/>
          <w:marBottom w:val="80"/>
          <w:divBdr>
            <w:top w:val="none" w:sz="0" w:space="0" w:color="auto"/>
            <w:left w:val="none" w:sz="0" w:space="0" w:color="auto"/>
            <w:bottom w:val="none" w:sz="0" w:space="0" w:color="auto"/>
            <w:right w:val="none" w:sz="0" w:space="0" w:color="auto"/>
          </w:divBdr>
        </w:div>
        <w:div w:id="388236391">
          <w:marLeft w:val="720"/>
          <w:marRight w:val="0"/>
          <w:marTop w:val="0"/>
          <w:marBottom w:val="80"/>
          <w:divBdr>
            <w:top w:val="none" w:sz="0" w:space="0" w:color="auto"/>
            <w:left w:val="none" w:sz="0" w:space="0" w:color="auto"/>
            <w:bottom w:val="none" w:sz="0" w:space="0" w:color="auto"/>
            <w:right w:val="none" w:sz="0" w:space="0" w:color="auto"/>
          </w:divBdr>
        </w:div>
        <w:div w:id="1806654846">
          <w:marLeft w:val="720"/>
          <w:marRight w:val="0"/>
          <w:marTop w:val="0"/>
          <w:marBottom w:val="80"/>
          <w:divBdr>
            <w:top w:val="none" w:sz="0" w:space="0" w:color="auto"/>
            <w:left w:val="none" w:sz="0" w:space="0" w:color="auto"/>
            <w:bottom w:val="none" w:sz="0" w:space="0" w:color="auto"/>
            <w:right w:val="none" w:sz="0" w:space="0" w:color="auto"/>
          </w:divBdr>
        </w:div>
        <w:div w:id="1278028173">
          <w:marLeft w:val="720"/>
          <w:marRight w:val="0"/>
          <w:marTop w:val="0"/>
          <w:marBottom w:val="80"/>
          <w:divBdr>
            <w:top w:val="none" w:sz="0" w:space="0" w:color="auto"/>
            <w:left w:val="none" w:sz="0" w:space="0" w:color="auto"/>
            <w:bottom w:val="none" w:sz="0" w:space="0" w:color="auto"/>
            <w:right w:val="none" w:sz="0" w:space="0" w:color="auto"/>
          </w:divBdr>
        </w:div>
        <w:div w:id="267398084">
          <w:marLeft w:val="0"/>
          <w:marRight w:val="0"/>
          <w:marTop w:val="0"/>
          <w:marBottom w:val="80"/>
          <w:divBdr>
            <w:top w:val="none" w:sz="0" w:space="0" w:color="auto"/>
            <w:left w:val="none" w:sz="0" w:space="0" w:color="auto"/>
            <w:bottom w:val="none" w:sz="0" w:space="0" w:color="auto"/>
            <w:right w:val="none" w:sz="0" w:space="0" w:color="auto"/>
          </w:divBdr>
        </w:div>
        <w:div w:id="3286923">
          <w:marLeft w:val="0"/>
          <w:marRight w:val="0"/>
          <w:marTop w:val="0"/>
          <w:marBottom w:val="80"/>
          <w:divBdr>
            <w:top w:val="none" w:sz="0" w:space="0" w:color="auto"/>
            <w:left w:val="none" w:sz="0" w:space="0" w:color="auto"/>
            <w:bottom w:val="none" w:sz="0" w:space="0" w:color="auto"/>
            <w:right w:val="none" w:sz="0" w:space="0" w:color="auto"/>
          </w:divBdr>
        </w:div>
        <w:div w:id="109591358">
          <w:marLeft w:val="0"/>
          <w:marRight w:val="0"/>
          <w:marTop w:val="0"/>
          <w:marBottom w:val="80"/>
          <w:divBdr>
            <w:top w:val="none" w:sz="0" w:space="0" w:color="auto"/>
            <w:left w:val="none" w:sz="0" w:space="0" w:color="auto"/>
            <w:bottom w:val="none" w:sz="0" w:space="0" w:color="auto"/>
            <w:right w:val="none" w:sz="0" w:space="0" w:color="auto"/>
          </w:divBdr>
        </w:div>
        <w:div w:id="1363508535">
          <w:marLeft w:val="0"/>
          <w:marRight w:val="0"/>
          <w:marTop w:val="0"/>
          <w:marBottom w:val="80"/>
          <w:divBdr>
            <w:top w:val="none" w:sz="0" w:space="0" w:color="auto"/>
            <w:left w:val="none" w:sz="0" w:space="0" w:color="auto"/>
            <w:bottom w:val="none" w:sz="0" w:space="0" w:color="auto"/>
            <w:right w:val="none" w:sz="0" w:space="0" w:color="auto"/>
          </w:divBdr>
        </w:div>
        <w:div w:id="1237010047">
          <w:marLeft w:val="0"/>
          <w:marRight w:val="0"/>
          <w:marTop w:val="0"/>
          <w:marBottom w:val="80"/>
          <w:divBdr>
            <w:top w:val="none" w:sz="0" w:space="0" w:color="auto"/>
            <w:left w:val="none" w:sz="0" w:space="0" w:color="auto"/>
            <w:bottom w:val="none" w:sz="0" w:space="0" w:color="auto"/>
            <w:right w:val="none" w:sz="0" w:space="0" w:color="auto"/>
          </w:divBdr>
        </w:div>
        <w:div w:id="104082637">
          <w:marLeft w:val="0"/>
          <w:marRight w:val="0"/>
          <w:marTop w:val="0"/>
          <w:marBottom w:val="80"/>
          <w:divBdr>
            <w:top w:val="none" w:sz="0" w:space="0" w:color="auto"/>
            <w:left w:val="none" w:sz="0" w:space="0" w:color="auto"/>
            <w:bottom w:val="none" w:sz="0" w:space="0" w:color="auto"/>
            <w:right w:val="none" w:sz="0" w:space="0" w:color="auto"/>
          </w:divBdr>
        </w:div>
        <w:div w:id="1088499968">
          <w:marLeft w:val="0"/>
          <w:marRight w:val="0"/>
          <w:marTop w:val="0"/>
          <w:marBottom w:val="80"/>
          <w:divBdr>
            <w:top w:val="none" w:sz="0" w:space="0" w:color="auto"/>
            <w:left w:val="none" w:sz="0" w:space="0" w:color="auto"/>
            <w:bottom w:val="none" w:sz="0" w:space="0" w:color="auto"/>
            <w:right w:val="none" w:sz="0" w:space="0" w:color="auto"/>
          </w:divBdr>
        </w:div>
      </w:divsChild>
    </w:div>
    <w:div w:id="1450128677">
      <w:bodyDiv w:val="1"/>
      <w:marLeft w:val="0"/>
      <w:marRight w:val="0"/>
      <w:marTop w:val="0"/>
      <w:marBottom w:val="0"/>
      <w:divBdr>
        <w:top w:val="none" w:sz="0" w:space="0" w:color="auto"/>
        <w:left w:val="none" w:sz="0" w:space="0" w:color="auto"/>
        <w:bottom w:val="none" w:sz="0" w:space="0" w:color="auto"/>
        <w:right w:val="none" w:sz="0" w:space="0" w:color="auto"/>
      </w:divBdr>
      <w:divsChild>
        <w:div w:id="18509478">
          <w:marLeft w:val="0"/>
          <w:marRight w:val="0"/>
          <w:marTop w:val="0"/>
          <w:marBottom w:val="101"/>
          <w:divBdr>
            <w:top w:val="none" w:sz="0" w:space="0" w:color="auto"/>
            <w:left w:val="none" w:sz="0" w:space="0" w:color="auto"/>
            <w:bottom w:val="none" w:sz="0" w:space="0" w:color="auto"/>
            <w:right w:val="none" w:sz="0" w:space="0" w:color="auto"/>
          </w:divBdr>
        </w:div>
        <w:div w:id="51083397">
          <w:marLeft w:val="0"/>
          <w:marRight w:val="0"/>
          <w:marTop w:val="0"/>
          <w:marBottom w:val="101"/>
          <w:divBdr>
            <w:top w:val="none" w:sz="0" w:space="0" w:color="auto"/>
            <w:left w:val="none" w:sz="0" w:space="0" w:color="auto"/>
            <w:bottom w:val="none" w:sz="0" w:space="0" w:color="auto"/>
            <w:right w:val="none" w:sz="0" w:space="0" w:color="auto"/>
          </w:divBdr>
        </w:div>
        <w:div w:id="1132792732">
          <w:marLeft w:val="0"/>
          <w:marRight w:val="0"/>
          <w:marTop w:val="0"/>
          <w:marBottom w:val="101"/>
          <w:divBdr>
            <w:top w:val="none" w:sz="0" w:space="0" w:color="auto"/>
            <w:left w:val="none" w:sz="0" w:space="0" w:color="auto"/>
            <w:bottom w:val="none" w:sz="0" w:space="0" w:color="auto"/>
            <w:right w:val="none" w:sz="0" w:space="0" w:color="auto"/>
          </w:divBdr>
        </w:div>
        <w:div w:id="1579754614">
          <w:marLeft w:val="0"/>
          <w:marRight w:val="0"/>
          <w:marTop w:val="0"/>
          <w:marBottom w:val="101"/>
          <w:divBdr>
            <w:top w:val="none" w:sz="0" w:space="0" w:color="auto"/>
            <w:left w:val="none" w:sz="0" w:space="0" w:color="auto"/>
            <w:bottom w:val="none" w:sz="0" w:space="0" w:color="auto"/>
            <w:right w:val="none" w:sz="0" w:space="0" w:color="auto"/>
          </w:divBdr>
        </w:div>
        <w:div w:id="1191454803">
          <w:marLeft w:val="0"/>
          <w:marRight w:val="0"/>
          <w:marTop w:val="0"/>
          <w:marBottom w:val="101"/>
          <w:divBdr>
            <w:top w:val="none" w:sz="0" w:space="0" w:color="auto"/>
            <w:left w:val="none" w:sz="0" w:space="0" w:color="auto"/>
            <w:bottom w:val="none" w:sz="0" w:space="0" w:color="auto"/>
            <w:right w:val="none" w:sz="0" w:space="0" w:color="auto"/>
          </w:divBdr>
        </w:div>
        <w:div w:id="426313313">
          <w:marLeft w:val="0"/>
          <w:marRight w:val="0"/>
          <w:marTop w:val="0"/>
          <w:marBottom w:val="101"/>
          <w:divBdr>
            <w:top w:val="none" w:sz="0" w:space="0" w:color="auto"/>
            <w:left w:val="none" w:sz="0" w:space="0" w:color="auto"/>
            <w:bottom w:val="none" w:sz="0" w:space="0" w:color="auto"/>
            <w:right w:val="none" w:sz="0" w:space="0" w:color="auto"/>
          </w:divBdr>
        </w:div>
        <w:div w:id="1028721740">
          <w:marLeft w:val="0"/>
          <w:marRight w:val="0"/>
          <w:marTop w:val="101"/>
          <w:marBottom w:val="101"/>
          <w:divBdr>
            <w:top w:val="none" w:sz="0" w:space="0" w:color="auto"/>
            <w:left w:val="none" w:sz="0" w:space="0" w:color="auto"/>
            <w:bottom w:val="none" w:sz="0" w:space="0" w:color="auto"/>
            <w:right w:val="none" w:sz="0" w:space="0" w:color="auto"/>
          </w:divBdr>
        </w:div>
        <w:div w:id="1006252354">
          <w:marLeft w:val="0"/>
          <w:marRight w:val="0"/>
          <w:marTop w:val="0"/>
          <w:marBottom w:val="101"/>
          <w:divBdr>
            <w:top w:val="none" w:sz="0" w:space="0" w:color="auto"/>
            <w:left w:val="none" w:sz="0" w:space="0" w:color="auto"/>
            <w:bottom w:val="none" w:sz="0" w:space="0" w:color="auto"/>
            <w:right w:val="none" w:sz="0" w:space="0" w:color="auto"/>
          </w:divBdr>
        </w:div>
        <w:div w:id="1438989297">
          <w:marLeft w:val="0"/>
          <w:marRight w:val="0"/>
          <w:marTop w:val="0"/>
          <w:marBottom w:val="101"/>
          <w:divBdr>
            <w:top w:val="none" w:sz="0" w:space="0" w:color="auto"/>
            <w:left w:val="none" w:sz="0" w:space="0" w:color="auto"/>
            <w:bottom w:val="none" w:sz="0" w:space="0" w:color="auto"/>
            <w:right w:val="none" w:sz="0" w:space="0" w:color="auto"/>
          </w:divBdr>
        </w:div>
        <w:div w:id="813303862">
          <w:marLeft w:val="0"/>
          <w:marRight w:val="0"/>
          <w:marTop w:val="0"/>
          <w:marBottom w:val="101"/>
          <w:divBdr>
            <w:top w:val="none" w:sz="0" w:space="0" w:color="auto"/>
            <w:left w:val="none" w:sz="0" w:space="0" w:color="auto"/>
            <w:bottom w:val="none" w:sz="0" w:space="0" w:color="auto"/>
            <w:right w:val="none" w:sz="0" w:space="0" w:color="auto"/>
          </w:divBdr>
        </w:div>
        <w:div w:id="60761816">
          <w:marLeft w:val="0"/>
          <w:marRight w:val="0"/>
          <w:marTop w:val="0"/>
          <w:marBottom w:val="101"/>
          <w:divBdr>
            <w:top w:val="none" w:sz="0" w:space="0" w:color="auto"/>
            <w:left w:val="none" w:sz="0" w:space="0" w:color="auto"/>
            <w:bottom w:val="none" w:sz="0" w:space="0" w:color="auto"/>
            <w:right w:val="none" w:sz="0" w:space="0" w:color="auto"/>
          </w:divBdr>
        </w:div>
        <w:div w:id="1118840675">
          <w:marLeft w:val="0"/>
          <w:marRight w:val="0"/>
          <w:marTop w:val="0"/>
          <w:marBottom w:val="101"/>
          <w:divBdr>
            <w:top w:val="none" w:sz="0" w:space="0" w:color="auto"/>
            <w:left w:val="none" w:sz="0" w:space="0" w:color="auto"/>
            <w:bottom w:val="none" w:sz="0" w:space="0" w:color="auto"/>
            <w:right w:val="none" w:sz="0" w:space="0" w:color="auto"/>
          </w:divBdr>
        </w:div>
        <w:div w:id="2142919139">
          <w:marLeft w:val="0"/>
          <w:marRight w:val="0"/>
          <w:marTop w:val="0"/>
          <w:marBottom w:val="101"/>
          <w:divBdr>
            <w:top w:val="none" w:sz="0" w:space="0" w:color="auto"/>
            <w:left w:val="none" w:sz="0" w:space="0" w:color="auto"/>
            <w:bottom w:val="none" w:sz="0" w:space="0" w:color="auto"/>
            <w:right w:val="none" w:sz="0" w:space="0" w:color="auto"/>
          </w:divBdr>
        </w:div>
        <w:div w:id="2103643187">
          <w:marLeft w:val="0"/>
          <w:marRight w:val="0"/>
          <w:marTop w:val="0"/>
          <w:marBottom w:val="101"/>
          <w:divBdr>
            <w:top w:val="none" w:sz="0" w:space="0" w:color="auto"/>
            <w:left w:val="none" w:sz="0" w:space="0" w:color="auto"/>
            <w:bottom w:val="none" w:sz="0" w:space="0" w:color="auto"/>
            <w:right w:val="none" w:sz="0" w:space="0" w:color="auto"/>
          </w:divBdr>
        </w:div>
        <w:div w:id="378824565">
          <w:marLeft w:val="0"/>
          <w:marRight w:val="0"/>
          <w:marTop w:val="0"/>
          <w:marBottom w:val="101"/>
          <w:divBdr>
            <w:top w:val="none" w:sz="0" w:space="0" w:color="auto"/>
            <w:left w:val="none" w:sz="0" w:space="0" w:color="auto"/>
            <w:bottom w:val="none" w:sz="0" w:space="0" w:color="auto"/>
            <w:right w:val="none" w:sz="0" w:space="0" w:color="auto"/>
          </w:divBdr>
        </w:div>
        <w:div w:id="513349836">
          <w:marLeft w:val="0"/>
          <w:marRight w:val="0"/>
          <w:marTop w:val="0"/>
          <w:marBottom w:val="101"/>
          <w:divBdr>
            <w:top w:val="none" w:sz="0" w:space="0" w:color="auto"/>
            <w:left w:val="none" w:sz="0" w:space="0" w:color="auto"/>
            <w:bottom w:val="none" w:sz="0" w:space="0" w:color="auto"/>
            <w:right w:val="none" w:sz="0" w:space="0" w:color="auto"/>
          </w:divBdr>
        </w:div>
        <w:div w:id="1570456115">
          <w:marLeft w:val="720"/>
          <w:marRight w:val="0"/>
          <w:marTop w:val="0"/>
          <w:marBottom w:val="101"/>
          <w:divBdr>
            <w:top w:val="none" w:sz="0" w:space="0" w:color="auto"/>
            <w:left w:val="none" w:sz="0" w:space="0" w:color="auto"/>
            <w:bottom w:val="none" w:sz="0" w:space="0" w:color="auto"/>
            <w:right w:val="none" w:sz="0" w:space="0" w:color="auto"/>
          </w:divBdr>
        </w:div>
        <w:div w:id="692725945">
          <w:marLeft w:val="720"/>
          <w:marRight w:val="0"/>
          <w:marTop w:val="0"/>
          <w:marBottom w:val="101"/>
          <w:divBdr>
            <w:top w:val="none" w:sz="0" w:space="0" w:color="auto"/>
            <w:left w:val="none" w:sz="0" w:space="0" w:color="auto"/>
            <w:bottom w:val="none" w:sz="0" w:space="0" w:color="auto"/>
            <w:right w:val="none" w:sz="0" w:space="0" w:color="auto"/>
          </w:divBdr>
        </w:div>
        <w:div w:id="1202209367">
          <w:marLeft w:val="0"/>
          <w:marRight w:val="0"/>
          <w:marTop w:val="0"/>
          <w:marBottom w:val="101"/>
          <w:divBdr>
            <w:top w:val="none" w:sz="0" w:space="0" w:color="auto"/>
            <w:left w:val="none" w:sz="0" w:space="0" w:color="auto"/>
            <w:bottom w:val="none" w:sz="0" w:space="0" w:color="auto"/>
            <w:right w:val="none" w:sz="0" w:space="0" w:color="auto"/>
          </w:divBdr>
        </w:div>
        <w:div w:id="762721625">
          <w:marLeft w:val="0"/>
          <w:marRight w:val="0"/>
          <w:marTop w:val="0"/>
          <w:marBottom w:val="101"/>
          <w:divBdr>
            <w:top w:val="none" w:sz="0" w:space="0" w:color="auto"/>
            <w:left w:val="none" w:sz="0" w:space="0" w:color="auto"/>
            <w:bottom w:val="none" w:sz="0" w:space="0" w:color="auto"/>
            <w:right w:val="none" w:sz="0" w:space="0" w:color="auto"/>
          </w:divBdr>
        </w:div>
        <w:div w:id="852646155">
          <w:marLeft w:val="720"/>
          <w:marRight w:val="0"/>
          <w:marTop w:val="0"/>
          <w:marBottom w:val="101"/>
          <w:divBdr>
            <w:top w:val="none" w:sz="0" w:space="0" w:color="auto"/>
            <w:left w:val="none" w:sz="0" w:space="0" w:color="auto"/>
            <w:bottom w:val="none" w:sz="0" w:space="0" w:color="auto"/>
            <w:right w:val="none" w:sz="0" w:space="0" w:color="auto"/>
          </w:divBdr>
        </w:div>
        <w:div w:id="726998556">
          <w:marLeft w:val="0"/>
          <w:marRight w:val="0"/>
          <w:marTop w:val="0"/>
          <w:marBottom w:val="101"/>
          <w:divBdr>
            <w:top w:val="none" w:sz="0" w:space="0" w:color="auto"/>
            <w:left w:val="none" w:sz="0" w:space="0" w:color="auto"/>
            <w:bottom w:val="none" w:sz="0" w:space="0" w:color="auto"/>
            <w:right w:val="none" w:sz="0" w:space="0" w:color="auto"/>
          </w:divBdr>
        </w:div>
        <w:div w:id="1654144919">
          <w:marLeft w:val="0"/>
          <w:marRight w:val="0"/>
          <w:marTop w:val="0"/>
          <w:marBottom w:val="101"/>
          <w:divBdr>
            <w:top w:val="none" w:sz="0" w:space="0" w:color="auto"/>
            <w:left w:val="none" w:sz="0" w:space="0" w:color="auto"/>
            <w:bottom w:val="none" w:sz="0" w:space="0" w:color="auto"/>
            <w:right w:val="none" w:sz="0" w:space="0" w:color="auto"/>
          </w:divBdr>
        </w:div>
        <w:div w:id="303396422">
          <w:marLeft w:val="0"/>
          <w:marRight w:val="0"/>
          <w:marTop w:val="0"/>
          <w:marBottom w:val="101"/>
          <w:divBdr>
            <w:top w:val="none" w:sz="0" w:space="0" w:color="auto"/>
            <w:left w:val="none" w:sz="0" w:space="0" w:color="auto"/>
            <w:bottom w:val="none" w:sz="0" w:space="0" w:color="auto"/>
            <w:right w:val="none" w:sz="0" w:space="0" w:color="auto"/>
          </w:divBdr>
        </w:div>
        <w:div w:id="142234335">
          <w:marLeft w:val="0"/>
          <w:marRight w:val="0"/>
          <w:marTop w:val="0"/>
          <w:marBottom w:val="101"/>
          <w:divBdr>
            <w:top w:val="none" w:sz="0" w:space="0" w:color="auto"/>
            <w:left w:val="none" w:sz="0" w:space="0" w:color="auto"/>
            <w:bottom w:val="none" w:sz="0" w:space="0" w:color="auto"/>
            <w:right w:val="none" w:sz="0" w:space="0" w:color="auto"/>
          </w:divBdr>
        </w:div>
        <w:div w:id="1176266578">
          <w:marLeft w:val="0"/>
          <w:marRight w:val="0"/>
          <w:marTop w:val="0"/>
          <w:marBottom w:val="101"/>
          <w:divBdr>
            <w:top w:val="none" w:sz="0" w:space="0" w:color="auto"/>
            <w:left w:val="none" w:sz="0" w:space="0" w:color="auto"/>
            <w:bottom w:val="none" w:sz="0" w:space="0" w:color="auto"/>
            <w:right w:val="none" w:sz="0" w:space="0" w:color="auto"/>
          </w:divBdr>
        </w:div>
        <w:div w:id="1397320208">
          <w:marLeft w:val="0"/>
          <w:marRight w:val="0"/>
          <w:marTop w:val="0"/>
          <w:marBottom w:val="101"/>
          <w:divBdr>
            <w:top w:val="none" w:sz="0" w:space="0" w:color="auto"/>
            <w:left w:val="none" w:sz="0" w:space="0" w:color="auto"/>
            <w:bottom w:val="none" w:sz="0" w:space="0" w:color="auto"/>
            <w:right w:val="none" w:sz="0" w:space="0" w:color="auto"/>
          </w:divBdr>
        </w:div>
        <w:div w:id="153181987">
          <w:marLeft w:val="0"/>
          <w:marRight w:val="0"/>
          <w:marTop w:val="0"/>
          <w:marBottom w:val="101"/>
          <w:divBdr>
            <w:top w:val="none" w:sz="0" w:space="0" w:color="auto"/>
            <w:left w:val="none" w:sz="0" w:space="0" w:color="auto"/>
            <w:bottom w:val="none" w:sz="0" w:space="0" w:color="auto"/>
            <w:right w:val="none" w:sz="0" w:space="0" w:color="auto"/>
          </w:divBdr>
        </w:div>
        <w:div w:id="1975910548">
          <w:marLeft w:val="0"/>
          <w:marRight w:val="0"/>
          <w:marTop w:val="0"/>
          <w:marBottom w:val="101"/>
          <w:divBdr>
            <w:top w:val="none" w:sz="0" w:space="0" w:color="auto"/>
            <w:left w:val="none" w:sz="0" w:space="0" w:color="auto"/>
            <w:bottom w:val="none" w:sz="0" w:space="0" w:color="auto"/>
            <w:right w:val="none" w:sz="0" w:space="0" w:color="auto"/>
          </w:divBdr>
        </w:div>
        <w:div w:id="654996275">
          <w:marLeft w:val="0"/>
          <w:marRight w:val="0"/>
          <w:marTop w:val="0"/>
          <w:marBottom w:val="101"/>
          <w:divBdr>
            <w:top w:val="none" w:sz="0" w:space="0" w:color="auto"/>
            <w:left w:val="none" w:sz="0" w:space="0" w:color="auto"/>
            <w:bottom w:val="none" w:sz="0" w:space="0" w:color="auto"/>
            <w:right w:val="none" w:sz="0" w:space="0" w:color="auto"/>
          </w:divBdr>
        </w:div>
        <w:div w:id="590747543">
          <w:marLeft w:val="0"/>
          <w:marRight w:val="0"/>
          <w:marTop w:val="0"/>
          <w:marBottom w:val="101"/>
          <w:divBdr>
            <w:top w:val="none" w:sz="0" w:space="0" w:color="auto"/>
            <w:left w:val="none" w:sz="0" w:space="0" w:color="auto"/>
            <w:bottom w:val="none" w:sz="0" w:space="0" w:color="auto"/>
            <w:right w:val="none" w:sz="0" w:space="0" w:color="auto"/>
          </w:divBdr>
        </w:div>
        <w:div w:id="103773020">
          <w:marLeft w:val="0"/>
          <w:marRight w:val="0"/>
          <w:marTop w:val="0"/>
          <w:marBottom w:val="101"/>
          <w:divBdr>
            <w:top w:val="none" w:sz="0" w:space="0" w:color="auto"/>
            <w:left w:val="none" w:sz="0" w:space="0" w:color="auto"/>
            <w:bottom w:val="none" w:sz="0" w:space="0" w:color="auto"/>
            <w:right w:val="none" w:sz="0" w:space="0" w:color="auto"/>
          </w:divBdr>
        </w:div>
        <w:div w:id="773474105">
          <w:marLeft w:val="0"/>
          <w:marRight w:val="0"/>
          <w:marTop w:val="0"/>
          <w:marBottom w:val="101"/>
          <w:divBdr>
            <w:top w:val="none" w:sz="0" w:space="0" w:color="auto"/>
            <w:left w:val="none" w:sz="0" w:space="0" w:color="auto"/>
            <w:bottom w:val="none" w:sz="0" w:space="0" w:color="auto"/>
            <w:right w:val="none" w:sz="0" w:space="0" w:color="auto"/>
          </w:divBdr>
        </w:div>
        <w:div w:id="1821580137">
          <w:marLeft w:val="0"/>
          <w:marRight w:val="0"/>
          <w:marTop w:val="0"/>
          <w:marBottom w:val="101"/>
          <w:divBdr>
            <w:top w:val="none" w:sz="0" w:space="0" w:color="auto"/>
            <w:left w:val="none" w:sz="0" w:space="0" w:color="auto"/>
            <w:bottom w:val="none" w:sz="0" w:space="0" w:color="auto"/>
            <w:right w:val="none" w:sz="0" w:space="0" w:color="auto"/>
          </w:divBdr>
        </w:div>
        <w:div w:id="342437535">
          <w:marLeft w:val="0"/>
          <w:marRight w:val="0"/>
          <w:marTop w:val="0"/>
          <w:marBottom w:val="101"/>
          <w:divBdr>
            <w:top w:val="none" w:sz="0" w:space="0" w:color="auto"/>
            <w:left w:val="none" w:sz="0" w:space="0" w:color="auto"/>
            <w:bottom w:val="none" w:sz="0" w:space="0" w:color="auto"/>
            <w:right w:val="none" w:sz="0" w:space="0" w:color="auto"/>
          </w:divBdr>
        </w:div>
        <w:div w:id="582568290">
          <w:marLeft w:val="0"/>
          <w:marRight w:val="0"/>
          <w:marTop w:val="0"/>
          <w:marBottom w:val="101"/>
          <w:divBdr>
            <w:top w:val="none" w:sz="0" w:space="0" w:color="auto"/>
            <w:left w:val="none" w:sz="0" w:space="0" w:color="auto"/>
            <w:bottom w:val="none" w:sz="0" w:space="0" w:color="auto"/>
            <w:right w:val="none" w:sz="0" w:space="0" w:color="auto"/>
          </w:divBdr>
        </w:div>
        <w:div w:id="1386760794">
          <w:marLeft w:val="0"/>
          <w:marRight w:val="0"/>
          <w:marTop w:val="0"/>
          <w:marBottom w:val="101"/>
          <w:divBdr>
            <w:top w:val="none" w:sz="0" w:space="0" w:color="auto"/>
            <w:left w:val="none" w:sz="0" w:space="0" w:color="auto"/>
            <w:bottom w:val="none" w:sz="0" w:space="0" w:color="auto"/>
            <w:right w:val="none" w:sz="0" w:space="0" w:color="auto"/>
          </w:divBdr>
        </w:div>
        <w:div w:id="1772822132">
          <w:marLeft w:val="0"/>
          <w:marRight w:val="0"/>
          <w:marTop w:val="0"/>
          <w:marBottom w:val="101"/>
          <w:divBdr>
            <w:top w:val="none" w:sz="0" w:space="0" w:color="auto"/>
            <w:left w:val="none" w:sz="0" w:space="0" w:color="auto"/>
            <w:bottom w:val="none" w:sz="0" w:space="0" w:color="auto"/>
            <w:right w:val="none" w:sz="0" w:space="0" w:color="auto"/>
          </w:divBdr>
        </w:div>
        <w:div w:id="1588465557">
          <w:marLeft w:val="720"/>
          <w:marRight w:val="0"/>
          <w:marTop w:val="0"/>
          <w:marBottom w:val="101"/>
          <w:divBdr>
            <w:top w:val="none" w:sz="0" w:space="0" w:color="auto"/>
            <w:left w:val="none" w:sz="0" w:space="0" w:color="auto"/>
            <w:bottom w:val="none" w:sz="0" w:space="0" w:color="auto"/>
            <w:right w:val="none" w:sz="0" w:space="0" w:color="auto"/>
          </w:divBdr>
        </w:div>
        <w:div w:id="1707367088">
          <w:marLeft w:val="0"/>
          <w:marRight w:val="0"/>
          <w:marTop w:val="0"/>
          <w:marBottom w:val="101"/>
          <w:divBdr>
            <w:top w:val="none" w:sz="0" w:space="0" w:color="auto"/>
            <w:left w:val="none" w:sz="0" w:space="0" w:color="auto"/>
            <w:bottom w:val="none" w:sz="0" w:space="0" w:color="auto"/>
            <w:right w:val="none" w:sz="0" w:space="0" w:color="auto"/>
          </w:divBdr>
        </w:div>
        <w:div w:id="1005784668">
          <w:marLeft w:val="720"/>
          <w:marRight w:val="0"/>
          <w:marTop w:val="0"/>
          <w:marBottom w:val="101"/>
          <w:divBdr>
            <w:top w:val="none" w:sz="0" w:space="0" w:color="auto"/>
            <w:left w:val="none" w:sz="0" w:space="0" w:color="auto"/>
            <w:bottom w:val="none" w:sz="0" w:space="0" w:color="auto"/>
            <w:right w:val="none" w:sz="0" w:space="0" w:color="auto"/>
          </w:divBdr>
        </w:div>
        <w:div w:id="2057661668">
          <w:marLeft w:val="0"/>
          <w:marRight w:val="0"/>
          <w:marTop w:val="0"/>
          <w:marBottom w:val="101"/>
          <w:divBdr>
            <w:top w:val="none" w:sz="0" w:space="0" w:color="auto"/>
            <w:left w:val="none" w:sz="0" w:space="0" w:color="auto"/>
            <w:bottom w:val="none" w:sz="0" w:space="0" w:color="auto"/>
            <w:right w:val="none" w:sz="0" w:space="0" w:color="auto"/>
          </w:divBdr>
        </w:div>
        <w:div w:id="288441557">
          <w:marLeft w:val="720"/>
          <w:marRight w:val="0"/>
          <w:marTop w:val="0"/>
          <w:marBottom w:val="101"/>
          <w:divBdr>
            <w:top w:val="none" w:sz="0" w:space="0" w:color="auto"/>
            <w:left w:val="none" w:sz="0" w:space="0" w:color="auto"/>
            <w:bottom w:val="none" w:sz="0" w:space="0" w:color="auto"/>
            <w:right w:val="none" w:sz="0" w:space="0" w:color="auto"/>
          </w:divBdr>
        </w:div>
        <w:div w:id="689255644">
          <w:marLeft w:val="720"/>
          <w:marRight w:val="0"/>
          <w:marTop w:val="0"/>
          <w:marBottom w:val="101"/>
          <w:divBdr>
            <w:top w:val="none" w:sz="0" w:space="0" w:color="auto"/>
            <w:left w:val="none" w:sz="0" w:space="0" w:color="auto"/>
            <w:bottom w:val="none" w:sz="0" w:space="0" w:color="auto"/>
            <w:right w:val="none" w:sz="0" w:space="0" w:color="auto"/>
          </w:divBdr>
        </w:div>
        <w:div w:id="1802964752">
          <w:marLeft w:val="720"/>
          <w:marRight w:val="0"/>
          <w:marTop w:val="0"/>
          <w:marBottom w:val="101"/>
          <w:divBdr>
            <w:top w:val="none" w:sz="0" w:space="0" w:color="auto"/>
            <w:left w:val="none" w:sz="0" w:space="0" w:color="auto"/>
            <w:bottom w:val="none" w:sz="0" w:space="0" w:color="auto"/>
            <w:right w:val="none" w:sz="0" w:space="0" w:color="auto"/>
          </w:divBdr>
        </w:div>
        <w:div w:id="1879777373">
          <w:marLeft w:val="0"/>
          <w:marRight w:val="0"/>
          <w:marTop w:val="0"/>
          <w:marBottom w:val="101"/>
          <w:divBdr>
            <w:top w:val="none" w:sz="0" w:space="0" w:color="auto"/>
            <w:left w:val="none" w:sz="0" w:space="0" w:color="auto"/>
            <w:bottom w:val="none" w:sz="0" w:space="0" w:color="auto"/>
            <w:right w:val="none" w:sz="0" w:space="0" w:color="auto"/>
          </w:divBdr>
        </w:div>
        <w:div w:id="401686035">
          <w:marLeft w:val="0"/>
          <w:marRight w:val="0"/>
          <w:marTop w:val="0"/>
          <w:marBottom w:val="101"/>
          <w:divBdr>
            <w:top w:val="none" w:sz="0" w:space="0" w:color="auto"/>
            <w:left w:val="none" w:sz="0" w:space="0" w:color="auto"/>
            <w:bottom w:val="none" w:sz="0" w:space="0" w:color="auto"/>
            <w:right w:val="none" w:sz="0" w:space="0" w:color="auto"/>
          </w:divBdr>
        </w:div>
        <w:div w:id="1943875802">
          <w:marLeft w:val="0"/>
          <w:marRight w:val="0"/>
          <w:marTop w:val="0"/>
          <w:marBottom w:val="101"/>
          <w:divBdr>
            <w:top w:val="none" w:sz="0" w:space="0" w:color="auto"/>
            <w:left w:val="none" w:sz="0" w:space="0" w:color="auto"/>
            <w:bottom w:val="none" w:sz="0" w:space="0" w:color="auto"/>
            <w:right w:val="none" w:sz="0" w:space="0" w:color="auto"/>
          </w:divBdr>
        </w:div>
        <w:div w:id="592739038">
          <w:marLeft w:val="0"/>
          <w:marRight w:val="0"/>
          <w:marTop w:val="0"/>
          <w:marBottom w:val="101"/>
          <w:divBdr>
            <w:top w:val="none" w:sz="0" w:space="0" w:color="auto"/>
            <w:left w:val="none" w:sz="0" w:space="0" w:color="auto"/>
            <w:bottom w:val="none" w:sz="0" w:space="0" w:color="auto"/>
            <w:right w:val="none" w:sz="0" w:space="0" w:color="auto"/>
          </w:divBdr>
        </w:div>
        <w:div w:id="1338776926">
          <w:marLeft w:val="0"/>
          <w:marRight w:val="0"/>
          <w:marTop w:val="0"/>
          <w:marBottom w:val="101"/>
          <w:divBdr>
            <w:top w:val="none" w:sz="0" w:space="0" w:color="auto"/>
            <w:left w:val="none" w:sz="0" w:space="0" w:color="auto"/>
            <w:bottom w:val="none" w:sz="0" w:space="0" w:color="auto"/>
            <w:right w:val="none" w:sz="0" w:space="0" w:color="auto"/>
          </w:divBdr>
        </w:div>
        <w:div w:id="857693394">
          <w:marLeft w:val="0"/>
          <w:marRight w:val="0"/>
          <w:marTop w:val="0"/>
          <w:marBottom w:val="101"/>
          <w:divBdr>
            <w:top w:val="none" w:sz="0" w:space="0" w:color="auto"/>
            <w:left w:val="none" w:sz="0" w:space="0" w:color="auto"/>
            <w:bottom w:val="none" w:sz="0" w:space="0" w:color="auto"/>
            <w:right w:val="none" w:sz="0" w:space="0" w:color="auto"/>
          </w:divBdr>
        </w:div>
        <w:div w:id="4209555">
          <w:marLeft w:val="0"/>
          <w:marRight w:val="0"/>
          <w:marTop w:val="0"/>
          <w:marBottom w:val="101"/>
          <w:divBdr>
            <w:top w:val="none" w:sz="0" w:space="0" w:color="auto"/>
            <w:left w:val="none" w:sz="0" w:space="0" w:color="auto"/>
            <w:bottom w:val="none" w:sz="0" w:space="0" w:color="auto"/>
            <w:right w:val="none" w:sz="0" w:space="0" w:color="auto"/>
          </w:divBdr>
        </w:div>
        <w:div w:id="76441380">
          <w:marLeft w:val="0"/>
          <w:marRight w:val="0"/>
          <w:marTop w:val="0"/>
          <w:marBottom w:val="101"/>
          <w:divBdr>
            <w:top w:val="none" w:sz="0" w:space="0" w:color="auto"/>
            <w:left w:val="none" w:sz="0" w:space="0" w:color="auto"/>
            <w:bottom w:val="none" w:sz="0" w:space="0" w:color="auto"/>
            <w:right w:val="none" w:sz="0" w:space="0" w:color="auto"/>
          </w:divBdr>
        </w:div>
        <w:div w:id="636300928">
          <w:marLeft w:val="0"/>
          <w:marRight w:val="0"/>
          <w:marTop w:val="0"/>
          <w:marBottom w:val="101"/>
          <w:divBdr>
            <w:top w:val="none" w:sz="0" w:space="0" w:color="auto"/>
            <w:left w:val="none" w:sz="0" w:space="0" w:color="auto"/>
            <w:bottom w:val="none" w:sz="0" w:space="0" w:color="auto"/>
            <w:right w:val="none" w:sz="0" w:space="0" w:color="auto"/>
          </w:divBdr>
        </w:div>
        <w:div w:id="78526040">
          <w:marLeft w:val="720"/>
          <w:marRight w:val="0"/>
          <w:marTop w:val="0"/>
          <w:marBottom w:val="101"/>
          <w:divBdr>
            <w:top w:val="none" w:sz="0" w:space="0" w:color="auto"/>
            <w:left w:val="none" w:sz="0" w:space="0" w:color="auto"/>
            <w:bottom w:val="none" w:sz="0" w:space="0" w:color="auto"/>
            <w:right w:val="none" w:sz="0" w:space="0" w:color="auto"/>
          </w:divBdr>
        </w:div>
        <w:div w:id="1586500446">
          <w:marLeft w:val="720"/>
          <w:marRight w:val="0"/>
          <w:marTop w:val="0"/>
          <w:marBottom w:val="101"/>
          <w:divBdr>
            <w:top w:val="none" w:sz="0" w:space="0" w:color="auto"/>
            <w:left w:val="none" w:sz="0" w:space="0" w:color="auto"/>
            <w:bottom w:val="none" w:sz="0" w:space="0" w:color="auto"/>
            <w:right w:val="none" w:sz="0" w:space="0" w:color="auto"/>
          </w:divBdr>
        </w:div>
        <w:div w:id="2111123624">
          <w:marLeft w:val="0"/>
          <w:marRight w:val="0"/>
          <w:marTop w:val="0"/>
          <w:marBottom w:val="101"/>
          <w:divBdr>
            <w:top w:val="none" w:sz="0" w:space="0" w:color="auto"/>
            <w:left w:val="none" w:sz="0" w:space="0" w:color="auto"/>
            <w:bottom w:val="none" w:sz="0" w:space="0" w:color="auto"/>
            <w:right w:val="none" w:sz="0" w:space="0" w:color="auto"/>
          </w:divBdr>
        </w:div>
        <w:div w:id="874385663">
          <w:marLeft w:val="0"/>
          <w:marRight w:val="0"/>
          <w:marTop w:val="0"/>
          <w:marBottom w:val="101"/>
          <w:divBdr>
            <w:top w:val="none" w:sz="0" w:space="0" w:color="auto"/>
            <w:left w:val="none" w:sz="0" w:space="0" w:color="auto"/>
            <w:bottom w:val="none" w:sz="0" w:space="0" w:color="auto"/>
            <w:right w:val="none" w:sz="0" w:space="0" w:color="auto"/>
          </w:divBdr>
        </w:div>
        <w:div w:id="12534956">
          <w:marLeft w:val="0"/>
          <w:marRight w:val="0"/>
          <w:marTop w:val="0"/>
          <w:marBottom w:val="101"/>
          <w:divBdr>
            <w:top w:val="none" w:sz="0" w:space="0" w:color="auto"/>
            <w:left w:val="none" w:sz="0" w:space="0" w:color="auto"/>
            <w:bottom w:val="none" w:sz="0" w:space="0" w:color="auto"/>
            <w:right w:val="none" w:sz="0" w:space="0" w:color="auto"/>
          </w:divBdr>
        </w:div>
        <w:div w:id="181674784">
          <w:marLeft w:val="0"/>
          <w:marRight w:val="0"/>
          <w:marTop w:val="0"/>
          <w:marBottom w:val="101"/>
          <w:divBdr>
            <w:top w:val="none" w:sz="0" w:space="0" w:color="auto"/>
            <w:left w:val="none" w:sz="0" w:space="0" w:color="auto"/>
            <w:bottom w:val="none" w:sz="0" w:space="0" w:color="auto"/>
            <w:right w:val="none" w:sz="0" w:space="0" w:color="auto"/>
          </w:divBdr>
        </w:div>
        <w:div w:id="577327088">
          <w:marLeft w:val="0"/>
          <w:marRight w:val="0"/>
          <w:marTop w:val="0"/>
          <w:marBottom w:val="101"/>
          <w:divBdr>
            <w:top w:val="none" w:sz="0" w:space="0" w:color="auto"/>
            <w:left w:val="none" w:sz="0" w:space="0" w:color="auto"/>
            <w:bottom w:val="none" w:sz="0" w:space="0" w:color="auto"/>
            <w:right w:val="none" w:sz="0" w:space="0" w:color="auto"/>
          </w:divBdr>
        </w:div>
      </w:divsChild>
    </w:div>
    <w:div w:id="16571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2018-04-10T13:37:00Z</dcterms:created>
  <dcterms:modified xsi:type="dcterms:W3CDTF">2018-04-10T13:37:00Z</dcterms:modified>
</cp:coreProperties>
</file>