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47" w:rsidRPr="00841D9A" w:rsidRDefault="003C5D47" w:rsidP="003C5D47">
      <w:pPr>
        <w:jc w:val="center"/>
        <w:rPr>
          <w:rFonts w:ascii="Verdana" w:eastAsia="Verdana" w:hAnsi="Verdana" w:cs="Verdana"/>
          <w:b/>
          <w:color w:val="0000FF"/>
          <w:sz w:val="24"/>
          <w:szCs w:val="24"/>
        </w:rPr>
      </w:pPr>
      <w:r w:rsidRPr="003C5D47">
        <w:rPr>
          <w:rFonts w:ascii="Verdana" w:eastAsia="Verdana" w:hAnsi="Verdana" w:cs="Verdana"/>
          <w:b/>
          <w:color w:val="0000FF"/>
          <w:sz w:val="24"/>
          <w:szCs w:val="24"/>
        </w:rPr>
        <w:t>OFICIO Circular por el que se da a conocer a las dependencias y sus órganos administrativos desconcentrados, a las entidades de la Administración Pública Paraestatal, así como a la Fiscalía General de la República, sujetas a la cobertura de los Tratados de Libre Comercio que se indican, la conversión a moneda nacional para el segundo semestre del año 2023, con vigencia del 1 de julio al 31 de diciembre de 2023.</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27</w:t>
      </w:r>
      <w:r>
        <w:rPr>
          <w:rFonts w:ascii="Verdana" w:eastAsia="Verdana" w:hAnsi="Verdana" w:cs="Verdana"/>
          <w:b/>
          <w:color w:val="0000FF"/>
          <w:sz w:val="24"/>
          <w:szCs w:val="24"/>
        </w:rPr>
        <w:t xml:space="preserve"> de junio de 2023</w:t>
      </w:r>
      <w:r w:rsidRPr="0099730F">
        <w:rPr>
          <w:rFonts w:ascii="Verdana" w:eastAsia="Verdana" w:hAnsi="Verdana" w:cs="Verdana"/>
          <w:b/>
          <w:color w:val="0000FF"/>
          <w:sz w:val="24"/>
          <w:szCs w:val="24"/>
        </w:rPr>
        <w:t>)</w:t>
      </w:r>
      <w:bookmarkEnd w:id="0"/>
    </w:p>
    <w:p w:rsidR="00CD62F1" w:rsidRDefault="003C5D47" w:rsidP="003C5D47">
      <w:pPr>
        <w:jc w:val="both"/>
        <w:rPr>
          <w:rFonts w:ascii="Arial" w:hAnsi="Arial" w:cs="Arial"/>
          <w:b/>
          <w:color w:val="2F2F2F"/>
          <w:sz w:val="18"/>
          <w:szCs w:val="18"/>
          <w:shd w:val="clear" w:color="auto" w:fill="FFFFFF"/>
        </w:rPr>
      </w:pPr>
      <w:r w:rsidRPr="003C5D47">
        <w:rPr>
          <w:rFonts w:ascii="Arial" w:hAnsi="Arial" w:cs="Arial"/>
          <w:b/>
          <w:color w:val="2F2F2F"/>
          <w:sz w:val="18"/>
          <w:szCs w:val="18"/>
          <w:shd w:val="clear" w:color="auto" w:fill="FFFFFF"/>
        </w:rPr>
        <w:t>Al margen un sello con el Escudo Nacional, que dice: Estados Unidos Mexicanos.- HACIENDA.- Secretaría de Hacienda y Crédito Público.- Oficialía Mayor.- Unidad de Normatividad.- Oficio No. UN/700/TU/AD/198/2023.</w:t>
      </w:r>
    </w:p>
    <w:p w:rsidR="003C5D47" w:rsidRPr="003C5D47" w:rsidRDefault="003C5D47" w:rsidP="003C5D47">
      <w:pPr>
        <w:shd w:val="clear" w:color="auto" w:fill="FFFFFF"/>
        <w:spacing w:after="100" w:line="240" w:lineRule="auto"/>
        <w:jc w:val="both"/>
        <w:rPr>
          <w:rFonts w:ascii="Arial" w:eastAsia="Times New Roman" w:hAnsi="Arial" w:cs="Arial"/>
          <w:color w:val="2F2F2F"/>
          <w:sz w:val="18"/>
          <w:szCs w:val="18"/>
          <w:lang w:eastAsia="es-MX"/>
        </w:rPr>
      </w:pPr>
      <w:r w:rsidRPr="003C5D47">
        <w:rPr>
          <w:rFonts w:ascii="Arial" w:eastAsia="Times New Roman" w:hAnsi="Arial" w:cs="Arial"/>
          <w:b/>
          <w:bCs/>
          <w:color w:val="000000"/>
          <w:sz w:val="18"/>
          <w:szCs w:val="18"/>
          <w:lang w:eastAsia="es-MX"/>
        </w:rPr>
        <w:t>ASUNTO:</w:t>
      </w:r>
      <w:r w:rsidRPr="003C5D47">
        <w:rPr>
          <w:rFonts w:ascii="Arial" w:eastAsia="Times New Roman" w:hAnsi="Arial" w:cs="Arial"/>
          <w:color w:val="000000"/>
          <w:sz w:val="18"/>
          <w:szCs w:val="18"/>
          <w:lang w:eastAsia="es-MX"/>
        </w:rPr>
        <w:t> </w:t>
      </w:r>
      <w:r w:rsidRPr="003C5D47">
        <w:rPr>
          <w:rFonts w:ascii="Arial" w:eastAsia="Times New Roman" w:hAnsi="Arial" w:cs="Arial"/>
          <w:color w:val="2F2F2F"/>
          <w:sz w:val="18"/>
          <w:szCs w:val="18"/>
          <w:lang w:eastAsia="es-MX"/>
        </w:rPr>
        <w:t>Conversión a moneda nacional de los umbrales aplicables a los Tratados de Libre Comercio con capítulos de compras gubernamentales para el segundo semestre de 2023.</w:t>
      </w:r>
    </w:p>
    <w:p w:rsidR="003C5D47" w:rsidRPr="003C5D47" w:rsidRDefault="003C5D47" w:rsidP="003C5D47">
      <w:pPr>
        <w:shd w:val="clear" w:color="auto" w:fill="FFFFFF"/>
        <w:spacing w:after="100" w:line="240" w:lineRule="auto"/>
        <w:jc w:val="both"/>
        <w:rPr>
          <w:rFonts w:ascii="Arial" w:eastAsia="Times New Roman" w:hAnsi="Arial" w:cs="Arial"/>
          <w:color w:val="2F2F2F"/>
          <w:sz w:val="16"/>
          <w:szCs w:val="16"/>
          <w:lang w:eastAsia="es-MX"/>
        </w:rPr>
      </w:pPr>
      <w:r w:rsidRPr="003C5D47">
        <w:rPr>
          <w:rFonts w:ascii="Arial" w:eastAsia="Times New Roman" w:hAnsi="Arial" w:cs="Arial"/>
          <w:b/>
          <w:bCs/>
          <w:color w:val="000000"/>
          <w:sz w:val="16"/>
          <w:szCs w:val="16"/>
          <w:lang w:eastAsia="es-MX"/>
        </w:rPr>
        <w:t>C.C. TITULARES DE LA UNIDAD DE ADMINISTRACIÓN Y FINANZAS O EQUIVALENTES EN LAS DEPENDENCIAS, ENTIDADES, ÓRGANOS DESCONCENTRADOS DE LA ADMINISTRACIÓN PÚBLICA FEDERAL Y EN LA FISCALÍA GENERAL DE LA REPÚBLICA, SUJETAS A LA COBERTURA DE LOS TRATADOS DE LIBRE COMERCIO</w:t>
      </w:r>
    </w:p>
    <w:p w:rsidR="003C5D47" w:rsidRPr="003C5D47" w:rsidRDefault="003C5D47" w:rsidP="003C5D47">
      <w:pPr>
        <w:shd w:val="clear" w:color="auto" w:fill="FFFFFF"/>
        <w:spacing w:after="100" w:line="240" w:lineRule="auto"/>
        <w:jc w:val="both"/>
        <w:rPr>
          <w:rFonts w:ascii="Arial" w:eastAsia="Times New Roman" w:hAnsi="Arial" w:cs="Arial"/>
          <w:color w:val="2F2F2F"/>
          <w:sz w:val="16"/>
          <w:szCs w:val="16"/>
          <w:lang w:eastAsia="es-MX"/>
        </w:rPr>
      </w:pPr>
      <w:r w:rsidRPr="003C5D47">
        <w:rPr>
          <w:rFonts w:ascii="Arial" w:eastAsia="Times New Roman" w:hAnsi="Arial" w:cs="Arial"/>
          <w:b/>
          <w:bCs/>
          <w:color w:val="000000"/>
          <w:sz w:val="16"/>
          <w:szCs w:val="16"/>
          <w:lang w:eastAsia="es-MX"/>
        </w:rPr>
        <w:t>P R E S E N T E.</w:t>
      </w:r>
    </w:p>
    <w:p w:rsidR="003C5D47" w:rsidRPr="003C5D47" w:rsidRDefault="003C5D47" w:rsidP="003C5D47">
      <w:pPr>
        <w:shd w:val="clear" w:color="auto" w:fill="FFFFFF"/>
        <w:spacing w:after="100"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000000"/>
          <w:sz w:val="18"/>
          <w:szCs w:val="18"/>
          <w:lang w:eastAsia="es-MX"/>
        </w:rPr>
        <w:t>Con fundamento en los artículos 4, apartado F, fracción IX y 46, fracción XVI del Reglamento Interior de la Secretaría de Hacienda y Crédito Público, facultades que continúan vigentes en términos de los artículos Primero y Noveno Transitorios del DECRETO por el que se reforman, adicionan y derogan diversas disposiciones de la Ley Orgánica de la Administración Pública Federal, publicado el 3 de mayo de 2023 en el Diario Oficial de la Federación, se difunde la información siguiente para su debida aplicación por ser del interés de las dependencias, entidades y órganos administrativos desconcentrados de la Administración Pública Federal, listadas en los capítulos de compras del sector público de los tratados de libre comercio que se relacionan a continuación:</w:t>
      </w:r>
    </w:p>
    <w:tbl>
      <w:tblPr>
        <w:tblW w:w="0" w:type="auto"/>
        <w:tblCellMar>
          <w:top w:w="15" w:type="dxa"/>
          <w:left w:w="15" w:type="dxa"/>
          <w:bottom w:w="15" w:type="dxa"/>
          <w:right w:w="15" w:type="dxa"/>
        </w:tblCellMar>
        <w:tblLook w:val="04A0" w:firstRow="1" w:lastRow="0" w:firstColumn="1" w:lastColumn="0" w:noHBand="0" w:noVBand="1"/>
      </w:tblPr>
      <w:tblGrid>
        <w:gridCol w:w="2058"/>
        <w:gridCol w:w="3573"/>
        <w:gridCol w:w="3347"/>
      </w:tblGrid>
      <w:tr w:rsidR="003C5D47" w:rsidRPr="003C5D47" w:rsidTr="003C5D47">
        <w:trPr>
          <w:trHeight w:val="715"/>
        </w:trPr>
        <w:tc>
          <w:tcPr>
            <w:tcW w:w="8980" w:type="dxa"/>
            <w:gridSpan w:val="3"/>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divId w:val="1601524788"/>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UBICACIÓN DE DEPENDENCIAS Y ENTIDADES SUJETAS A LA COBERTURA DE LOS CAPÍTULOS DE COMPRAS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DEL SECTOR PÚBLICO DE LOS TRATADOS DE LIBRE COMERCIO</w:t>
            </w:r>
          </w:p>
        </w:tc>
      </w:tr>
      <w:tr w:rsidR="003C5D47" w:rsidRPr="003C5D47" w:rsidTr="003C5D47">
        <w:trPr>
          <w:trHeight w:val="708"/>
        </w:trPr>
        <w:tc>
          <w:tcPr>
            <w:tcW w:w="2333"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Anexo</w:t>
            </w:r>
          </w:p>
        </w:tc>
        <w:tc>
          <w:tcPr>
            <w:tcW w:w="159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Número del</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Capítulo o Título</w:t>
            </w:r>
          </w:p>
        </w:tc>
        <w:tc>
          <w:tcPr>
            <w:tcW w:w="5052"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Nombre del Tratado de Libre Comercio</w:t>
            </w:r>
          </w:p>
        </w:tc>
      </w:tr>
      <w:tr w:rsidR="003C5D47" w:rsidRPr="003C5D47" w:rsidTr="003C5D47">
        <w:trPr>
          <w:trHeight w:val="648"/>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Sección A y B del Anexo 13-A</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Lista de México</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Capítulo 13</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Tratado entre los Estados Unidos Mexicanos, los Estados Unidos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América y Canadá </w:t>
            </w:r>
            <w:r w:rsidRPr="003C5D47">
              <w:rPr>
                <w:rFonts w:ascii="Arial" w:eastAsia="Times New Roman" w:hAnsi="Arial" w:cs="Arial"/>
                <w:b/>
                <w:bCs/>
                <w:color w:val="000000"/>
                <w:sz w:val="16"/>
                <w:szCs w:val="16"/>
                <w:lang w:eastAsia="es-MX"/>
              </w:rPr>
              <w:t>(T-MEC)</w:t>
            </w:r>
          </w:p>
        </w:tc>
      </w:tr>
      <w:tr w:rsidR="003C5D47" w:rsidRPr="003C5D47" w:rsidTr="003C5D47">
        <w:trPr>
          <w:trHeight w:val="648"/>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Secciones 1 y 2 de la Parte A</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del Anexo I</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Capítulo VI</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Tratado de Libre Comercio entre los Estados Unidos Mexicanos y el</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Estado de Israel </w:t>
            </w:r>
            <w:r w:rsidRPr="003C5D47">
              <w:rPr>
                <w:rFonts w:ascii="Arial" w:eastAsia="Times New Roman" w:hAnsi="Arial" w:cs="Arial"/>
                <w:b/>
                <w:bCs/>
                <w:color w:val="000000"/>
                <w:sz w:val="16"/>
                <w:szCs w:val="16"/>
                <w:lang w:eastAsia="es-MX"/>
              </w:rPr>
              <w:t>(TLC México-Israel)</w:t>
            </w:r>
          </w:p>
        </w:tc>
      </w:tr>
      <w:tr w:rsidR="003C5D47" w:rsidRPr="003C5D47" w:rsidTr="003C5D47">
        <w:trPr>
          <w:trHeight w:val="894"/>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Secciones 1 y 2, de la Parte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A-México del Anexo XII</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Capítulo V</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Tratado de Libre Comercio entre los Estados Unidos Mexicanos y</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los Estados de la Asociación Europea de Libre Comercio </w:t>
            </w:r>
            <w:r w:rsidRPr="003C5D47">
              <w:rPr>
                <w:rFonts w:ascii="Arial" w:eastAsia="Times New Roman" w:hAnsi="Arial" w:cs="Arial"/>
                <w:b/>
                <w:bCs/>
                <w:color w:val="000000"/>
                <w:sz w:val="16"/>
                <w:szCs w:val="16"/>
                <w:lang w:eastAsia="es-MX"/>
              </w:rPr>
              <w:t>(TLC</w:t>
            </w:r>
            <w:r w:rsidRPr="003C5D47">
              <w:rPr>
                <w:rFonts w:ascii="Times New Roman" w:eastAsia="Times New Roman" w:hAnsi="Times New Roman" w:cs="Times New Roman"/>
                <w:color w:val="000000"/>
                <w:sz w:val="16"/>
                <w:szCs w:val="16"/>
                <w:lang w:eastAsia="es-MX"/>
              </w:rPr>
              <w:br/>
            </w:r>
            <w:proofErr w:type="spellStart"/>
            <w:r w:rsidRPr="003C5D47">
              <w:rPr>
                <w:rFonts w:ascii="Arial" w:eastAsia="Times New Roman" w:hAnsi="Arial" w:cs="Arial"/>
                <w:b/>
                <w:bCs/>
                <w:color w:val="000000"/>
                <w:sz w:val="16"/>
                <w:szCs w:val="16"/>
                <w:lang w:eastAsia="es-MX"/>
              </w:rPr>
              <w:t>MéxicoAELC</w:t>
            </w:r>
            <w:proofErr w:type="spellEnd"/>
            <w:r w:rsidRPr="003C5D47">
              <w:rPr>
                <w:rFonts w:ascii="Arial" w:eastAsia="Times New Roman" w:hAnsi="Arial" w:cs="Arial"/>
                <w:b/>
                <w:bCs/>
                <w:color w:val="000000"/>
                <w:sz w:val="16"/>
                <w:szCs w:val="16"/>
                <w:lang w:eastAsia="es-MX"/>
              </w:rPr>
              <w:t>)</w:t>
            </w:r>
          </w:p>
        </w:tc>
      </w:tr>
      <w:tr w:rsidR="003C5D47" w:rsidRPr="003C5D47" w:rsidTr="003C5D47">
        <w:trPr>
          <w:trHeight w:val="1140"/>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Secciones 1 y 2 de la Parte A</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del Anexo VI</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Título III</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Acuerdo de Asociación Económica, Concertación Política y</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Cooperación entre los Estados Unidos Mexicanos y la Comunidad</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Europea y sus Estados Miembros, y en específico la Decisión 2/</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2000 del Consejo Conjunto CE-México. </w:t>
            </w:r>
            <w:r w:rsidRPr="003C5D47">
              <w:rPr>
                <w:rFonts w:ascii="Arial" w:eastAsia="Times New Roman" w:hAnsi="Arial" w:cs="Arial"/>
                <w:b/>
                <w:bCs/>
                <w:color w:val="000000"/>
                <w:sz w:val="16"/>
                <w:szCs w:val="16"/>
                <w:lang w:eastAsia="es-MX"/>
              </w:rPr>
              <w:t>(TLCUEM)</w:t>
            </w:r>
          </w:p>
        </w:tc>
      </w:tr>
      <w:tr w:rsidR="003C5D47" w:rsidRPr="003C5D47" w:rsidTr="003C5D47">
        <w:trPr>
          <w:trHeight w:val="648"/>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lastRenderedPageBreak/>
              <w:t>Secciones 1 y 2 de la Parte B</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del Anexo 11</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Capítulo 11</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Acuerdo para el Fortalecimiento de la Asociación Económica entre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los Estados Unidos Mexicanos y el Japón </w:t>
            </w:r>
            <w:r w:rsidRPr="003C5D47">
              <w:rPr>
                <w:rFonts w:ascii="Arial" w:eastAsia="Times New Roman" w:hAnsi="Arial" w:cs="Arial"/>
                <w:b/>
                <w:bCs/>
                <w:color w:val="000000"/>
                <w:sz w:val="16"/>
                <w:szCs w:val="16"/>
                <w:lang w:eastAsia="es-MX"/>
              </w:rPr>
              <w:t>(TLC México-Japón)</w:t>
            </w:r>
          </w:p>
        </w:tc>
      </w:tr>
      <w:tr w:rsidR="003C5D47" w:rsidRPr="003C5D47" w:rsidTr="003C5D47">
        <w:trPr>
          <w:trHeight w:val="648"/>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Sección B-Lista de México del</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Anexo 15 bis-01</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Capítulo 15 bis</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Tratado de Libre Comercio entre los Estados Unidos Mexicanos y la</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República de Chile </w:t>
            </w:r>
            <w:r w:rsidRPr="003C5D47">
              <w:rPr>
                <w:rFonts w:ascii="Arial" w:eastAsia="Times New Roman" w:hAnsi="Arial" w:cs="Arial"/>
                <w:b/>
                <w:bCs/>
                <w:color w:val="000000"/>
                <w:sz w:val="16"/>
                <w:szCs w:val="16"/>
                <w:lang w:eastAsia="es-MX"/>
              </w:rPr>
              <w:t xml:space="preserve">(TLC </w:t>
            </w:r>
            <w:proofErr w:type="spellStart"/>
            <w:r w:rsidRPr="003C5D47">
              <w:rPr>
                <w:rFonts w:ascii="Arial" w:eastAsia="Times New Roman" w:hAnsi="Arial" w:cs="Arial"/>
                <w:b/>
                <w:bCs/>
                <w:color w:val="000000"/>
                <w:sz w:val="16"/>
                <w:szCs w:val="16"/>
                <w:lang w:eastAsia="es-MX"/>
              </w:rPr>
              <w:t>MéxicoChile</w:t>
            </w:r>
            <w:proofErr w:type="spellEnd"/>
            <w:r w:rsidRPr="003C5D47">
              <w:rPr>
                <w:rFonts w:ascii="Arial" w:eastAsia="Times New Roman" w:hAnsi="Arial" w:cs="Arial"/>
                <w:b/>
                <w:bCs/>
                <w:color w:val="000000"/>
                <w:sz w:val="16"/>
                <w:szCs w:val="16"/>
                <w:lang w:eastAsia="es-MX"/>
              </w:rPr>
              <w:t>)</w:t>
            </w:r>
          </w:p>
        </w:tc>
      </w:tr>
      <w:tr w:rsidR="003C5D47" w:rsidRPr="003C5D47" w:rsidTr="003C5D47">
        <w:trPr>
          <w:trHeight w:val="648"/>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Sección A y C (listas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México) del Anexo 8.2</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Capítulo 8</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Protocolo Adicional al Acuerdo Marco de la </w:t>
            </w:r>
            <w:r w:rsidRPr="003C5D47">
              <w:rPr>
                <w:rFonts w:ascii="Arial" w:eastAsia="Times New Roman" w:hAnsi="Arial" w:cs="Arial"/>
                <w:b/>
                <w:bCs/>
                <w:color w:val="000000"/>
                <w:sz w:val="16"/>
                <w:szCs w:val="16"/>
                <w:lang w:eastAsia="es-MX"/>
              </w:rPr>
              <w:t>Alianza del Pacífico</w:t>
            </w:r>
          </w:p>
        </w:tc>
      </w:tr>
      <w:tr w:rsidR="003C5D47" w:rsidRPr="003C5D47" w:rsidTr="003C5D47">
        <w:trPr>
          <w:trHeight w:val="648"/>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Sección A y C del Anexo 15-A</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Lista de México</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Capítulo 15</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Tratado Integral y Progresista de Asociación Transpacífico </w:t>
            </w:r>
            <w:r w:rsidRPr="003C5D47">
              <w:rPr>
                <w:rFonts w:ascii="Arial" w:eastAsia="Times New Roman" w:hAnsi="Arial" w:cs="Arial"/>
                <w:b/>
                <w:bCs/>
                <w:color w:val="000000"/>
                <w:sz w:val="16"/>
                <w:szCs w:val="16"/>
                <w:lang w:eastAsia="es-MX"/>
              </w:rPr>
              <w:t>(TIPAT)</w:t>
            </w:r>
          </w:p>
        </w:tc>
      </w:tr>
      <w:tr w:rsidR="003C5D47" w:rsidRPr="003C5D47" w:rsidTr="003C5D47">
        <w:trPr>
          <w:trHeight w:val="6064"/>
        </w:trPr>
        <w:tc>
          <w:tcPr>
            <w:tcW w:w="233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3C5D47" w:rsidRPr="003C5D47" w:rsidRDefault="003C5D47" w:rsidP="003C5D47">
            <w:pPr>
              <w:spacing w:after="101" w:line="240" w:lineRule="auto"/>
              <w:jc w:val="both"/>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Artículo 3</w:t>
            </w:r>
          </w:p>
          <w:p w:rsidR="003C5D47" w:rsidRPr="003C5D47" w:rsidRDefault="003C5D47" w:rsidP="003C5D47">
            <w:pPr>
              <w:spacing w:after="101" w:line="240" w:lineRule="auto"/>
              <w:jc w:val="both"/>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(Incorporación de las Disposiciones relativas al Comercio del Acuerdo Global), referenciado mutatis mutandis a las Secciones 1 y 2 de la Parte A del Anexo VI del Acuerdo de Asociación Económica, Concertación Política y Cooperación entre los Estados Unidos Mexicanos y la Comunidad Europea y sus Estados Miembros, y en específico la Decisión 2/200 del Consejo Conjunto CE-México.</w:t>
            </w:r>
          </w:p>
        </w:tc>
        <w:tc>
          <w:tcPr>
            <w:tcW w:w="159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3C5D47" w:rsidRPr="003C5D47" w:rsidRDefault="003C5D47" w:rsidP="003C5D47">
            <w:pPr>
              <w:spacing w:after="101" w:line="240" w:lineRule="auto"/>
              <w:jc w:val="both"/>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Artículo 3</w:t>
            </w:r>
          </w:p>
          <w:p w:rsidR="003C5D47" w:rsidRPr="003C5D47" w:rsidRDefault="003C5D47" w:rsidP="003C5D47">
            <w:pPr>
              <w:spacing w:after="101" w:line="240" w:lineRule="auto"/>
              <w:jc w:val="both"/>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(Incorporación de las Disposiciones relativas al Comercio del Acuerdo Global), referenciado mutatis mutandis al Título III del Acuerdo de Asociación Económica, Concertación Política y Cooperación entre los Estados Unidos Mexicanos y la Comunidad Europea y sus Estados Miembros, y en específico la Decisión 2/200 del Consejo Conjunto CE-México.</w:t>
            </w:r>
          </w:p>
        </w:tc>
        <w:tc>
          <w:tcPr>
            <w:tcW w:w="50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Acuerdo de Continuidad Comercial entre los Estados Unidos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Mexicanos y el Reino Unido de la Gran Bretaña e Irlanda del Norte.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(ACC MX-RU)</w:t>
            </w:r>
          </w:p>
        </w:tc>
      </w:tr>
    </w:tbl>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000000"/>
          <w:sz w:val="18"/>
          <w:szCs w:val="18"/>
          <w:lang w:eastAsia="es-MX"/>
        </w:rPr>
        <w:t>Tomando en consideración, la información proporcionada por la Secretaría de Economía, mediante el Oficio No. 522/01/025/06.XII.2021 de fecha 07 de diciembre de 2021, por el que se da a conocer el valor en dólares americanos actualizado de los umbrales establecidos en dichos capítulos para su ámbito de aplicación del 1 de enero de 2022 al 31 de diciembre de 2023, conforme a lo siguiente:</w:t>
      </w:r>
    </w:p>
    <w:tbl>
      <w:tblPr>
        <w:tblW w:w="0" w:type="auto"/>
        <w:tblCellMar>
          <w:top w:w="15" w:type="dxa"/>
          <w:left w:w="15" w:type="dxa"/>
          <w:bottom w:w="15" w:type="dxa"/>
          <w:right w:w="15" w:type="dxa"/>
        </w:tblCellMar>
        <w:tblLook w:val="04A0" w:firstRow="1" w:lastRow="0" w:firstColumn="1" w:lastColumn="0" w:noHBand="0" w:noVBand="1"/>
      </w:tblPr>
      <w:tblGrid>
        <w:gridCol w:w="1983"/>
        <w:gridCol w:w="6995"/>
      </w:tblGrid>
      <w:tr w:rsidR="003C5D47" w:rsidRPr="003C5D47" w:rsidTr="003C5D47">
        <w:trPr>
          <w:trHeight w:val="653"/>
        </w:trPr>
        <w:tc>
          <w:tcPr>
            <w:tcW w:w="8980"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divId w:val="880675346"/>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PARA DEPENDENCIAS DE LA ADMINISTRACIÓN PÚBLICA FEDERAL LISTADAS EN LOS CAPÍTULOS O TÍTULOS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DE COMPRAS DEL SECTOR PÚBLICO</w:t>
            </w:r>
          </w:p>
        </w:tc>
      </w:tr>
      <w:tr w:rsidR="003C5D47" w:rsidRPr="003C5D47" w:rsidTr="003C5D47">
        <w:trPr>
          <w:trHeight w:val="396"/>
        </w:trPr>
        <w:tc>
          <w:tcPr>
            <w:tcW w:w="1983" w:type="dxa"/>
            <w:vMerge w:val="restart"/>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TIPO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CONTRATACIÓN</w:t>
            </w:r>
          </w:p>
        </w:tc>
        <w:tc>
          <w:tcPr>
            <w:tcW w:w="699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MONTO DE UMBRAL EN DÓLARES ESTADOUNIDENSES POR TRATADO</w:t>
            </w:r>
          </w:p>
        </w:tc>
      </w:tr>
      <w:tr w:rsidR="003C5D47" w:rsidRPr="003C5D47" w:rsidTr="003C5D47">
        <w:trPr>
          <w:trHeight w:val="64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D47" w:rsidRPr="003C5D47" w:rsidRDefault="003C5D47" w:rsidP="003C5D47">
            <w:pPr>
              <w:spacing w:after="0" w:line="240" w:lineRule="auto"/>
              <w:rPr>
                <w:rFonts w:ascii="Times New Roman" w:eastAsia="Times New Roman" w:hAnsi="Times New Roman" w:cs="Times New Roman"/>
                <w:color w:val="000000"/>
                <w:sz w:val="16"/>
                <w:szCs w:val="16"/>
                <w:lang w:eastAsia="es-MX"/>
              </w:rPr>
            </w:pPr>
          </w:p>
        </w:tc>
        <w:tc>
          <w:tcPr>
            <w:tcW w:w="699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shd w:val="clear" w:color="auto" w:fill="D9D9D9"/>
                <w:lang w:eastAsia="es-MX"/>
              </w:rPr>
              <w:t>T-MEC; TLC MÉXICO-ISRAEL; TLC MÉXICO-AELC; TLCUEM; TLC MÉXICO-JAPÓN; TLC</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shd w:val="clear" w:color="auto" w:fill="D9D9D9"/>
                <w:lang w:eastAsia="es-MX"/>
              </w:rPr>
              <w:t>MÉXICO-CHILE; ALIANZA DEL PACÍFICO; TIPAT; y ACC MX-RU</w:t>
            </w:r>
          </w:p>
        </w:tc>
      </w:tr>
      <w:tr w:rsidR="003C5D47" w:rsidRPr="003C5D47" w:rsidTr="003C5D47">
        <w:trPr>
          <w:trHeight w:val="1646"/>
        </w:trPr>
        <w:tc>
          <w:tcPr>
            <w:tcW w:w="198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lastRenderedPageBreak/>
              <w:t>Contratos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adquisiciones,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arrendamientos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bienes muebles y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servicios, incluidos con</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obra pública</w:t>
            </w:r>
          </w:p>
        </w:tc>
        <w:tc>
          <w:tcPr>
            <w:tcW w:w="69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$92,319 USD (Noventa y dos mil trescientos diecinueve dólares estadounidenses 00/100</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EE.UU.A)</w:t>
            </w:r>
          </w:p>
        </w:tc>
      </w:tr>
      <w:tr w:rsidR="003C5D47" w:rsidRPr="003C5D47" w:rsidTr="003C5D47">
        <w:trPr>
          <w:trHeight w:val="653"/>
        </w:trPr>
        <w:tc>
          <w:tcPr>
            <w:tcW w:w="198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Contratos de obra</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pública</w:t>
            </w:r>
          </w:p>
        </w:tc>
        <w:tc>
          <w:tcPr>
            <w:tcW w:w="699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$12,001,460 USD (Doce millones un mil cuatrocientos sesenta dólares estadounidenses 00/100</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EE.UU.A)</w:t>
            </w:r>
          </w:p>
        </w:tc>
      </w:tr>
    </w:tbl>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2F2F2F"/>
          <w:sz w:val="18"/>
          <w:szCs w:val="18"/>
          <w:lang w:eastAsia="es-MX"/>
        </w:rPr>
        <w:t> </w:t>
      </w:r>
    </w:p>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2053"/>
        <w:gridCol w:w="6925"/>
      </w:tblGrid>
      <w:tr w:rsidR="003C5D47" w:rsidRPr="003C5D47" w:rsidTr="003C5D47">
        <w:trPr>
          <w:trHeight w:val="643"/>
        </w:trPr>
        <w:tc>
          <w:tcPr>
            <w:tcW w:w="8980"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divId w:val="1837186238"/>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PARA ENTIDADES PARAESTATALES DE LA ADMINISTRACIÓN PÚBLICA FEDERAL LISTADAS EN LOS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CAPÍTULOS O TÍTULOS DE COMPRAS DEL SECTOR PÚBLICO</w:t>
            </w:r>
          </w:p>
        </w:tc>
      </w:tr>
      <w:tr w:rsidR="003C5D47" w:rsidRPr="003C5D47" w:rsidTr="003C5D47">
        <w:trPr>
          <w:trHeight w:val="386"/>
        </w:trPr>
        <w:tc>
          <w:tcPr>
            <w:tcW w:w="2053" w:type="dxa"/>
            <w:vMerge w:val="restart"/>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TIPO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CONTRATACIÓN</w:t>
            </w:r>
          </w:p>
        </w:tc>
        <w:tc>
          <w:tcPr>
            <w:tcW w:w="692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MONTO DE UMBRAL EN DÓLARES ESTADOUNIDENSES POR TRATADO</w:t>
            </w:r>
          </w:p>
        </w:tc>
      </w:tr>
      <w:tr w:rsidR="003C5D47" w:rsidRPr="003C5D47" w:rsidTr="003C5D47">
        <w:trPr>
          <w:trHeight w:val="63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D47" w:rsidRPr="003C5D47" w:rsidRDefault="003C5D47" w:rsidP="003C5D47">
            <w:pPr>
              <w:spacing w:after="0" w:line="240" w:lineRule="auto"/>
              <w:rPr>
                <w:rFonts w:ascii="Times New Roman" w:eastAsia="Times New Roman" w:hAnsi="Times New Roman" w:cs="Times New Roman"/>
                <w:color w:val="000000"/>
                <w:sz w:val="16"/>
                <w:szCs w:val="16"/>
                <w:lang w:eastAsia="es-MX"/>
              </w:rPr>
            </w:pPr>
          </w:p>
        </w:tc>
        <w:tc>
          <w:tcPr>
            <w:tcW w:w="692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T-MEC; TLC MÉXICO-ISRAEL; TLC MÉXICO-AELC; TLCUEM; TLC MÉXICO-JAPÓN; TLC</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MÉXICO-CHILE; ALIANZA DEL PACÍFICO; TIPAT y ACC MX-RU</w:t>
            </w:r>
          </w:p>
        </w:tc>
      </w:tr>
      <w:tr w:rsidR="003C5D47" w:rsidRPr="003C5D47" w:rsidTr="003C5D47">
        <w:trPr>
          <w:trHeight w:val="1386"/>
        </w:trPr>
        <w:tc>
          <w:tcPr>
            <w:tcW w:w="205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Contratos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adquisiciones,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arrendamientos de bienes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muebles y de servicios,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incluidos con obra pública</w:t>
            </w:r>
          </w:p>
        </w:tc>
        <w:tc>
          <w:tcPr>
            <w:tcW w:w="692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$461,594 USD (Cuatrocientos sesenta y un mil quinientos noventa y cuatro dólares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estadounidenses 00/100 EE.UU.A)</w:t>
            </w:r>
          </w:p>
        </w:tc>
      </w:tr>
      <w:tr w:rsidR="003C5D47" w:rsidRPr="003C5D47" w:rsidTr="003C5D47">
        <w:trPr>
          <w:trHeight w:val="643"/>
        </w:trPr>
        <w:tc>
          <w:tcPr>
            <w:tcW w:w="205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Contratos de obra pública</w:t>
            </w:r>
          </w:p>
        </w:tc>
        <w:tc>
          <w:tcPr>
            <w:tcW w:w="692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$14,771,718 USD (Catorce millones setecientos setenta y un mil setecientos dieciocho dólares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estadounidenses 00/100 EE.UU.A)</w:t>
            </w:r>
          </w:p>
        </w:tc>
      </w:tr>
    </w:tbl>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2F2F2F"/>
          <w:sz w:val="18"/>
          <w:szCs w:val="18"/>
          <w:lang w:eastAsia="es-MX"/>
        </w:rPr>
        <w:t> </w:t>
      </w:r>
    </w:p>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000000"/>
          <w:sz w:val="18"/>
          <w:szCs w:val="18"/>
          <w:lang w:eastAsia="es-MX"/>
        </w:rPr>
        <w:t>Considerando que el párrafo 2, de la Sección G: Fórmula de Ajustes de los Umbrales del Capítulo 13 del T-MEC; el Anexo V, Parte A, párrafo 4 del Capítulo VI del TLC México-Israel; Anexo XVI, Parte C, párrafo 1 del Capítulo V del TLC México-AELC; Anexo X, Parte C, párrafo 1 del Título III, del TLCUEM, Anexo XV, Parte B, párrafo 4 del Capítulo 11 del TLC México-Japón; Anexo 15 bis-05, Sección B/ párrafo 4 del Capítulo 15 bis del TLC México-Chile; Anexo 8.2, Sección I, Apartado de México del Capítulo 8 del Protocolo Adicional al Acuerdo Marco de la Alianza del Pacífico y Anexo 15-A, Sección H, párrafo 2 del Capítulo 15 del TIPAT, señalan que la conversión de umbrales a moneda nacional se realizará por periodos semestrales del 1 de diciembre y 1 de junio de cada año o el primer día hábil posterior, según corresponda, utilizando para tal fin el valor del peso mexicano en relación al dólar de Estados Unidos de América.</w:t>
      </w:r>
    </w:p>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000000"/>
          <w:sz w:val="18"/>
          <w:szCs w:val="18"/>
          <w:lang w:eastAsia="es-MX"/>
        </w:rPr>
        <w:t>De conformidad con lo establecido en el párrafo anterior, para el </w:t>
      </w:r>
      <w:r w:rsidRPr="003C5D47">
        <w:rPr>
          <w:rFonts w:ascii="Arial" w:eastAsia="Times New Roman" w:hAnsi="Arial" w:cs="Arial"/>
          <w:b/>
          <w:bCs/>
          <w:color w:val="000000"/>
          <w:sz w:val="18"/>
          <w:szCs w:val="18"/>
          <w:lang w:eastAsia="es-MX"/>
        </w:rPr>
        <w:t>segundo semestre de 2023</w:t>
      </w:r>
      <w:r w:rsidRPr="003C5D47">
        <w:rPr>
          <w:rFonts w:ascii="Arial" w:eastAsia="Times New Roman" w:hAnsi="Arial" w:cs="Arial"/>
          <w:color w:val="000000"/>
          <w:sz w:val="18"/>
          <w:szCs w:val="18"/>
          <w:lang w:eastAsia="es-MX"/>
        </w:rPr>
        <w:t>, el tipo de cambio para la conversión de umbrales del Capítulo de Compras del Sector Público de estos tratados será el determinado por el Banco de México el 1 de junio de 2023, publicado en el Diario Oficial de la Federación del día 02 de junio de 2023, siendo éste de $17.5673 M.N. (diecisiete pesos con cinco mil seiscientos setenta y tres diezmilésimos moneda nacional) por un dólar de los EE.UU.A.</w:t>
      </w:r>
    </w:p>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000000"/>
          <w:sz w:val="18"/>
          <w:szCs w:val="18"/>
          <w:lang w:eastAsia="es-MX"/>
        </w:rPr>
        <w:t>De acuerdo con lo señalado, los valores en moneda nacional de los umbrales aplicables a los capítulos de compras del sector público de los tratados de libre comercio en cuestión, para el </w:t>
      </w:r>
      <w:r w:rsidRPr="003C5D47">
        <w:rPr>
          <w:rFonts w:ascii="Arial" w:eastAsia="Times New Roman" w:hAnsi="Arial" w:cs="Arial"/>
          <w:b/>
          <w:bCs/>
          <w:color w:val="000000"/>
          <w:sz w:val="18"/>
          <w:szCs w:val="18"/>
          <w:lang w:eastAsia="es-MX"/>
        </w:rPr>
        <w:t>período del 1 de julio al 31 de diciembre de 2023</w:t>
      </w:r>
      <w:r w:rsidRPr="003C5D47">
        <w:rPr>
          <w:rFonts w:ascii="Arial" w:eastAsia="Times New Roman" w:hAnsi="Arial" w:cs="Arial"/>
          <w:color w:val="000000"/>
          <w:sz w:val="18"/>
          <w:szCs w:val="18"/>
          <w:lang w:eastAsia="es-MX"/>
        </w:rPr>
        <w:t>, son los siguientes:</w:t>
      </w:r>
    </w:p>
    <w:tbl>
      <w:tblPr>
        <w:tblW w:w="0" w:type="auto"/>
        <w:tblCellMar>
          <w:top w:w="15" w:type="dxa"/>
          <w:left w:w="15" w:type="dxa"/>
          <w:bottom w:w="15" w:type="dxa"/>
          <w:right w:w="15" w:type="dxa"/>
        </w:tblCellMar>
        <w:tblLook w:val="04A0" w:firstRow="1" w:lastRow="0" w:firstColumn="1" w:lastColumn="0" w:noHBand="0" w:noVBand="1"/>
      </w:tblPr>
      <w:tblGrid>
        <w:gridCol w:w="2646"/>
        <w:gridCol w:w="6332"/>
      </w:tblGrid>
      <w:tr w:rsidR="003C5D47" w:rsidRPr="003C5D47" w:rsidTr="003C5D47">
        <w:trPr>
          <w:trHeight w:val="729"/>
        </w:trPr>
        <w:tc>
          <w:tcPr>
            <w:tcW w:w="8980"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divId w:val="932200125"/>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DEPENDENCIAS DE LA ADMINISTRACIÓN PÚBLICA FEDERAL LISTADAS EN LOS CAPÍTULOS O TÍTULOS DE</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COMPRAS DEL SECTOR PÚBLICO</w:t>
            </w:r>
          </w:p>
        </w:tc>
      </w:tr>
      <w:tr w:rsidR="003C5D47" w:rsidRPr="003C5D47" w:rsidTr="003C5D47">
        <w:trPr>
          <w:trHeight w:val="429"/>
        </w:trPr>
        <w:tc>
          <w:tcPr>
            <w:tcW w:w="2646" w:type="dxa"/>
            <w:vMerge w:val="restart"/>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TIPO DE CONTRATACIÓN</w:t>
            </w:r>
          </w:p>
        </w:tc>
        <w:tc>
          <w:tcPr>
            <w:tcW w:w="633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MONTO DE UMBRAL EN MONEDA NACIONAL POR TRATADO</w:t>
            </w:r>
          </w:p>
        </w:tc>
      </w:tr>
      <w:tr w:rsidR="003C5D47" w:rsidRPr="003C5D47" w:rsidTr="003C5D47">
        <w:trPr>
          <w:trHeight w:val="7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D47" w:rsidRPr="003C5D47" w:rsidRDefault="003C5D47" w:rsidP="003C5D47">
            <w:pPr>
              <w:spacing w:after="0" w:line="240" w:lineRule="auto"/>
              <w:rPr>
                <w:rFonts w:ascii="Times New Roman" w:eastAsia="Times New Roman" w:hAnsi="Times New Roman" w:cs="Times New Roman"/>
                <w:color w:val="000000"/>
                <w:sz w:val="16"/>
                <w:szCs w:val="16"/>
                <w:lang w:eastAsia="es-MX"/>
              </w:rPr>
            </w:pPr>
          </w:p>
        </w:tc>
        <w:tc>
          <w:tcPr>
            <w:tcW w:w="633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T-MEC; TLC México - Israel; TLC México - AELC; TLCUEM; TLC México - Japón;</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TLC México - Chile; Alianza del Pacífico; TIPAT y ACC MX-RU</w:t>
            </w:r>
          </w:p>
        </w:tc>
      </w:tr>
      <w:tr w:rsidR="003C5D47" w:rsidRPr="003C5D47" w:rsidTr="003C5D47">
        <w:trPr>
          <w:trHeight w:val="1308"/>
        </w:trPr>
        <w:tc>
          <w:tcPr>
            <w:tcW w:w="264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both"/>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Contratos de adquisiciones, arrendamientos de bienes muebles y de servicios, incluidos con obra pública</w:t>
            </w:r>
          </w:p>
        </w:tc>
        <w:tc>
          <w:tcPr>
            <w:tcW w:w="633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$1,621,796.00</w:t>
            </w:r>
          </w:p>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w:t>
            </w:r>
            <w:proofErr w:type="gramStart"/>
            <w:r w:rsidRPr="003C5D47">
              <w:rPr>
                <w:rFonts w:ascii="Arial" w:eastAsia="Times New Roman" w:hAnsi="Arial" w:cs="Arial"/>
                <w:color w:val="000000"/>
                <w:sz w:val="16"/>
                <w:szCs w:val="16"/>
                <w:lang w:eastAsia="es-MX"/>
              </w:rPr>
              <w:t>un</w:t>
            </w:r>
            <w:proofErr w:type="gramEnd"/>
            <w:r w:rsidRPr="003C5D47">
              <w:rPr>
                <w:rFonts w:ascii="Arial" w:eastAsia="Times New Roman" w:hAnsi="Arial" w:cs="Arial"/>
                <w:color w:val="000000"/>
                <w:sz w:val="16"/>
                <w:szCs w:val="16"/>
                <w:lang w:eastAsia="es-MX"/>
              </w:rPr>
              <w:t xml:space="preserve"> millón, seiscientos veintiún mil, setecientos noventa y seis pesos 00/100 M.N.)</w:t>
            </w:r>
          </w:p>
        </w:tc>
      </w:tr>
      <w:tr w:rsidR="003C5D47" w:rsidRPr="003C5D47" w:rsidTr="003C5D47">
        <w:trPr>
          <w:trHeight w:val="1143"/>
        </w:trPr>
        <w:tc>
          <w:tcPr>
            <w:tcW w:w="264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Contratos de obra pública</w:t>
            </w:r>
          </w:p>
        </w:tc>
        <w:tc>
          <w:tcPr>
            <w:tcW w:w="633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$210,833,248.00</w:t>
            </w:r>
          </w:p>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w:t>
            </w:r>
            <w:proofErr w:type="gramStart"/>
            <w:r w:rsidRPr="003C5D47">
              <w:rPr>
                <w:rFonts w:ascii="Arial" w:eastAsia="Times New Roman" w:hAnsi="Arial" w:cs="Arial"/>
                <w:color w:val="000000"/>
                <w:sz w:val="16"/>
                <w:szCs w:val="16"/>
                <w:lang w:eastAsia="es-MX"/>
              </w:rPr>
              <w:t>doscientos</w:t>
            </w:r>
            <w:proofErr w:type="gramEnd"/>
            <w:r w:rsidRPr="003C5D47">
              <w:rPr>
                <w:rFonts w:ascii="Arial" w:eastAsia="Times New Roman" w:hAnsi="Arial" w:cs="Arial"/>
                <w:color w:val="000000"/>
                <w:sz w:val="16"/>
                <w:szCs w:val="16"/>
                <w:lang w:eastAsia="es-MX"/>
              </w:rPr>
              <w:t xml:space="preserve"> diez millones, ochocientos treinta y tres mil, doscientos cuarenta y ocho</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pesos 00/100 M.N.)</w:t>
            </w:r>
          </w:p>
        </w:tc>
      </w:tr>
    </w:tbl>
    <w:p w:rsidR="003C5D47" w:rsidRPr="003C5D47" w:rsidRDefault="003C5D47" w:rsidP="003C5D47">
      <w:pPr>
        <w:shd w:val="clear" w:color="auto" w:fill="FFFFFF"/>
        <w:spacing w:after="101" w:line="240" w:lineRule="auto"/>
        <w:ind w:firstLine="288"/>
        <w:jc w:val="center"/>
        <w:rPr>
          <w:rFonts w:ascii="Arial" w:eastAsia="Times New Roman" w:hAnsi="Arial" w:cs="Arial"/>
          <w:color w:val="2F2F2F"/>
          <w:sz w:val="18"/>
          <w:szCs w:val="18"/>
          <w:lang w:eastAsia="es-MX"/>
        </w:rPr>
      </w:pPr>
      <w:r w:rsidRPr="003C5D47">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2646"/>
        <w:gridCol w:w="6332"/>
      </w:tblGrid>
      <w:tr w:rsidR="003C5D47" w:rsidRPr="003C5D47" w:rsidTr="003C5D47">
        <w:trPr>
          <w:trHeight w:val="749"/>
        </w:trPr>
        <w:tc>
          <w:tcPr>
            <w:tcW w:w="8980"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divId w:val="898396471"/>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ENTIDADES PARAESTATALES DE LA ADMINISTRACIÓN PÚBLICA FEDERAL LISTADAS EN LOS CAPÍTULOS O</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TÍTULOS DE COMPRAS DEL SECTOR PÚBLICO</w:t>
            </w:r>
          </w:p>
        </w:tc>
      </w:tr>
      <w:tr w:rsidR="003C5D47" w:rsidRPr="003C5D47" w:rsidTr="003C5D47">
        <w:trPr>
          <w:trHeight w:val="449"/>
        </w:trPr>
        <w:tc>
          <w:tcPr>
            <w:tcW w:w="2646" w:type="dxa"/>
            <w:vMerge w:val="restart"/>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TIPO DE CONTRATACIÓN</w:t>
            </w:r>
          </w:p>
        </w:tc>
        <w:tc>
          <w:tcPr>
            <w:tcW w:w="633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MONTO DE UMBRAL EN MONEDA NACIONAL POR TRATADO</w:t>
            </w:r>
          </w:p>
        </w:tc>
      </w:tr>
      <w:tr w:rsidR="003C5D47" w:rsidRPr="003C5D47" w:rsidTr="003C5D47">
        <w:trPr>
          <w:trHeight w:val="7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D47" w:rsidRPr="003C5D47" w:rsidRDefault="003C5D47" w:rsidP="003C5D47">
            <w:pPr>
              <w:spacing w:after="0" w:line="240" w:lineRule="auto"/>
              <w:rPr>
                <w:rFonts w:ascii="Times New Roman" w:eastAsia="Times New Roman" w:hAnsi="Times New Roman" w:cs="Times New Roman"/>
                <w:color w:val="000000"/>
                <w:sz w:val="16"/>
                <w:szCs w:val="16"/>
                <w:lang w:eastAsia="es-MX"/>
              </w:rPr>
            </w:pPr>
          </w:p>
        </w:tc>
        <w:tc>
          <w:tcPr>
            <w:tcW w:w="633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b/>
                <w:bCs/>
                <w:color w:val="000000"/>
                <w:sz w:val="16"/>
                <w:szCs w:val="16"/>
                <w:lang w:eastAsia="es-MX"/>
              </w:rPr>
              <w:t>T-MEC; TLC México - Israel; TLC México - AELC; TLCUEM; TLC México - Japón;</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b/>
                <w:bCs/>
                <w:color w:val="000000"/>
                <w:sz w:val="16"/>
                <w:szCs w:val="16"/>
                <w:lang w:eastAsia="es-MX"/>
              </w:rPr>
              <w:t>TLC México - Chile; Alianza del Pacífico; TIPAT y ACC MX-RU</w:t>
            </w:r>
          </w:p>
        </w:tc>
      </w:tr>
      <w:tr w:rsidR="003C5D47" w:rsidRPr="003C5D47" w:rsidTr="003C5D47">
        <w:trPr>
          <w:trHeight w:val="1328"/>
        </w:trPr>
        <w:tc>
          <w:tcPr>
            <w:tcW w:w="264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both"/>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Contratos de adquisiciones, arrendamientos de bienes muebles y de servicios, incluidos con obra pública</w:t>
            </w:r>
          </w:p>
        </w:tc>
        <w:tc>
          <w:tcPr>
            <w:tcW w:w="633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$8,108,960.00</w:t>
            </w:r>
          </w:p>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w:t>
            </w:r>
            <w:proofErr w:type="gramStart"/>
            <w:r w:rsidRPr="003C5D47">
              <w:rPr>
                <w:rFonts w:ascii="Arial" w:eastAsia="Times New Roman" w:hAnsi="Arial" w:cs="Arial"/>
                <w:color w:val="000000"/>
                <w:sz w:val="16"/>
                <w:szCs w:val="16"/>
                <w:lang w:eastAsia="es-MX"/>
              </w:rPr>
              <w:t>ocho</w:t>
            </w:r>
            <w:proofErr w:type="gramEnd"/>
            <w:r w:rsidRPr="003C5D47">
              <w:rPr>
                <w:rFonts w:ascii="Arial" w:eastAsia="Times New Roman" w:hAnsi="Arial" w:cs="Arial"/>
                <w:color w:val="000000"/>
                <w:sz w:val="16"/>
                <w:szCs w:val="16"/>
                <w:lang w:eastAsia="es-MX"/>
              </w:rPr>
              <w:t xml:space="preserve"> millones, ciento ocho mil, novecientos sesenta pesos 00/100 M.N.)</w:t>
            </w:r>
          </w:p>
        </w:tc>
      </w:tr>
      <w:tr w:rsidR="003C5D47" w:rsidRPr="003C5D47" w:rsidTr="003C5D47">
        <w:trPr>
          <w:trHeight w:val="1183"/>
        </w:trPr>
        <w:tc>
          <w:tcPr>
            <w:tcW w:w="264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Contratos de obra pública</w:t>
            </w:r>
          </w:p>
        </w:tc>
        <w:tc>
          <w:tcPr>
            <w:tcW w:w="633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$259,499,202.00</w:t>
            </w:r>
          </w:p>
          <w:p w:rsidR="003C5D47" w:rsidRPr="003C5D47" w:rsidRDefault="003C5D47" w:rsidP="003C5D47">
            <w:pPr>
              <w:spacing w:after="101" w:line="240" w:lineRule="auto"/>
              <w:jc w:val="center"/>
              <w:rPr>
                <w:rFonts w:ascii="Times New Roman" w:eastAsia="Times New Roman" w:hAnsi="Times New Roman" w:cs="Times New Roman"/>
                <w:color w:val="000000"/>
                <w:sz w:val="16"/>
                <w:szCs w:val="16"/>
                <w:lang w:eastAsia="es-MX"/>
              </w:rPr>
            </w:pPr>
            <w:r w:rsidRPr="003C5D47">
              <w:rPr>
                <w:rFonts w:ascii="Arial" w:eastAsia="Times New Roman" w:hAnsi="Arial" w:cs="Arial"/>
                <w:color w:val="000000"/>
                <w:sz w:val="16"/>
                <w:szCs w:val="16"/>
                <w:lang w:eastAsia="es-MX"/>
              </w:rPr>
              <w:t>(</w:t>
            </w:r>
            <w:proofErr w:type="gramStart"/>
            <w:r w:rsidRPr="003C5D47">
              <w:rPr>
                <w:rFonts w:ascii="Arial" w:eastAsia="Times New Roman" w:hAnsi="Arial" w:cs="Arial"/>
                <w:color w:val="000000"/>
                <w:sz w:val="16"/>
                <w:szCs w:val="16"/>
                <w:lang w:eastAsia="es-MX"/>
              </w:rPr>
              <w:t>doscientos</w:t>
            </w:r>
            <w:proofErr w:type="gramEnd"/>
            <w:r w:rsidRPr="003C5D47">
              <w:rPr>
                <w:rFonts w:ascii="Arial" w:eastAsia="Times New Roman" w:hAnsi="Arial" w:cs="Arial"/>
                <w:color w:val="000000"/>
                <w:sz w:val="16"/>
                <w:szCs w:val="16"/>
                <w:lang w:eastAsia="es-MX"/>
              </w:rPr>
              <w:t xml:space="preserve"> cincuenta y nueve millones, cuatrocientos noventa y nueve mil, doscientos</w:t>
            </w:r>
            <w:r w:rsidRPr="003C5D47">
              <w:rPr>
                <w:rFonts w:ascii="Times New Roman" w:eastAsia="Times New Roman" w:hAnsi="Times New Roman" w:cs="Times New Roman"/>
                <w:color w:val="000000"/>
                <w:sz w:val="16"/>
                <w:szCs w:val="16"/>
                <w:lang w:eastAsia="es-MX"/>
              </w:rPr>
              <w:br/>
            </w:r>
            <w:r w:rsidRPr="003C5D47">
              <w:rPr>
                <w:rFonts w:ascii="Arial" w:eastAsia="Times New Roman" w:hAnsi="Arial" w:cs="Arial"/>
                <w:color w:val="000000"/>
                <w:sz w:val="16"/>
                <w:szCs w:val="16"/>
                <w:lang w:eastAsia="es-MX"/>
              </w:rPr>
              <w:t>dos pesos 00/100 M.N.)</w:t>
            </w:r>
          </w:p>
        </w:tc>
      </w:tr>
    </w:tbl>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2F2F2F"/>
          <w:sz w:val="18"/>
          <w:szCs w:val="18"/>
          <w:lang w:eastAsia="es-MX"/>
        </w:rPr>
        <w:t> </w:t>
      </w:r>
    </w:p>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000000"/>
          <w:sz w:val="18"/>
          <w:szCs w:val="18"/>
          <w:lang w:eastAsia="es-MX"/>
        </w:rPr>
        <w:t>Lo anterior a fin de que las dependencias, entidades y órganos administrativos desconcentrados de la Administración Pública Federal, así como la Fiscalía General de la República, sujetas a la cobertura del capítulo de compras del sector público de los citados tratados de libre comercio, determinen el umbral que les resulta aplicable de acuerdo al valor del contrato que será adjudicado y al tipo de contratación pública.</w:t>
      </w:r>
    </w:p>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000000"/>
          <w:sz w:val="18"/>
          <w:szCs w:val="18"/>
          <w:lang w:eastAsia="es-MX"/>
        </w:rPr>
        <w:t>El presente oficio deberá ser observado por las unidades administrativas responsables de llevar a cabo los procedimientos de contratación pública en las dependencias, entidades, órganos desconcentrados y la Fiscalía General de la República.</w:t>
      </w:r>
    </w:p>
    <w:p w:rsidR="003C5D47" w:rsidRPr="003C5D47" w:rsidRDefault="003C5D47" w:rsidP="003C5D47">
      <w:pPr>
        <w:shd w:val="clear" w:color="auto" w:fill="FFFFFF"/>
        <w:spacing w:after="101" w:line="240" w:lineRule="auto"/>
        <w:ind w:firstLine="288"/>
        <w:jc w:val="both"/>
        <w:rPr>
          <w:rFonts w:ascii="Arial" w:eastAsia="Times New Roman" w:hAnsi="Arial" w:cs="Arial"/>
          <w:color w:val="2F2F2F"/>
          <w:sz w:val="18"/>
          <w:szCs w:val="18"/>
          <w:lang w:eastAsia="es-MX"/>
        </w:rPr>
      </w:pPr>
      <w:r w:rsidRPr="003C5D47">
        <w:rPr>
          <w:rFonts w:ascii="Arial" w:eastAsia="Times New Roman" w:hAnsi="Arial" w:cs="Arial"/>
          <w:color w:val="2F2F2F"/>
          <w:sz w:val="18"/>
          <w:szCs w:val="18"/>
          <w:lang w:eastAsia="es-MX"/>
        </w:rPr>
        <w:t>Ciudad de México, a 20 de junio de 2023.- La Titular de la Unidad, Lic. </w:t>
      </w:r>
      <w:r w:rsidRPr="003C5D47">
        <w:rPr>
          <w:rFonts w:ascii="Arial" w:eastAsia="Times New Roman" w:hAnsi="Arial" w:cs="Arial"/>
          <w:b/>
          <w:bCs/>
          <w:color w:val="2F2F2F"/>
          <w:sz w:val="18"/>
          <w:szCs w:val="18"/>
          <w:lang w:eastAsia="es-MX"/>
        </w:rPr>
        <w:t>Luz Herminia Camacho Rivera</w:t>
      </w:r>
      <w:r w:rsidRPr="003C5D47">
        <w:rPr>
          <w:rFonts w:ascii="Arial" w:eastAsia="Times New Roman" w:hAnsi="Arial" w:cs="Arial"/>
          <w:color w:val="2F2F2F"/>
          <w:sz w:val="18"/>
          <w:szCs w:val="18"/>
          <w:lang w:eastAsia="es-MX"/>
        </w:rPr>
        <w:t>.- Rúbrica.</w:t>
      </w:r>
    </w:p>
    <w:p w:rsidR="003C5D47" w:rsidRDefault="003C5D47" w:rsidP="003C5D47">
      <w:pPr>
        <w:jc w:val="both"/>
      </w:pPr>
    </w:p>
    <w:sectPr w:rsidR="003C5D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D47"/>
    <w:rsid w:val="003C5D47"/>
    <w:rsid w:val="00CD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48001">
      <w:bodyDiv w:val="1"/>
      <w:marLeft w:val="0"/>
      <w:marRight w:val="0"/>
      <w:marTop w:val="0"/>
      <w:marBottom w:val="0"/>
      <w:divBdr>
        <w:top w:val="none" w:sz="0" w:space="0" w:color="auto"/>
        <w:left w:val="none" w:sz="0" w:space="0" w:color="auto"/>
        <w:bottom w:val="none" w:sz="0" w:space="0" w:color="auto"/>
        <w:right w:val="none" w:sz="0" w:space="0" w:color="auto"/>
      </w:divBdr>
      <w:divsChild>
        <w:div w:id="1688872216">
          <w:marLeft w:val="3780"/>
          <w:marRight w:val="0"/>
          <w:marTop w:val="0"/>
          <w:marBottom w:val="100"/>
          <w:divBdr>
            <w:top w:val="none" w:sz="0" w:space="0" w:color="auto"/>
            <w:left w:val="none" w:sz="0" w:space="0" w:color="auto"/>
            <w:bottom w:val="none" w:sz="0" w:space="0" w:color="auto"/>
            <w:right w:val="none" w:sz="0" w:space="0" w:color="auto"/>
          </w:divBdr>
        </w:div>
        <w:div w:id="390346606">
          <w:marLeft w:val="288"/>
          <w:marRight w:val="4792"/>
          <w:marTop w:val="0"/>
          <w:marBottom w:val="100"/>
          <w:divBdr>
            <w:top w:val="none" w:sz="0" w:space="0" w:color="auto"/>
            <w:left w:val="none" w:sz="0" w:space="0" w:color="auto"/>
            <w:bottom w:val="none" w:sz="0" w:space="0" w:color="auto"/>
            <w:right w:val="none" w:sz="0" w:space="0" w:color="auto"/>
          </w:divBdr>
        </w:div>
        <w:div w:id="143477552">
          <w:marLeft w:val="288"/>
          <w:marRight w:val="4792"/>
          <w:marTop w:val="0"/>
          <w:marBottom w:val="100"/>
          <w:divBdr>
            <w:top w:val="none" w:sz="0" w:space="0" w:color="auto"/>
            <w:left w:val="none" w:sz="0" w:space="0" w:color="auto"/>
            <w:bottom w:val="none" w:sz="0" w:space="0" w:color="auto"/>
            <w:right w:val="none" w:sz="0" w:space="0" w:color="auto"/>
          </w:divBdr>
        </w:div>
        <w:div w:id="255604028">
          <w:marLeft w:val="0"/>
          <w:marRight w:val="0"/>
          <w:marTop w:val="0"/>
          <w:marBottom w:val="100"/>
          <w:divBdr>
            <w:top w:val="none" w:sz="0" w:space="0" w:color="auto"/>
            <w:left w:val="none" w:sz="0" w:space="0" w:color="auto"/>
            <w:bottom w:val="none" w:sz="0" w:space="0" w:color="auto"/>
            <w:right w:val="none" w:sz="0" w:space="0" w:color="auto"/>
          </w:divBdr>
        </w:div>
        <w:div w:id="1601524788">
          <w:marLeft w:val="0"/>
          <w:marRight w:val="0"/>
          <w:marTop w:val="100"/>
          <w:marBottom w:val="101"/>
          <w:divBdr>
            <w:top w:val="none" w:sz="0" w:space="0" w:color="auto"/>
            <w:left w:val="none" w:sz="0" w:space="0" w:color="auto"/>
            <w:bottom w:val="none" w:sz="0" w:space="0" w:color="auto"/>
            <w:right w:val="none" w:sz="0" w:space="0" w:color="auto"/>
          </w:divBdr>
        </w:div>
        <w:div w:id="2037849153">
          <w:marLeft w:val="0"/>
          <w:marRight w:val="0"/>
          <w:marTop w:val="100"/>
          <w:marBottom w:val="101"/>
          <w:divBdr>
            <w:top w:val="none" w:sz="0" w:space="0" w:color="auto"/>
            <w:left w:val="none" w:sz="0" w:space="0" w:color="auto"/>
            <w:bottom w:val="none" w:sz="0" w:space="0" w:color="auto"/>
            <w:right w:val="none" w:sz="0" w:space="0" w:color="auto"/>
          </w:divBdr>
        </w:div>
        <w:div w:id="180706251">
          <w:marLeft w:val="0"/>
          <w:marRight w:val="0"/>
          <w:marTop w:val="100"/>
          <w:marBottom w:val="101"/>
          <w:divBdr>
            <w:top w:val="none" w:sz="0" w:space="0" w:color="auto"/>
            <w:left w:val="none" w:sz="0" w:space="0" w:color="auto"/>
            <w:bottom w:val="none" w:sz="0" w:space="0" w:color="auto"/>
            <w:right w:val="none" w:sz="0" w:space="0" w:color="auto"/>
          </w:divBdr>
        </w:div>
        <w:div w:id="687103323">
          <w:marLeft w:val="0"/>
          <w:marRight w:val="0"/>
          <w:marTop w:val="100"/>
          <w:marBottom w:val="101"/>
          <w:divBdr>
            <w:top w:val="none" w:sz="0" w:space="0" w:color="auto"/>
            <w:left w:val="none" w:sz="0" w:space="0" w:color="auto"/>
            <w:bottom w:val="none" w:sz="0" w:space="0" w:color="auto"/>
            <w:right w:val="none" w:sz="0" w:space="0" w:color="auto"/>
          </w:divBdr>
        </w:div>
        <w:div w:id="91822915">
          <w:marLeft w:val="0"/>
          <w:marRight w:val="0"/>
          <w:marTop w:val="40"/>
          <w:marBottom w:val="101"/>
          <w:divBdr>
            <w:top w:val="none" w:sz="0" w:space="0" w:color="auto"/>
            <w:left w:val="none" w:sz="0" w:space="0" w:color="auto"/>
            <w:bottom w:val="none" w:sz="0" w:space="0" w:color="auto"/>
            <w:right w:val="none" w:sz="0" w:space="0" w:color="auto"/>
          </w:divBdr>
        </w:div>
        <w:div w:id="1604263112">
          <w:marLeft w:val="0"/>
          <w:marRight w:val="0"/>
          <w:marTop w:val="40"/>
          <w:marBottom w:val="101"/>
          <w:divBdr>
            <w:top w:val="none" w:sz="0" w:space="0" w:color="auto"/>
            <w:left w:val="none" w:sz="0" w:space="0" w:color="auto"/>
            <w:bottom w:val="none" w:sz="0" w:space="0" w:color="auto"/>
            <w:right w:val="none" w:sz="0" w:space="0" w:color="auto"/>
          </w:divBdr>
        </w:div>
        <w:div w:id="938023233">
          <w:marLeft w:val="0"/>
          <w:marRight w:val="0"/>
          <w:marTop w:val="40"/>
          <w:marBottom w:val="101"/>
          <w:divBdr>
            <w:top w:val="none" w:sz="0" w:space="0" w:color="auto"/>
            <w:left w:val="none" w:sz="0" w:space="0" w:color="auto"/>
            <w:bottom w:val="none" w:sz="0" w:space="0" w:color="auto"/>
            <w:right w:val="none" w:sz="0" w:space="0" w:color="auto"/>
          </w:divBdr>
        </w:div>
        <w:div w:id="1418088933">
          <w:marLeft w:val="0"/>
          <w:marRight w:val="0"/>
          <w:marTop w:val="40"/>
          <w:marBottom w:val="101"/>
          <w:divBdr>
            <w:top w:val="none" w:sz="0" w:space="0" w:color="auto"/>
            <w:left w:val="none" w:sz="0" w:space="0" w:color="auto"/>
            <w:bottom w:val="none" w:sz="0" w:space="0" w:color="auto"/>
            <w:right w:val="none" w:sz="0" w:space="0" w:color="auto"/>
          </w:divBdr>
        </w:div>
        <w:div w:id="1665547167">
          <w:marLeft w:val="0"/>
          <w:marRight w:val="0"/>
          <w:marTop w:val="40"/>
          <w:marBottom w:val="101"/>
          <w:divBdr>
            <w:top w:val="none" w:sz="0" w:space="0" w:color="auto"/>
            <w:left w:val="none" w:sz="0" w:space="0" w:color="auto"/>
            <w:bottom w:val="none" w:sz="0" w:space="0" w:color="auto"/>
            <w:right w:val="none" w:sz="0" w:space="0" w:color="auto"/>
          </w:divBdr>
        </w:div>
        <w:div w:id="1265580162">
          <w:marLeft w:val="0"/>
          <w:marRight w:val="0"/>
          <w:marTop w:val="40"/>
          <w:marBottom w:val="101"/>
          <w:divBdr>
            <w:top w:val="none" w:sz="0" w:space="0" w:color="auto"/>
            <w:left w:val="none" w:sz="0" w:space="0" w:color="auto"/>
            <w:bottom w:val="none" w:sz="0" w:space="0" w:color="auto"/>
            <w:right w:val="none" w:sz="0" w:space="0" w:color="auto"/>
          </w:divBdr>
        </w:div>
        <w:div w:id="1666939012">
          <w:marLeft w:val="0"/>
          <w:marRight w:val="0"/>
          <w:marTop w:val="40"/>
          <w:marBottom w:val="101"/>
          <w:divBdr>
            <w:top w:val="none" w:sz="0" w:space="0" w:color="auto"/>
            <w:left w:val="none" w:sz="0" w:space="0" w:color="auto"/>
            <w:bottom w:val="none" w:sz="0" w:space="0" w:color="auto"/>
            <w:right w:val="none" w:sz="0" w:space="0" w:color="auto"/>
          </w:divBdr>
        </w:div>
        <w:div w:id="53285072">
          <w:marLeft w:val="0"/>
          <w:marRight w:val="0"/>
          <w:marTop w:val="40"/>
          <w:marBottom w:val="101"/>
          <w:divBdr>
            <w:top w:val="none" w:sz="0" w:space="0" w:color="auto"/>
            <w:left w:val="none" w:sz="0" w:space="0" w:color="auto"/>
            <w:bottom w:val="none" w:sz="0" w:space="0" w:color="auto"/>
            <w:right w:val="none" w:sz="0" w:space="0" w:color="auto"/>
          </w:divBdr>
        </w:div>
        <w:div w:id="297417653">
          <w:marLeft w:val="0"/>
          <w:marRight w:val="0"/>
          <w:marTop w:val="40"/>
          <w:marBottom w:val="101"/>
          <w:divBdr>
            <w:top w:val="none" w:sz="0" w:space="0" w:color="auto"/>
            <w:left w:val="none" w:sz="0" w:space="0" w:color="auto"/>
            <w:bottom w:val="none" w:sz="0" w:space="0" w:color="auto"/>
            <w:right w:val="none" w:sz="0" w:space="0" w:color="auto"/>
          </w:divBdr>
        </w:div>
        <w:div w:id="472406545">
          <w:marLeft w:val="0"/>
          <w:marRight w:val="0"/>
          <w:marTop w:val="40"/>
          <w:marBottom w:val="101"/>
          <w:divBdr>
            <w:top w:val="none" w:sz="0" w:space="0" w:color="auto"/>
            <w:left w:val="none" w:sz="0" w:space="0" w:color="auto"/>
            <w:bottom w:val="none" w:sz="0" w:space="0" w:color="auto"/>
            <w:right w:val="none" w:sz="0" w:space="0" w:color="auto"/>
          </w:divBdr>
        </w:div>
        <w:div w:id="1380396175">
          <w:marLeft w:val="0"/>
          <w:marRight w:val="0"/>
          <w:marTop w:val="40"/>
          <w:marBottom w:val="101"/>
          <w:divBdr>
            <w:top w:val="none" w:sz="0" w:space="0" w:color="auto"/>
            <w:left w:val="none" w:sz="0" w:space="0" w:color="auto"/>
            <w:bottom w:val="none" w:sz="0" w:space="0" w:color="auto"/>
            <w:right w:val="none" w:sz="0" w:space="0" w:color="auto"/>
          </w:divBdr>
        </w:div>
        <w:div w:id="2103716057">
          <w:marLeft w:val="0"/>
          <w:marRight w:val="0"/>
          <w:marTop w:val="40"/>
          <w:marBottom w:val="101"/>
          <w:divBdr>
            <w:top w:val="none" w:sz="0" w:space="0" w:color="auto"/>
            <w:left w:val="none" w:sz="0" w:space="0" w:color="auto"/>
            <w:bottom w:val="none" w:sz="0" w:space="0" w:color="auto"/>
            <w:right w:val="none" w:sz="0" w:space="0" w:color="auto"/>
          </w:divBdr>
        </w:div>
        <w:div w:id="689067033">
          <w:marLeft w:val="0"/>
          <w:marRight w:val="0"/>
          <w:marTop w:val="40"/>
          <w:marBottom w:val="101"/>
          <w:divBdr>
            <w:top w:val="none" w:sz="0" w:space="0" w:color="auto"/>
            <w:left w:val="none" w:sz="0" w:space="0" w:color="auto"/>
            <w:bottom w:val="none" w:sz="0" w:space="0" w:color="auto"/>
            <w:right w:val="none" w:sz="0" w:space="0" w:color="auto"/>
          </w:divBdr>
        </w:div>
        <w:div w:id="1516652714">
          <w:marLeft w:val="0"/>
          <w:marRight w:val="0"/>
          <w:marTop w:val="40"/>
          <w:marBottom w:val="101"/>
          <w:divBdr>
            <w:top w:val="none" w:sz="0" w:space="0" w:color="auto"/>
            <w:left w:val="none" w:sz="0" w:space="0" w:color="auto"/>
            <w:bottom w:val="none" w:sz="0" w:space="0" w:color="auto"/>
            <w:right w:val="none" w:sz="0" w:space="0" w:color="auto"/>
          </w:divBdr>
        </w:div>
        <w:div w:id="788353061">
          <w:marLeft w:val="0"/>
          <w:marRight w:val="0"/>
          <w:marTop w:val="40"/>
          <w:marBottom w:val="101"/>
          <w:divBdr>
            <w:top w:val="none" w:sz="0" w:space="0" w:color="auto"/>
            <w:left w:val="none" w:sz="0" w:space="0" w:color="auto"/>
            <w:bottom w:val="none" w:sz="0" w:space="0" w:color="auto"/>
            <w:right w:val="none" w:sz="0" w:space="0" w:color="auto"/>
          </w:divBdr>
        </w:div>
        <w:div w:id="1063019742">
          <w:marLeft w:val="0"/>
          <w:marRight w:val="0"/>
          <w:marTop w:val="40"/>
          <w:marBottom w:val="101"/>
          <w:divBdr>
            <w:top w:val="none" w:sz="0" w:space="0" w:color="auto"/>
            <w:left w:val="none" w:sz="0" w:space="0" w:color="auto"/>
            <w:bottom w:val="none" w:sz="0" w:space="0" w:color="auto"/>
            <w:right w:val="none" w:sz="0" w:space="0" w:color="auto"/>
          </w:divBdr>
        </w:div>
        <w:div w:id="887300853">
          <w:marLeft w:val="0"/>
          <w:marRight w:val="0"/>
          <w:marTop w:val="40"/>
          <w:marBottom w:val="101"/>
          <w:divBdr>
            <w:top w:val="none" w:sz="0" w:space="0" w:color="auto"/>
            <w:left w:val="none" w:sz="0" w:space="0" w:color="auto"/>
            <w:bottom w:val="none" w:sz="0" w:space="0" w:color="auto"/>
            <w:right w:val="none" w:sz="0" w:space="0" w:color="auto"/>
          </w:divBdr>
        </w:div>
        <w:div w:id="736324837">
          <w:marLeft w:val="0"/>
          <w:marRight w:val="0"/>
          <w:marTop w:val="40"/>
          <w:marBottom w:val="101"/>
          <w:divBdr>
            <w:top w:val="none" w:sz="0" w:space="0" w:color="auto"/>
            <w:left w:val="none" w:sz="0" w:space="0" w:color="auto"/>
            <w:bottom w:val="none" w:sz="0" w:space="0" w:color="auto"/>
            <w:right w:val="none" w:sz="0" w:space="0" w:color="auto"/>
          </w:divBdr>
        </w:div>
        <w:div w:id="671298338">
          <w:marLeft w:val="0"/>
          <w:marRight w:val="0"/>
          <w:marTop w:val="40"/>
          <w:marBottom w:val="101"/>
          <w:divBdr>
            <w:top w:val="none" w:sz="0" w:space="0" w:color="auto"/>
            <w:left w:val="none" w:sz="0" w:space="0" w:color="auto"/>
            <w:bottom w:val="none" w:sz="0" w:space="0" w:color="auto"/>
            <w:right w:val="none" w:sz="0" w:space="0" w:color="auto"/>
          </w:divBdr>
        </w:div>
        <w:div w:id="1071535877">
          <w:marLeft w:val="0"/>
          <w:marRight w:val="0"/>
          <w:marTop w:val="40"/>
          <w:marBottom w:val="101"/>
          <w:divBdr>
            <w:top w:val="none" w:sz="0" w:space="0" w:color="auto"/>
            <w:left w:val="none" w:sz="0" w:space="0" w:color="auto"/>
            <w:bottom w:val="none" w:sz="0" w:space="0" w:color="auto"/>
            <w:right w:val="none" w:sz="0" w:space="0" w:color="auto"/>
          </w:divBdr>
        </w:div>
        <w:div w:id="2077900968">
          <w:marLeft w:val="0"/>
          <w:marRight w:val="0"/>
          <w:marTop w:val="40"/>
          <w:marBottom w:val="101"/>
          <w:divBdr>
            <w:top w:val="none" w:sz="0" w:space="0" w:color="auto"/>
            <w:left w:val="none" w:sz="0" w:space="0" w:color="auto"/>
            <w:bottom w:val="none" w:sz="0" w:space="0" w:color="auto"/>
            <w:right w:val="none" w:sz="0" w:space="0" w:color="auto"/>
          </w:divBdr>
        </w:div>
        <w:div w:id="52121841">
          <w:marLeft w:val="0"/>
          <w:marRight w:val="0"/>
          <w:marTop w:val="40"/>
          <w:marBottom w:val="101"/>
          <w:divBdr>
            <w:top w:val="none" w:sz="0" w:space="0" w:color="auto"/>
            <w:left w:val="none" w:sz="0" w:space="0" w:color="auto"/>
            <w:bottom w:val="none" w:sz="0" w:space="0" w:color="auto"/>
            <w:right w:val="none" w:sz="0" w:space="0" w:color="auto"/>
          </w:divBdr>
        </w:div>
        <w:div w:id="1328941629">
          <w:marLeft w:val="0"/>
          <w:marRight w:val="0"/>
          <w:marTop w:val="40"/>
          <w:marBottom w:val="101"/>
          <w:divBdr>
            <w:top w:val="none" w:sz="0" w:space="0" w:color="auto"/>
            <w:left w:val="none" w:sz="0" w:space="0" w:color="auto"/>
            <w:bottom w:val="none" w:sz="0" w:space="0" w:color="auto"/>
            <w:right w:val="none" w:sz="0" w:space="0" w:color="auto"/>
          </w:divBdr>
        </w:div>
        <w:div w:id="1581525611">
          <w:marLeft w:val="0"/>
          <w:marRight w:val="0"/>
          <w:marTop w:val="40"/>
          <w:marBottom w:val="101"/>
          <w:divBdr>
            <w:top w:val="none" w:sz="0" w:space="0" w:color="auto"/>
            <w:left w:val="none" w:sz="0" w:space="0" w:color="auto"/>
            <w:bottom w:val="none" w:sz="0" w:space="0" w:color="auto"/>
            <w:right w:val="none" w:sz="0" w:space="0" w:color="auto"/>
          </w:divBdr>
        </w:div>
        <w:div w:id="1445421691">
          <w:marLeft w:val="0"/>
          <w:marRight w:val="0"/>
          <w:marTop w:val="40"/>
          <w:marBottom w:val="101"/>
          <w:divBdr>
            <w:top w:val="none" w:sz="0" w:space="0" w:color="auto"/>
            <w:left w:val="none" w:sz="0" w:space="0" w:color="auto"/>
            <w:bottom w:val="none" w:sz="0" w:space="0" w:color="auto"/>
            <w:right w:val="none" w:sz="0" w:space="0" w:color="auto"/>
          </w:divBdr>
        </w:div>
        <w:div w:id="673265436">
          <w:marLeft w:val="0"/>
          <w:marRight w:val="0"/>
          <w:marTop w:val="40"/>
          <w:marBottom w:val="101"/>
          <w:divBdr>
            <w:top w:val="none" w:sz="0" w:space="0" w:color="auto"/>
            <w:left w:val="none" w:sz="0" w:space="0" w:color="auto"/>
            <w:bottom w:val="none" w:sz="0" w:space="0" w:color="auto"/>
            <w:right w:val="none" w:sz="0" w:space="0" w:color="auto"/>
          </w:divBdr>
        </w:div>
        <w:div w:id="1186097048">
          <w:marLeft w:val="0"/>
          <w:marRight w:val="0"/>
          <w:marTop w:val="40"/>
          <w:marBottom w:val="101"/>
          <w:divBdr>
            <w:top w:val="none" w:sz="0" w:space="0" w:color="auto"/>
            <w:left w:val="none" w:sz="0" w:space="0" w:color="auto"/>
            <w:bottom w:val="none" w:sz="0" w:space="0" w:color="auto"/>
            <w:right w:val="none" w:sz="0" w:space="0" w:color="auto"/>
          </w:divBdr>
        </w:div>
        <w:div w:id="1687554398">
          <w:marLeft w:val="0"/>
          <w:marRight w:val="0"/>
          <w:marTop w:val="40"/>
          <w:marBottom w:val="101"/>
          <w:divBdr>
            <w:top w:val="none" w:sz="0" w:space="0" w:color="auto"/>
            <w:left w:val="none" w:sz="0" w:space="0" w:color="auto"/>
            <w:bottom w:val="none" w:sz="0" w:space="0" w:color="auto"/>
            <w:right w:val="none" w:sz="0" w:space="0" w:color="auto"/>
          </w:divBdr>
        </w:div>
        <w:div w:id="1880048210">
          <w:marLeft w:val="0"/>
          <w:marRight w:val="0"/>
          <w:marTop w:val="40"/>
          <w:marBottom w:val="101"/>
          <w:divBdr>
            <w:top w:val="none" w:sz="0" w:space="0" w:color="auto"/>
            <w:left w:val="none" w:sz="0" w:space="0" w:color="auto"/>
            <w:bottom w:val="none" w:sz="0" w:space="0" w:color="auto"/>
            <w:right w:val="none" w:sz="0" w:space="0" w:color="auto"/>
          </w:divBdr>
        </w:div>
        <w:div w:id="748306514">
          <w:marLeft w:val="0"/>
          <w:marRight w:val="0"/>
          <w:marTop w:val="0"/>
          <w:marBottom w:val="101"/>
          <w:divBdr>
            <w:top w:val="none" w:sz="0" w:space="0" w:color="auto"/>
            <w:left w:val="none" w:sz="0" w:space="0" w:color="auto"/>
            <w:bottom w:val="none" w:sz="0" w:space="0" w:color="auto"/>
            <w:right w:val="none" w:sz="0" w:space="0" w:color="auto"/>
          </w:divBdr>
        </w:div>
        <w:div w:id="880675346">
          <w:marLeft w:val="0"/>
          <w:marRight w:val="0"/>
          <w:marTop w:val="30"/>
          <w:marBottom w:val="101"/>
          <w:divBdr>
            <w:top w:val="none" w:sz="0" w:space="0" w:color="auto"/>
            <w:left w:val="none" w:sz="0" w:space="0" w:color="auto"/>
            <w:bottom w:val="none" w:sz="0" w:space="0" w:color="auto"/>
            <w:right w:val="none" w:sz="0" w:space="0" w:color="auto"/>
          </w:divBdr>
        </w:div>
        <w:div w:id="1353416382">
          <w:marLeft w:val="0"/>
          <w:marRight w:val="0"/>
          <w:marTop w:val="30"/>
          <w:marBottom w:val="101"/>
          <w:divBdr>
            <w:top w:val="none" w:sz="0" w:space="0" w:color="auto"/>
            <w:left w:val="none" w:sz="0" w:space="0" w:color="auto"/>
            <w:bottom w:val="none" w:sz="0" w:space="0" w:color="auto"/>
            <w:right w:val="none" w:sz="0" w:space="0" w:color="auto"/>
          </w:divBdr>
        </w:div>
        <w:div w:id="1846818454">
          <w:marLeft w:val="0"/>
          <w:marRight w:val="0"/>
          <w:marTop w:val="30"/>
          <w:marBottom w:val="101"/>
          <w:divBdr>
            <w:top w:val="none" w:sz="0" w:space="0" w:color="auto"/>
            <w:left w:val="none" w:sz="0" w:space="0" w:color="auto"/>
            <w:bottom w:val="none" w:sz="0" w:space="0" w:color="auto"/>
            <w:right w:val="none" w:sz="0" w:space="0" w:color="auto"/>
          </w:divBdr>
        </w:div>
        <w:div w:id="334724894">
          <w:marLeft w:val="0"/>
          <w:marRight w:val="0"/>
          <w:marTop w:val="30"/>
          <w:marBottom w:val="101"/>
          <w:divBdr>
            <w:top w:val="none" w:sz="0" w:space="0" w:color="auto"/>
            <w:left w:val="none" w:sz="0" w:space="0" w:color="auto"/>
            <w:bottom w:val="none" w:sz="0" w:space="0" w:color="auto"/>
            <w:right w:val="none" w:sz="0" w:space="0" w:color="auto"/>
          </w:divBdr>
        </w:div>
        <w:div w:id="1192258880">
          <w:marLeft w:val="0"/>
          <w:marRight w:val="0"/>
          <w:marTop w:val="30"/>
          <w:marBottom w:val="101"/>
          <w:divBdr>
            <w:top w:val="none" w:sz="0" w:space="0" w:color="auto"/>
            <w:left w:val="none" w:sz="0" w:space="0" w:color="auto"/>
            <w:bottom w:val="none" w:sz="0" w:space="0" w:color="auto"/>
            <w:right w:val="none" w:sz="0" w:space="0" w:color="auto"/>
          </w:divBdr>
        </w:div>
        <w:div w:id="1188566721">
          <w:marLeft w:val="0"/>
          <w:marRight w:val="0"/>
          <w:marTop w:val="30"/>
          <w:marBottom w:val="101"/>
          <w:divBdr>
            <w:top w:val="none" w:sz="0" w:space="0" w:color="auto"/>
            <w:left w:val="none" w:sz="0" w:space="0" w:color="auto"/>
            <w:bottom w:val="none" w:sz="0" w:space="0" w:color="auto"/>
            <w:right w:val="none" w:sz="0" w:space="0" w:color="auto"/>
          </w:divBdr>
        </w:div>
        <w:div w:id="69893553">
          <w:marLeft w:val="0"/>
          <w:marRight w:val="0"/>
          <w:marTop w:val="30"/>
          <w:marBottom w:val="101"/>
          <w:divBdr>
            <w:top w:val="none" w:sz="0" w:space="0" w:color="auto"/>
            <w:left w:val="none" w:sz="0" w:space="0" w:color="auto"/>
            <w:bottom w:val="none" w:sz="0" w:space="0" w:color="auto"/>
            <w:right w:val="none" w:sz="0" w:space="0" w:color="auto"/>
          </w:divBdr>
        </w:div>
        <w:div w:id="495919774">
          <w:marLeft w:val="0"/>
          <w:marRight w:val="0"/>
          <w:marTop w:val="30"/>
          <w:marBottom w:val="101"/>
          <w:divBdr>
            <w:top w:val="none" w:sz="0" w:space="0" w:color="auto"/>
            <w:left w:val="none" w:sz="0" w:space="0" w:color="auto"/>
            <w:bottom w:val="none" w:sz="0" w:space="0" w:color="auto"/>
            <w:right w:val="none" w:sz="0" w:space="0" w:color="auto"/>
          </w:divBdr>
        </w:div>
        <w:div w:id="368771533">
          <w:marLeft w:val="0"/>
          <w:marRight w:val="0"/>
          <w:marTop w:val="0"/>
          <w:marBottom w:val="101"/>
          <w:divBdr>
            <w:top w:val="none" w:sz="0" w:space="0" w:color="auto"/>
            <w:left w:val="none" w:sz="0" w:space="0" w:color="auto"/>
            <w:bottom w:val="none" w:sz="0" w:space="0" w:color="auto"/>
            <w:right w:val="none" w:sz="0" w:space="0" w:color="auto"/>
          </w:divBdr>
        </w:div>
        <w:div w:id="668604724">
          <w:marLeft w:val="0"/>
          <w:marRight w:val="0"/>
          <w:marTop w:val="0"/>
          <w:marBottom w:val="101"/>
          <w:divBdr>
            <w:top w:val="none" w:sz="0" w:space="0" w:color="auto"/>
            <w:left w:val="none" w:sz="0" w:space="0" w:color="auto"/>
            <w:bottom w:val="none" w:sz="0" w:space="0" w:color="auto"/>
            <w:right w:val="none" w:sz="0" w:space="0" w:color="auto"/>
          </w:divBdr>
        </w:div>
        <w:div w:id="1837186238">
          <w:marLeft w:val="0"/>
          <w:marRight w:val="0"/>
          <w:marTop w:val="20"/>
          <w:marBottom w:val="101"/>
          <w:divBdr>
            <w:top w:val="none" w:sz="0" w:space="0" w:color="auto"/>
            <w:left w:val="none" w:sz="0" w:space="0" w:color="auto"/>
            <w:bottom w:val="none" w:sz="0" w:space="0" w:color="auto"/>
            <w:right w:val="none" w:sz="0" w:space="0" w:color="auto"/>
          </w:divBdr>
        </w:div>
        <w:div w:id="1743747223">
          <w:marLeft w:val="0"/>
          <w:marRight w:val="0"/>
          <w:marTop w:val="20"/>
          <w:marBottom w:val="101"/>
          <w:divBdr>
            <w:top w:val="none" w:sz="0" w:space="0" w:color="auto"/>
            <w:left w:val="none" w:sz="0" w:space="0" w:color="auto"/>
            <w:bottom w:val="none" w:sz="0" w:space="0" w:color="auto"/>
            <w:right w:val="none" w:sz="0" w:space="0" w:color="auto"/>
          </w:divBdr>
        </w:div>
        <w:div w:id="1660845725">
          <w:marLeft w:val="0"/>
          <w:marRight w:val="0"/>
          <w:marTop w:val="20"/>
          <w:marBottom w:val="101"/>
          <w:divBdr>
            <w:top w:val="none" w:sz="0" w:space="0" w:color="auto"/>
            <w:left w:val="none" w:sz="0" w:space="0" w:color="auto"/>
            <w:bottom w:val="none" w:sz="0" w:space="0" w:color="auto"/>
            <w:right w:val="none" w:sz="0" w:space="0" w:color="auto"/>
          </w:divBdr>
        </w:div>
        <w:div w:id="471482794">
          <w:marLeft w:val="0"/>
          <w:marRight w:val="0"/>
          <w:marTop w:val="20"/>
          <w:marBottom w:val="101"/>
          <w:divBdr>
            <w:top w:val="none" w:sz="0" w:space="0" w:color="auto"/>
            <w:left w:val="none" w:sz="0" w:space="0" w:color="auto"/>
            <w:bottom w:val="none" w:sz="0" w:space="0" w:color="auto"/>
            <w:right w:val="none" w:sz="0" w:space="0" w:color="auto"/>
          </w:divBdr>
        </w:div>
        <w:div w:id="810025180">
          <w:marLeft w:val="0"/>
          <w:marRight w:val="0"/>
          <w:marTop w:val="20"/>
          <w:marBottom w:val="101"/>
          <w:divBdr>
            <w:top w:val="none" w:sz="0" w:space="0" w:color="auto"/>
            <w:left w:val="none" w:sz="0" w:space="0" w:color="auto"/>
            <w:bottom w:val="none" w:sz="0" w:space="0" w:color="auto"/>
            <w:right w:val="none" w:sz="0" w:space="0" w:color="auto"/>
          </w:divBdr>
        </w:div>
        <w:div w:id="1991516890">
          <w:marLeft w:val="0"/>
          <w:marRight w:val="0"/>
          <w:marTop w:val="20"/>
          <w:marBottom w:val="101"/>
          <w:divBdr>
            <w:top w:val="none" w:sz="0" w:space="0" w:color="auto"/>
            <w:left w:val="none" w:sz="0" w:space="0" w:color="auto"/>
            <w:bottom w:val="none" w:sz="0" w:space="0" w:color="auto"/>
            <w:right w:val="none" w:sz="0" w:space="0" w:color="auto"/>
          </w:divBdr>
        </w:div>
        <w:div w:id="517158456">
          <w:marLeft w:val="0"/>
          <w:marRight w:val="0"/>
          <w:marTop w:val="20"/>
          <w:marBottom w:val="101"/>
          <w:divBdr>
            <w:top w:val="none" w:sz="0" w:space="0" w:color="auto"/>
            <w:left w:val="none" w:sz="0" w:space="0" w:color="auto"/>
            <w:bottom w:val="none" w:sz="0" w:space="0" w:color="auto"/>
            <w:right w:val="none" w:sz="0" w:space="0" w:color="auto"/>
          </w:divBdr>
        </w:div>
        <w:div w:id="404455176">
          <w:marLeft w:val="0"/>
          <w:marRight w:val="0"/>
          <w:marTop w:val="20"/>
          <w:marBottom w:val="101"/>
          <w:divBdr>
            <w:top w:val="none" w:sz="0" w:space="0" w:color="auto"/>
            <w:left w:val="none" w:sz="0" w:space="0" w:color="auto"/>
            <w:bottom w:val="none" w:sz="0" w:space="0" w:color="auto"/>
            <w:right w:val="none" w:sz="0" w:space="0" w:color="auto"/>
          </w:divBdr>
        </w:div>
        <w:div w:id="179048227">
          <w:marLeft w:val="0"/>
          <w:marRight w:val="0"/>
          <w:marTop w:val="0"/>
          <w:marBottom w:val="101"/>
          <w:divBdr>
            <w:top w:val="none" w:sz="0" w:space="0" w:color="auto"/>
            <w:left w:val="none" w:sz="0" w:space="0" w:color="auto"/>
            <w:bottom w:val="none" w:sz="0" w:space="0" w:color="auto"/>
            <w:right w:val="none" w:sz="0" w:space="0" w:color="auto"/>
          </w:divBdr>
        </w:div>
        <w:div w:id="1051030676">
          <w:marLeft w:val="0"/>
          <w:marRight w:val="0"/>
          <w:marTop w:val="0"/>
          <w:marBottom w:val="101"/>
          <w:divBdr>
            <w:top w:val="none" w:sz="0" w:space="0" w:color="auto"/>
            <w:left w:val="none" w:sz="0" w:space="0" w:color="auto"/>
            <w:bottom w:val="none" w:sz="0" w:space="0" w:color="auto"/>
            <w:right w:val="none" w:sz="0" w:space="0" w:color="auto"/>
          </w:divBdr>
        </w:div>
        <w:div w:id="118841413">
          <w:marLeft w:val="0"/>
          <w:marRight w:val="0"/>
          <w:marTop w:val="0"/>
          <w:marBottom w:val="101"/>
          <w:divBdr>
            <w:top w:val="none" w:sz="0" w:space="0" w:color="auto"/>
            <w:left w:val="none" w:sz="0" w:space="0" w:color="auto"/>
            <w:bottom w:val="none" w:sz="0" w:space="0" w:color="auto"/>
            <w:right w:val="none" w:sz="0" w:space="0" w:color="auto"/>
          </w:divBdr>
        </w:div>
        <w:div w:id="1760128746">
          <w:marLeft w:val="0"/>
          <w:marRight w:val="0"/>
          <w:marTop w:val="0"/>
          <w:marBottom w:val="101"/>
          <w:divBdr>
            <w:top w:val="none" w:sz="0" w:space="0" w:color="auto"/>
            <w:left w:val="none" w:sz="0" w:space="0" w:color="auto"/>
            <w:bottom w:val="none" w:sz="0" w:space="0" w:color="auto"/>
            <w:right w:val="none" w:sz="0" w:space="0" w:color="auto"/>
          </w:divBdr>
        </w:div>
        <w:div w:id="932200125">
          <w:marLeft w:val="0"/>
          <w:marRight w:val="0"/>
          <w:marTop w:val="20"/>
          <w:marBottom w:val="101"/>
          <w:divBdr>
            <w:top w:val="none" w:sz="0" w:space="0" w:color="auto"/>
            <w:left w:val="none" w:sz="0" w:space="0" w:color="auto"/>
            <w:bottom w:val="none" w:sz="0" w:space="0" w:color="auto"/>
            <w:right w:val="none" w:sz="0" w:space="0" w:color="auto"/>
          </w:divBdr>
        </w:div>
        <w:div w:id="94327702">
          <w:marLeft w:val="0"/>
          <w:marRight w:val="0"/>
          <w:marTop w:val="20"/>
          <w:marBottom w:val="101"/>
          <w:divBdr>
            <w:top w:val="none" w:sz="0" w:space="0" w:color="auto"/>
            <w:left w:val="none" w:sz="0" w:space="0" w:color="auto"/>
            <w:bottom w:val="none" w:sz="0" w:space="0" w:color="auto"/>
            <w:right w:val="none" w:sz="0" w:space="0" w:color="auto"/>
          </w:divBdr>
        </w:div>
        <w:div w:id="1118522406">
          <w:marLeft w:val="0"/>
          <w:marRight w:val="0"/>
          <w:marTop w:val="20"/>
          <w:marBottom w:val="101"/>
          <w:divBdr>
            <w:top w:val="none" w:sz="0" w:space="0" w:color="auto"/>
            <w:left w:val="none" w:sz="0" w:space="0" w:color="auto"/>
            <w:bottom w:val="none" w:sz="0" w:space="0" w:color="auto"/>
            <w:right w:val="none" w:sz="0" w:space="0" w:color="auto"/>
          </w:divBdr>
        </w:div>
        <w:div w:id="1270703881">
          <w:marLeft w:val="0"/>
          <w:marRight w:val="0"/>
          <w:marTop w:val="20"/>
          <w:marBottom w:val="101"/>
          <w:divBdr>
            <w:top w:val="none" w:sz="0" w:space="0" w:color="auto"/>
            <w:left w:val="none" w:sz="0" w:space="0" w:color="auto"/>
            <w:bottom w:val="none" w:sz="0" w:space="0" w:color="auto"/>
            <w:right w:val="none" w:sz="0" w:space="0" w:color="auto"/>
          </w:divBdr>
        </w:div>
        <w:div w:id="1681463471">
          <w:marLeft w:val="0"/>
          <w:marRight w:val="0"/>
          <w:marTop w:val="20"/>
          <w:marBottom w:val="101"/>
          <w:divBdr>
            <w:top w:val="none" w:sz="0" w:space="0" w:color="auto"/>
            <w:left w:val="none" w:sz="0" w:space="0" w:color="auto"/>
            <w:bottom w:val="none" w:sz="0" w:space="0" w:color="auto"/>
            <w:right w:val="none" w:sz="0" w:space="0" w:color="auto"/>
          </w:divBdr>
        </w:div>
        <w:div w:id="194007814">
          <w:marLeft w:val="0"/>
          <w:marRight w:val="0"/>
          <w:marTop w:val="20"/>
          <w:marBottom w:val="101"/>
          <w:divBdr>
            <w:top w:val="none" w:sz="0" w:space="0" w:color="auto"/>
            <w:left w:val="none" w:sz="0" w:space="0" w:color="auto"/>
            <w:bottom w:val="none" w:sz="0" w:space="0" w:color="auto"/>
            <w:right w:val="none" w:sz="0" w:space="0" w:color="auto"/>
          </w:divBdr>
        </w:div>
        <w:div w:id="713042441">
          <w:marLeft w:val="0"/>
          <w:marRight w:val="0"/>
          <w:marTop w:val="20"/>
          <w:marBottom w:val="101"/>
          <w:divBdr>
            <w:top w:val="none" w:sz="0" w:space="0" w:color="auto"/>
            <w:left w:val="none" w:sz="0" w:space="0" w:color="auto"/>
            <w:bottom w:val="none" w:sz="0" w:space="0" w:color="auto"/>
            <w:right w:val="none" w:sz="0" w:space="0" w:color="auto"/>
          </w:divBdr>
        </w:div>
        <w:div w:id="791051601">
          <w:marLeft w:val="0"/>
          <w:marRight w:val="0"/>
          <w:marTop w:val="20"/>
          <w:marBottom w:val="101"/>
          <w:divBdr>
            <w:top w:val="none" w:sz="0" w:space="0" w:color="auto"/>
            <w:left w:val="none" w:sz="0" w:space="0" w:color="auto"/>
            <w:bottom w:val="none" w:sz="0" w:space="0" w:color="auto"/>
            <w:right w:val="none" w:sz="0" w:space="0" w:color="auto"/>
          </w:divBdr>
        </w:div>
        <w:div w:id="880941498">
          <w:marLeft w:val="0"/>
          <w:marRight w:val="0"/>
          <w:marTop w:val="20"/>
          <w:marBottom w:val="101"/>
          <w:divBdr>
            <w:top w:val="none" w:sz="0" w:space="0" w:color="auto"/>
            <w:left w:val="none" w:sz="0" w:space="0" w:color="auto"/>
            <w:bottom w:val="none" w:sz="0" w:space="0" w:color="auto"/>
            <w:right w:val="none" w:sz="0" w:space="0" w:color="auto"/>
          </w:divBdr>
        </w:div>
        <w:div w:id="360279006">
          <w:marLeft w:val="0"/>
          <w:marRight w:val="0"/>
          <w:marTop w:val="20"/>
          <w:marBottom w:val="101"/>
          <w:divBdr>
            <w:top w:val="none" w:sz="0" w:space="0" w:color="auto"/>
            <w:left w:val="none" w:sz="0" w:space="0" w:color="auto"/>
            <w:bottom w:val="none" w:sz="0" w:space="0" w:color="auto"/>
            <w:right w:val="none" w:sz="0" w:space="0" w:color="auto"/>
          </w:divBdr>
        </w:div>
        <w:div w:id="539168046">
          <w:marLeft w:val="0"/>
          <w:marRight w:val="0"/>
          <w:marTop w:val="0"/>
          <w:marBottom w:val="101"/>
          <w:divBdr>
            <w:top w:val="none" w:sz="0" w:space="0" w:color="auto"/>
            <w:left w:val="none" w:sz="0" w:space="0" w:color="auto"/>
            <w:bottom w:val="none" w:sz="0" w:space="0" w:color="auto"/>
            <w:right w:val="none" w:sz="0" w:space="0" w:color="auto"/>
          </w:divBdr>
        </w:div>
        <w:div w:id="898396471">
          <w:marLeft w:val="0"/>
          <w:marRight w:val="0"/>
          <w:marTop w:val="40"/>
          <w:marBottom w:val="101"/>
          <w:divBdr>
            <w:top w:val="none" w:sz="0" w:space="0" w:color="auto"/>
            <w:left w:val="none" w:sz="0" w:space="0" w:color="auto"/>
            <w:bottom w:val="none" w:sz="0" w:space="0" w:color="auto"/>
            <w:right w:val="none" w:sz="0" w:space="0" w:color="auto"/>
          </w:divBdr>
        </w:div>
        <w:div w:id="1823425504">
          <w:marLeft w:val="0"/>
          <w:marRight w:val="0"/>
          <w:marTop w:val="40"/>
          <w:marBottom w:val="101"/>
          <w:divBdr>
            <w:top w:val="none" w:sz="0" w:space="0" w:color="auto"/>
            <w:left w:val="none" w:sz="0" w:space="0" w:color="auto"/>
            <w:bottom w:val="none" w:sz="0" w:space="0" w:color="auto"/>
            <w:right w:val="none" w:sz="0" w:space="0" w:color="auto"/>
          </w:divBdr>
        </w:div>
        <w:div w:id="17196153">
          <w:marLeft w:val="0"/>
          <w:marRight w:val="0"/>
          <w:marTop w:val="40"/>
          <w:marBottom w:val="101"/>
          <w:divBdr>
            <w:top w:val="none" w:sz="0" w:space="0" w:color="auto"/>
            <w:left w:val="none" w:sz="0" w:space="0" w:color="auto"/>
            <w:bottom w:val="none" w:sz="0" w:space="0" w:color="auto"/>
            <w:right w:val="none" w:sz="0" w:space="0" w:color="auto"/>
          </w:divBdr>
        </w:div>
        <w:div w:id="2135630924">
          <w:marLeft w:val="0"/>
          <w:marRight w:val="0"/>
          <w:marTop w:val="40"/>
          <w:marBottom w:val="101"/>
          <w:divBdr>
            <w:top w:val="none" w:sz="0" w:space="0" w:color="auto"/>
            <w:left w:val="none" w:sz="0" w:space="0" w:color="auto"/>
            <w:bottom w:val="none" w:sz="0" w:space="0" w:color="auto"/>
            <w:right w:val="none" w:sz="0" w:space="0" w:color="auto"/>
          </w:divBdr>
        </w:div>
        <w:div w:id="2319435">
          <w:marLeft w:val="0"/>
          <w:marRight w:val="0"/>
          <w:marTop w:val="40"/>
          <w:marBottom w:val="101"/>
          <w:divBdr>
            <w:top w:val="none" w:sz="0" w:space="0" w:color="auto"/>
            <w:left w:val="none" w:sz="0" w:space="0" w:color="auto"/>
            <w:bottom w:val="none" w:sz="0" w:space="0" w:color="auto"/>
            <w:right w:val="none" w:sz="0" w:space="0" w:color="auto"/>
          </w:divBdr>
        </w:div>
        <w:div w:id="620265444">
          <w:marLeft w:val="0"/>
          <w:marRight w:val="0"/>
          <w:marTop w:val="40"/>
          <w:marBottom w:val="101"/>
          <w:divBdr>
            <w:top w:val="none" w:sz="0" w:space="0" w:color="auto"/>
            <w:left w:val="none" w:sz="0" w:space="0" w:color="auto"/>
            <w:bottom w:val="none" w:sz="0" w:space="0" w:color="auto"/>
            <w:right w:val="none" w:sz="0" w:space="0" w:color="auto"/>
          </w:divBdr>
        </w:div>
        <w:div w:id="25913491">
          <w:marLeft w:val="0"/>
          <w:marRight w:val="0"/>
          <w:marTop w:val="40"/>
          <w:marBottom w:val="101"/>
          <w:divBdr>
            <w:top w:val="none" w:sz="0" w:space="0" w:color="auto"/>
            <w:left w:val="none" w:sz="0" w:space="0" w:color="auto"/>
            <w:bottom w:val="none" w:sz="0" w:space="0" w:color="auto"/>
            <w:right w:val="none" w:sz="0" w:space="0" w:color="auto"/>
          </w:divBdr>
        </w:div>
        <w:div w:id="1732969981">
          <w:marLeft w:val="0"/>
          <w:marRight w:val="0"/>
          <w:marTop w:val="40"/>
          <w:marBottom w:val="101"/>
          <w:divBdr>
            <w:top w:val="none" w:sz="0" w:space="0" w:color="auto"/>
            <w:left w:val="none" w:sz="0" w:space="0" w:color="auto"/>
            <w:bottom w:val="none" w:sz="0" w:space="0" w:color="auto"/>
            <w:right w:val="none" w:sz="0" w:space="0" w:color="auto"/>
          </w:divBdr>
        </w:div>
        <w:div w:id="1192722006">
          <w:marLeft w:val="0"/>
          <w:marRight w:val="0"/>
          <w:marTop w:val="40"/>
          <w:marBottom w:val="101"/>
          <w:divBdr>
            <w:top w:val="none" w:sz="0" w:space="0" w:color="auto"/>
            <w:left w:val="none" w:sz="0" w:space="0" w:color="auto"/>
            <w:bottom w:val="none" w:sz="0" w:space="0" w:color="auto"/>
            <w:right w:val="none" w:sz="0" w:space="0" w:color="auto"/>
          </w:divBdr>
        </w:div>
        <w:div w:id="1480659181">
          <w:marLeft w:val="0"/>
          <w:marRight w:val="0"/>
          <w:marTop w:val="40"/>
          <w:marBottom w:val="101"/>
          <w:divBdr>
            <w:top w:val="none" w:sz="0" w:space="0" w:color="auto"/>
            <w:left w:val="none" w:sz="0" w:space="0" w:color="auto"/>
            <w:bottom w:val="none" w:sz="0" w:space="0" w:color="auto"/>
            <w:right w:val="none" w:sz="0" w:space="0" w:color="auto"/>
          </w:divBdr>
        </w:div>
        <w:div w:id="1254703547">
          <w:marLeft w:val="0"/>
          <w:marRight w:val="0"/>
          <w:marTop w:val="0"/>
          <w:marBottom w:val="101"/>
          <w:divBdr>
            <w:top w:val="none" w:sz="0" w:space="0" w:color="auto"/>
            <w:left w:val="none" w:sz="0" w:space="0" w:color="auto"/>
            <w:bottom w:val="none" w:sz="0" w:space="0" w:color="auto"/>
            <w:right w:val="none" w:sz="0" w:space="0" w:color="auto"/>
          </w:divBdr>
        </w:div>
        <w:div w:id="840125464">
          <w:marLeft w:val="0"/>
          <w:marRight w:val="0"/>
          <w:marTop w:val="0"/>
          <w:marBottom w:val="101"/>
          <w:divBdr>
            <w:top w:val="none" w:sz="0" w:space="0" w:color="auto"/>
            <w:left w:val="none" w:sz="0" w:space="0" w:color="auto"/>
            <w:bottom w:val="none" w:sz="0" w:space="0" w:color="auto"/>
            <w:right w:val="none" w:sz="0" w:space="0" w:color="auto"/>
          </w:divBdr>
        </w:div>
        <w:div w:id="1078748198">
          <w:marLeft w:val="0"/>
          <w:marRight w:val="0"/>
          <w:marTop w:val="0"/>
          <w:marBottom w:val="101"/>
          <w:divBdr>
            <w:top w:val="none" w:sz="0" w:space="0" w:color="auto"/>
            <w:left w:val="none" w:sz="0" w:space="0" w:color="auto"/>
            <w:bottom w:val="none" w:sz="0" w:space="0" w:color="auto"/>
            <w:right w:val="none" w:sz="0" w:space="0" w:color="auto"/>
          </w:divBdr>
        </w:div>
        <w:div w:id="45063054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1527</Words>
  <Characters>8399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2023-06-27T14:43:00Z</dcterms:created>
  <dcterms:modified xsi:type="dcterms:W3CDTF">2023-06-27T14:45:00Z</dcterms:modified>
</cp:coreProperties>
</file>