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both"/>
        <w:rPr>
          <w:rFonts w:hint="default" w:ascii="Verdana Bold" w:hAnsi="Verdana Bold" w:eastAsia="serif" w:cs="Verdana Bold"/>
          <w:b/>
          <w:bCs/>
          <w:i w:val="0"/>
          <w:caps w:val="0"/>
          <w:color w:val="5B9BD5" w:themeColor="accent1"/>
          <w:spacing w:val="0"/>
          <w:sz w:val="21"/>
          <w:szCs w:val="21"/>
          <w14:textFill>
            <w14:solidFill>
              <w14:schemeClr w14:val="accent1"/>
            </w14:solidFill>
          </w14:textFill>
        </w:rPr>
      </w:pP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R</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esolución</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 de facilidades administrativas para el sector de Autotransporte Terrestre de Carga y de Pasajeros para 2022.</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HACIENDA.- Secretaría de Hacienda y Crédito Público.- Servicio de Administración Tributaria.</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Resolución de facilidades administrativas para el sector de Autotransporte Terrestre de Carga y de Pasajeros para</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Que dentro del marco tributario nacional se contempla un régimen de base de efectivo, aplicable a contribuyentes del sector de autotransporte terrestre de carga y de pasajeros;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Que el Servicio de Administración Tributaria, con fundamento en las facultades que le fueron conferidas por el Congreso de la Unión para establecer reglas de carácter general, considera necesario otorgar para el ejercicio fiscal de 202</w:t>
      </w:r>
      <w:r>
        <w:rPr>
          <w:rFonts w:hint="default" w:ascii="Verdana Regular" w:hAnsi="Verdana Regular" w:eastAsia="SimSun" w:cs="Verdana Regular"/>
          <w:i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caps w:val="0"/>
          <w:color w:val="000000"/>
          <w:spacing w:val="0"/>
          <w:kern w:val="0"/>
          <w:sz w:val="20"/>
          <w:szCs w:val="20"/>
          <w:shd w:val="clear" w:fill="FFFFFF"/>
          <w:lang w:val="en-US" w:eastAsia="zh-CN" w:bidi="ar"/>
        </w:rPr>
        <w:t> al referido sector de contribuyentes, facilidades administrativas y de comprobación, a fin de sim</w:t>
      </w:r>
      <w:bookmarkStart w:id="0" w:name="_GoBack"/>
      <w:bookmarkEnd w:id="0"/>
      <w:r>
        <w:rPr>
          <w:rFonts w:hint="default" w:ascii="Verdana Regular" w:hAnsi="Verdana Regular" w:eastAsia="SimSun" w:cs="Verdana Regular"/>
          <w:i w:val="0"/>
          <w:caps w:val="0"/>
          <w:color w:val="000000"/>
          <w:spacing w:val="0"/>
          <w:kern w:val="0"/>
          <w:sz w:val="20"/>
          <w:szCs w:val="20"/>
          <w:shd w:val="clear" w:fill="FFFFFF"/>
          <w:lang w:val="en-US" w:eastAsia="zh-CN" w:bidi="ar"/>
        </w:rPr>
        <w:t>plificar el cumplimiento de sus obligaciones fiscales. Asimismo, durante el ejercicio fiscal de 202</w:t>
      </w:r>
      <w:r>
        <w:rPr>
          <w:rFonts w:hint="default" w:ascii="Verdana Regular" w:hAnsi="Verdana Regular" w:eastAsia="SimSun" w:cs="Verdana Regular"/>
          <w:i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caps w:val="0"/>
          <w:color w:val="000000"/>
          <w:spacing w:val="0"/>
          <w:kern w:val="0"/>
          <w:sz w:val="20"/>
          <w:szCs w:val="20"/>
          <w:shd w:val="clear" w:fill="FFFFFF"/>
          <w:lang w:val="en-US" w:eastAsia="zh-CN" w:bidi="ar"/>
        </w:rPr>
        <w:t> continuará publicando folletos y llevará a cabo talleres, con el objeto de que estos contribuyentes, mediante ejemplos prácticos y situaciones precisas, puedan conocer sus obligaciones fiscales y la forma de cumplirlas;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Que este órgano desconcentrado, por medio de sus servicios de orientación, informará y resolverá las dudas que formule el sector de contribuyentes a que se refiere la presente Resolución, conforme al desarrollo de sus actividades, a efecto de que los mismos puedan cumplir adecuadamente con sus obligaciones fiscales,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Que la atención de las características operativas propias de dicho sector, requiere que este órgano expida la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RESOLUCIÓN DE FACILIDADES ADMINISTRATIVAS PARA EL SECTOR DE AUTOTRANSPORTE</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TERRESTRE DE CARGA Y DE PASAJEROS PARA 2022</w:t>
      </w:r>
    </w:p>
    <w:p>
      <w:pPr>
        <w:keepNext w:val="0"/>
        <w:keepLines w:val="0"/>
        <w:widowControl/>
        <w:suppressLineNumbers w:val="0"/>
        <w:shd w:val="clear" w:fill="FFFFFF"/>
        <w:spacing w:before="0"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serif" w:cs="Verdana Regular"/>
          <w:b/>
          <w:i w:val="0"/>
          <w:caps w:val="0"/>
          <w:color w:val="2F2F2F"/>
          <w:spacing w:val="0"/>
          <w:kern w:val="0"/>
          <w:sz w:val="20"/>
          <w:szCs w:val="20"/>
          <w:shd w:val="clear" w:fill="FFFFFF"/>
          <w:lang w:val="en-US" w:eastAsia="zh-CN" w:bidi="ar"/>
        </w:rPr>
        <w:t>Contenido</w:t>
      </w:r>
    </w:p>
    <w:p>
      <w:pPr>
        <w:keepNext w:val="0"/>
        <w:keepLines w:val="0"/>
        <w:widowControl/>
        <w:suppressLineNumbers w:val="0"/>
        <w:shd w:val="clear" w:fill="FFFFFF"/>
        <w:spacing w:after="101" w:afterAutospacing="0"/>
        <w:ind w:left="1296" w:hanging="100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Título 1.</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000000"/>
          <w:spacing w:val="0"/>
          <w:kern w:val="0"/>
          <w:sz w:val="20"/>
          <w:szCs w:val="20"/>
          <w:shd w:val="clear" w:fill="FFFFFF"/>
          <w:lang w:val="en-US" w:eastAsia="zh-CN" w:bidi="ar"/>
        </w:rPr>
        <w:t>Sector de Autotransporte Terrestre de Carga Federal.</w:t>
      </w:r>
    </w:p>
    <w:p>
      <w:pPr>
        <w:keepNext w:val="0"/>
        <w:keepLines w:val="0"/>
        <w:widowControl/>
        <w:suppressLineNumbers w:val="0"/>
        <w:shd w:val="clear" w:fill="FFFFFF"/>
        <w:spacing w:after="101" w:afterAutospacing="0"/>
        <w:ind w:left="1296" w:hanging="100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Título 2.</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000000"/>
          <w:spacing w:val="0"/>
          <w:kern w:val="0"/>
          <w:sz w:val="20"/>
          <w:szCs w:val="20"/>
          <w:shd w:val="clear" w:fill="FFFFFF"/>
          <w:lang w:val="en-US" w:eastAsia="zh-CN" w:bidi="ar"/>
        </w:rPr>
        <w:t>Sector de Autotransporte Terrestre Foráneo de Pasaje y Turismo.</w:t>
      </w:r>
    </w:p>
    <w:p>
      <w:pPr>
        <w:keepNext w:val="0"/>
        <w:keepLines w:val="0"/>
        <w:widowControl/>
        <w:suppressLineNumbers w:val="0"/>
        <w:shd w:val="clear" w:fill="FFFFFF"/>
        <w:spacing w:after="101" w:afterAutospacing="0"/>
        <w:ind w:left="1296" w:hanging="100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Título 3.</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000000"/>
          <w:spacing w:val="0"/>
          <w:kern w:val="0"/>
          <w:sz w:val="20"/>
          <w:szCs w:val="20"/>
          <w:shd w:val="clear" w:fill="FFFFFF"/>
          <w:lang w:val="en-US" w:eastAsia="zh-CN" w:bidi="ar"/>
        </w:rPr>
        <w:t>Sector de Autotransporte Terrestre de Carga de Materiales y Autotransporte Terrestre de Pasajeros Urbano y Suburbano.</w:t>
      </w:r>
    </w:p>
    <w:p>
      <w:pPr>
        <w:keepNext w:val="0"/>
        <w:keepLines w:val="0"/>
        <w:widowControl/>
        <w:suppressLineNumbers w:val="0"/>
        <w:shd w:val="clear" w:fill="FFFFFF"/>
        <w:spacing w:before="0"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serif" w:cs="Verdana Regular"/>
          <w:b/>
          <w:i w:val="0"/>
          <w:caps w:val="0"/>
          <w:color w:val="2F2F2F"/>
          <w:spacing w:val="0"/>
          <w:kern w:val="0"/>
          <w:sz w:val="20"/>
          <w:szCs w:val="20"/>
          <w:shd w:val="clear" w:fill="FFFFFF"/>
          <w:lang w:val="en-US" w:eastAsia="zh-CN" w:bidi="ar"/>
        </w:rPr>
        <w:t>Glosario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Para los efectos de la presente Resolución se entiende por:</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CFDI,</w:t>
      </w:r>
      <w:r>
        <w:rPr>
          <w:rFonts w:hint="default" w:ascii="Verdana Regular" w:hAnsi="Verdana Regular" w:eastAsia="SimSun" w:cs="Verdana Regular"/>
          <w:i w:val="0"/>
          <w:caps w:val="0"/>
          <w:color w:val="2F2F2F"/>
          <w:spacing w:val="0"/>
          <w:kern w:val="0"/>
          <w:sz w:val="20"/>
          <w:szCs w:val="20"/>
          <w:shd w:val="clear" w:fill="FFFFFF"/>
          <w:lang w:val="en-US" w:eastAsia="zh-CN" w:bidi="ar"/>
        </w:rPr>
        <w:t> el comprobante fiscal digital por Internet.</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CFF,</w:t>
      </w:r>
      <w:r>
        <w:rPr>
          <w:rFonts w:hint="default" w:ascii="Verdana Regular" w:hAnsi="Verdana Regular" w:eastAsia="SimSun" w:cs="Verdana Regular"/>
          <w:i w:val="0"/>
          <w:caps w:val="0"/>
          <w:color w:val="2F2F2F"/>
          <w:spacing w:val="0"/>
          <w:kern w:val="0"/>
          <w:sz w:val="20"/>
          <w:szCs w:val="20"/>
          <w:shd w:val="clear" w:fill="FFFFFF"/>
          <w:lang w:val="en-US" w:eastAsia="zh-CN" w:bidi="ar"/>
        </w:rPr>
        <w:t> el Código Fiscal de la Federación.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CURP,</w:t>
      </w:r>
      <w:r>
        <w:rPr>
          <w:rFonts w:hint="default" w:ascii="Verdana Regular" w:hAnsi="Verdana Regular" w:eastAsia="SimSun" w:cs="Verdana Regular"/>
          <w:i w:val="0"/>
          <w:caps w:val="0"/>
          <w:color w:val="2F2F2F"/>
          <w:spacing w:val="0"/>
          <w:kern w:val="0"/>
          <w:sz w:val="20"/>
          <w:szCs w:val="20"/>
          <w:shd w:val="clear" w:fill="FFFFFF"/>
          <w:lang w:val="en-US" w:eastAsia="zh-CN" w:bidi="ar"/>
        </w:rPr>
        <w:t> la Clave Única de Registro de Población a 18 posiciones.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IMSS,</w:t>
      </w:r>
      <w:r>
        <w:rPr>
          <w:rFonts w:hint="default" w:ascii="Verdana Regular" w:hAnsi="Verdana Regular" w:eastAsia="SimSun" w:cs="Verdana Regular"/>
          <w:i w:val="0"/>
          <w:caps w:val="0"/>
          <w:color w:val="2F2F2F"/>
          <w:spacing w:val="0"/>
          <w:kern w:val="0"/>
          <w:sz w:val="20"/>
          <w:szCs w:val="20"/>
          <w:shd w:val="clear" w:fill="FFFFFF"/>
          <w:lang w:val="en-US" w:eastAsia="zh-CN" w:bidi="ar"/>
        </w:rPr>
        <w:t> el Instituto Mexicano del Seguro Social.</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ISR,</w:t>
      </w:r>
      <w:r>
        <w:rPr>
          <w:rFonts w:hint="default" w:ascii="Verdana Regular" w:hAnsi="Verdana Regular" w:eastAsia="SimSun" w:cs="Verdana Regular"/>
          <w:i w:val="0"/>
          <w:caps w:val="0"/>
          <w:color w:val="2F2F2F"/>
          <w:spacing w:val="0"/>
          <w:kern w:val="0"/>
          <w:sz w:val="20"/>
          <w:szCs w:val="20"/>
          <w:shd w:val="clear" w:fill="FFFFFF"/>
          <w:lang w:val="en-US" w:eastAsia="zh-CN" w:bidi="ar"/>
        </w:rPr>
        <w:t> el impuesto sobre la renta.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IVA,</w:t>
      </w:r>
      <w:r>
        <w:rPr>
          <w:rFonts w:hint="default" w:ascii="Verdana Regular" w:hAnsi="Verdana Regular" w:eastAsia="SimSun" w:cs="Verdana Regular"/>
          <w:i w:val="0"/>
          <w:caps w:val="0"/>
          <w:color w:val="2F2F2F"/>
          <w:spacing w:val="0"/>
          <w:kern w:val="0"/>
          <w:sz w:val="20"/>
          <w:szCs w:val="20"/>
          <w:shd w:val="clear" w:fill="FFFFFF"/>
          <w:lang w:val="en-US" w:eastAsia="zh-CN" w:bidi="ar"/>
        </w:rPr>
        <w:t> el impuesto al valor agregado.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G.</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LIF,</w:t>
      </w:r>
      <w:r>
        <w:rPr>
          <w:rFonts w:hint="default" w:ascii="Verdana Regular" w:hAnsi="Verdana Regular" w:eastAsia="SimSun" w:cs="Verdana Regular"/>
          <w:i w:val="0"/>
          <w:caps w:val="0"/>
          <w:color w:val="2F2F2F"/>
          <w:spacing w:val="0"/>
          <w:kern w:val="0"/>
          <w:sz w:val="20"/>
          <w:szCs w:val="20"/>
          <w:shd w:val="clear" w:fill="FFFFFF"/>
          <w:lang w:val="en-US" w:eastAsia="zh-CN" w:bidi="ar"/>
        </w:rPr>
        <w:t> la Ley de Ingresos de la Federación para el Ejercicio Fiscal de 2022.</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H.</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RFC,</w:t>
      </w:r>
      <w:r>
        <w:rPr>
          <w:rFonts w:hint="default" w:ascii="Verdana Regular" w:hAnsi="Verdana Regular" w:eastAsia="SimSun" w:cs="Verdana Regular"/>
          <w:i w:val="0"/>
          <w:caps w:val="0"/>
          <w:color w:val="2F2F2F"/>
          <w:spacing w:val="0"/>
          <w:kern w:val="0"/>
          <w:sz w:val="20"/>
          <w:szCs w:val="20"/>
          <w:shd w:val="clear" w:fill="FFFFFF"/>
          <w:lang w:val="en-US" w:eastAsia="zh-CN" w:bidi="ar"/>
        </w:rPr>
        <w:t> el Registro Federal de Contribuyentes.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RMF,</w:t>
      </w:r>
      <w:r>
        <w:rPr>
          <w:rFonts w:hint="default" w:ascii="Verdana Regular" w:hAnsi="Verdana Regular" w:eastAsia="SimSun" w:cs="Verdana Regular"/>
          <w:i w:val="0"/>
          <w:caps w:val="0"/>
          <w:color w:val="2F2F2F"/>
          <w:spacing w:val="0"/>
          <w:kern w:val="0"/>
          <w:sz w:val="20"/>
          <w:szCs w:val="20"/>
          <w:shd w:val="clear" w:fill="FFFFFF"/>
          <w:lang w:val="en-US" w:eastAsia="zh-CN" w:bidi="ar"/>
        </w:rPr>
        <w:t> la Resolución Miscelánea Fiscal para 2022.</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J.</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SAT,</w:t>
      </w:r>
      <w:r>
        <w:rPr>
          <w:rFonts w:hint="default" w:ascii="Verdana Regular" w:hAnsi="Verdana Regular" w:eastAsia="SimSun" w:cs="Verdana Regular"/>
          <w:i w:val="0"/>
          <w:caps w:val="0"/>
          <w:color w:val="2F2F2F"/>
          <w:spacing w:val="0"/>
          <w:kern w:val="0"/>
          <w:sz w:val="20"/>
          <w:szCs w:val="20"/>
          <w:shd w:val="clear" w:fill="FFFFFF"/>
          <w:lang w:val="en-US" w:eastAsia="zh-CN" w:bidi="ar"/>
        </w:rPr>
        <w:t> el Servicio de Administración Tributaria.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Disposición preliminar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La presente Resolución contiene las facilidades administrativas aplicables a los contribuyentes del sector de autotransporte terrestre de carga y de pasajeros que se señalan en los Títulos de la misma.</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Título 1. Sector de Autotransporte Terrestre de Carga Federal</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Retención del ISR a operadores, macheteros y maniobristas</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1.1.</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personas físicas y morales, dedicados exclusivamente al autotransporte terrestre de carga federal, que tributen en los términos del Título II, Capítulo VII o Título IV, Capítulo II, Sección I de la Ley del ISR, según sea el caso, para los efectos del cumplimiento de las obligaciones fiscales en materia de retenciones del ISR por los pagos efectuados a sus trabajadores, en lugar de aplicar las disposiciones correspondientes al pago de salarios, podrán enterar el 7.5 por ciento por concepto de retenciones del ISR, correspondiente a los pagos efectivamente realizados a operadores, macheteros y maniobristas, tomando como referencia el salario base de cotización que sirva para el cálculo de las aportaciones de dichos trabajadores al IMSS, conforme a la normatividad aplicable, en cuyo caso, deberán elaborar y entregar a más tardar el 15 de febrero de 2023, una relación individualizada de dicho personal en la que se indique el monto de las cantidades que les son pagadas en el periodo de que se trate, en los términos en que se elabora para los efectos de las aportaciones que realicen al IMSS de conformidad con la ficha de trámite 91/ISR "Aviso que presentan los contribuyentes dedicados a la actividad de autotransporte terrestre de carga federal que ejercen la opción de enterar el 7.5 por ciento por concepto de retenciones de ISR", contenida en el Anexo 1-A de la RMF, además de emitir el CFDI y su complemento por concepto de nómina correspondiente.</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Por lo que se refiere a los pagos realizados a los trabajadores distintos de los señalados en esta regla, se estará a lo dispuesto en la Ley del ISR.</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 dispuesto en esta regla será aplicable, siempre que los contribuyentes a que se refiere el primer párrafo de esta regla, no presten preponderantemente sus servicios a otra persona moral residente en el país o en el extranjero, que se considere parte relacionada en los términos de la Ley del ISR.</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Facilidades de comprobación</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1.2.</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 la Ley del ISR, los contribuyentes personas físicas y morales, dedicados exclusivamente al autotransporte terrestre de carga federal, que tributen en los términos del Título II, Capítulo VII o Título IV, Capítulo II, Sección I de la Ley del ISR, podrán deducir hasta el equivalente a un 8 por ciento de los ingresos propios de su actividad, sin exceder de $1,000,000.00 (un millón de pesos 00/100 M.N.) durante el ejercicio, sin documentación que reúna requisitos fiscales, siempre que:</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gasto haya sido efectivamente realizado en el ejercicio fiscal de que se trate y esté vinculado con la actividad.</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erogación por la cual se aplique la facilidad se encuentre registrada en su contabilidad por concepto y en forma acumulativa durante el ejercicio fiscal.</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Efectúe el pago por concepto del ISR anual sobre el monto que haya sido deducido por este concepto a la tasa del 16 por ciento. El impuesto anual pagado sobre dicho monto se considerará como definitivo y no será acreditable, ni deducible para efectos fiscales. En el caso de los coordinados o personas morales que tributen por cuenta de sus integrantes, efectuarán por cuenta de los mismos el entero de dicho impuesto.</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que opten por la deducción a que se refiere esta regla deberán efectuar pagos provisionales a cuenta del impuesto anual a que se refiere la fracción anterior, los que se determinarán considerando la deducción realizada en el periodo de pago acumulado del ejercicio fiscal de que se trate, aplicando la tasa del 16 por ciento, pudiendo acreditar los pagos provisionales del mismo ejercicio fiscal realizados con anterioridad por el mismo concepto. Estos pagos provisionales se enterarán a través de las declaraciones del ISR personas físicas, actividad empresarial y profesional o ISR personas morales, régimen de los coordinados, impuesto propio o de sus integrantes respectivamente, a más tardar el día 17 del</w:t>
      </w:r>
    </w:p>
    <w:p>
      <w:pPr>
        <w:keepNext w:val="0"/>
        <w:keepLines w:val="0"/>
        <w:widowControl/>
        <w:suppressLineNumbers w:val="0"/>
        <w:shd w:val="clear" w:fill="FFFFFF"/>
        <w:spacing w:after="101" w:afterAutospacing="0"/>
        <w:ind w:left="1296"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mes siguiente a aquel por el que se efectúe la deducción, o aquel que corresponda de conformidad con el artículo 5.1., del Decreto que compila diversos beneficios fiscales y establece medidas de simplificación administrativa, publicado en el Diario Oficial de la Federación el 26 de diciembre de 2013.</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esta Resolución.</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a que se refiere el primer párrafo de esta regla deberán informar en la declaración anual del ISR, el monto de la deducción correspondiente, en el campo "Facilidades administrativas y estímulos deducibles" en la opción "Deducción equivalente hasta 8% de ingresos propios sin documentación que reúna requisitos fiscales para contribuyentes dedicados exclusivamente al autotransporte".</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 dispuesto en esta regla no será aplicable a los gastos que realicen los contribuyentes por concepto de adquisición de combustibles para realizar su actividad.</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Responsabilidad solidaria de los coordinados</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1.3.</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coordinados que opten por aplicar las facilidades a que se refieren las reglas 1.1. y 1.2. de la presente Resolución, en el caso de que sus integrantes opten por tributar en lo individual, serán responsables solidarios únicamente por los ingresos, deducciones, impuestos y retenciones que hayan consignado en la liquidación emitida al integrante de que se trate, debiendo entregar a la autoridad fiscal anualmente la información de los ingresos, deducciones, impuestos y retenciones, que hayan consignado en la citada liquidación por cada uno de sus integrantes que opten por tributar en lo individual.</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Cuentas maestras</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1.4.</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personas físicas permisionarias del autotransporte terrestre de carga federal que constituyan empresas de autotransporte, podrán abrir y utilizar para realizar las erogaciones correspondientes a las actividades de dichas empresas, cuentas maestras dinámicas o empresariales a nombre de cualquiera de las personas físicas permisionarias integrantes de la persona moral de que se trate, siempre que los movimientos efectuados en dichas cuentas, coincidan con los registros realizados en la contabilidad de la empresa y con la liquidación que al efecto se emita a las permisionarias personas físicas.</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Concepto de coordinado</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1.5.</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 los artículos 72 y 73 de la Ley del ISR, los contribuyentes dedicados a la actividad de autotransporte terrestre de carga federal, considerarán como coordinado a toda persona moral dedicada exclusivamente al servicio de autotransporte terrestre de carga federal, que agrupa y se integra con otras personas físicas y personas morales similares y complementarias, constituidas para proporcionar servicios requeridos por la actividad común de autotransporte terrestre de carga federal. Estos elementos integran una unidad económica con intereses comunes y participan en forma conjunta y en diversas proporciones no identificables, con los propósitos siguientes:</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Coordinar y convenir los servicios que se presten en forma conjunta, incluyendo las empresas que presten servicios o posean inmuebles, dedicados a la actividad del autotransporte terrestre de carga federal. Tratándose de centrales o paraderos de autotransporte que no sean integrantes de algún coordinado, podrán tributar en el Título II, Capítulo VII de la Ley del ISR, siempre que se encuentren integradas por empresas dedicadas al autotransporte de carga federal y presten sus servicios preponderantemente a empresas de autotransporte terrestre de carga federal y dichas centrales o paraderos no apliquen las facilidades contenidas en las reglas 1.1., 1.2. y 1.9. de la presente Resolución.</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Cumplir con las obligaciones en materia fiscal por cuenta de cada uno de sus integrantes en forma global.</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Contar con un manual de políticas para la aplicación de los gastos comunes y su prorrateo a cada uno de sus integrantes, el cual deberán tener a disposición de las autoridades fiscales cuando se lo soliciten.</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Donativos a organismos públicos descentralizados del Gobierno Federal</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1.6.</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 la Ley del ISR, los contribuyentes personas físicas y morales, dedicados exclusivamente al autotransporte terrestre de carga federal, que tributen en los términos del Título II, Capítulo VII o Título IV, Capítulo II, Sección I de la Ley del ISR, podrán considerar como deducibles para efectos de dicho impuesto, los donativos que realicen a organismos públicos descentralizados del Gobierno Federal, siempre que cumplan con los requisitos que establece dicha Ley y se trate de proyectos que se destinen exclusivamente a inversiones productivas y creación de infraestructura, para operar en la actividad de autotransporte de carga federal.</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Enajenación de acciones emitidas por empresas dedicadas al autotransporte terrestre de</w:t>
      </w:r>
      <w:r>
        <w:rPr>
          <w:rFonts w:hint="default" w:ascii="Verdana Regular" w:hAnsi="Verdana Regular" w:eastAsia="SimSun" w:cs="Verdana Regular"/>
          <w:i w:val="0"/>
          <w:caps w:val="0"/>
          <w:color w:val="2F2F2F"/>
          <w:spacing w:val="0"/>
          <w:kern w:val="0"/>
          <w:sz w:val="20"/>
          <w:szCs w:val="20"/>
          <w:shd w:val="clear" w:fill="FFFFFF"/>
          <w:lang w:val="en-US" w:eastAsia="zh-CN" w:bidi="ar"/>
        </w:rPr>
        <w:br w:type="textWrapping"/>
      </w:r>
      <w:r>
        <w:rPr>
          <w:rFonts w:hint="default" w:ascii="Verdana Regular" w:hAnsi="Verdana Regular" w:eastAsia="SimSun" w:cs="Verdana Regular"/>
          <w:b/>
          <w:i w:val="0"/>
          <w:caps w:val="0"/>
          <w:color w:val="000000"/>
          <w:spacing w:val="0"/>
          <w:kern w:val="0"/>
          <w:sz w:val="20"/>
          <w:szCs w:val="20"/>
          <w:shd w:val="clear" w:fill="FFFFFF"/>
          <w:lang w:val="en-US" w:eastAsia="zh-CN" w:bidi="ar"/>
        </w:rPr>
        <w:t>carga</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1.7.</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el caso de enajenación de acciones emitidas por personas morales dedicadas a la actividad de autotransporte terrestre de carga federal que tributen en el Régimen de los Coordinados del Título II, Capítulo VII de la Ley del ISR, que sean enajenadas por personas dedicadas exclusivamente a la actividad de autotransporte terrestre de carga federal, se releva al adquirente de las mismas de la obligación de efectuar la retención del 20 por ciento a que se refiere el artículo 126, cuarto párrafo de la Ley del ISR, siempre que el enajenante de las acciones acumule a los ingresos propios de la actividad de autotransporte terrestre de carga federal, la utilidad que se determine por dicha enajenación, en los términos de los artículos 22, 23, 72, cuarto párrafo y 126 de la citada Ley.</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del párrafo anterior, el integrante del coordinado que enajene las acciones o, en su caso, el coordinado a través del cual este cumpla con sus obligaciones fiscales, deberá presentar un dictamen de enajenación de acciones por contador público inscrito, conforme a lo establecido en la regla 2.10.1. de la RMF.</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Aviso de opción para tributar a través de un coordinado</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1.8.</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del artículo 72, fracción II, cuarto párrafo de la Ley del ISR, quienes opten por pagar el ISR a través de un coordinado o de varios coordinados de autotransporte terrestre de carga federal de los que sean integrantes, deberán presentar además del aviso de opción, el de actualización de actividades económicas y obligaciones ante las autoridades fiscales e informar por escrito al coordinado del que sean integrantes, que ejercerán dicha opción y que presentaron el aviso de actualización ante el RFC, a más tardar dentro de los treinta días siguientes a la entrada en vigor de la presente Resolución, en los términos de lo establecido en el artículo 30, fracción V del Reglamento del CFF y en la ficha de trámite 71/CFF "Aviso de actualización de actividades económicas y obligaciones", contenida en el Anexo 1-A de la RMF.</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que por ejercicios anteriores hubieran presentado su aviso de opción para tributar a través de un coordinado y de actualización de actividades económicas y obligaciones, a que se refiere esta regla, no deberán presentar el aviso correspondiente hasta en tanto no se modifiquen sus actividades,</w:t>
      </w:r>
      <w:r>
        <w:rPr>
          <w:rFonts w:hint="default" w:ascii="Verdana Regular" w:hAnsi="Verdana Regular" w:eastAsia="SimSun" w:cs="Verdana Regular"/>
          <w:i w:val="0"/>
          <w:caps w:val="0"/>
          <w:color w:val="000000"/>
          <w:spacing w:val="0"/>
          <w:kern w:val="0"/>
          <w:sz w:val="20"/>
          <w:szCs w:val="20"/>
          <w:shd w:val="clear" w:fill="FFFFFF"/>
          <w:lang w:val="en-US" w:eastAsia="zh-CN" w:bidi="ar"/>
        </w:rPr>
        <w:t> no cambien la opción elegida, o no tengan derecho a cambiarla en los términos de la propia Ley del ISR</w:t>
      </w:r>
      <w:r>
        <w:rPr>
          <w:rFonts w:hint="default" w:ascii="Verdana Regular" w:hAnsi="Verdana Regular" w:eastAsia="SimSun" w:cs="Verdana Regular"/>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Adquisición de combustibles</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1.9.</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personas físicas y morales, dedicados exclusivamente al autotransporte terrestre de carga federal, que tributen en los términos del Título II, Capítulo VII o Título IV, Capítulo II, Sección I de la Ley del ISR, considerarán cumplida la obligación a que se refiere el artículo 27, fracción III, segundo párrafo de la Ley del ISR, cuando los pagos por consumos de combustible se realicen con medios distintos a cheque nominativo de la cuenta del contribuyente; tarjeta de crédito, de débito o de servicios, o monederos electrónicos autorizados por el SAT, siempre que éstos no excedan del 15 por ciento del total de los pagos efectuados por consumo de combustible para realizar su actividad, y en el comprobante fiscal conste la información del permiso vigente, expedido en los términos de la Ley de Hidrocarburos al proveedor del combustible y que, en su caso, dicho permiso no se encuentre suspendido, al momento de la expedición del comprobante fiscal.</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Impuesto al valor agregado</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1.10.</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del artículo 72 de la Ley del ISR, los coordinados que cumplan con sus obligaciones en los términos del Título II, Capítulo VII de la citada ley, podrán cumplir con las obligaciones fiscales en materia del IVA por cuenta de cada uno de sus integrantes, aplicando al efecto lo dispuesto en la Ley del IVA.</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Asimismo, deberán emitir la liquidación a sus integrantes a través de un CFDI de retenciones e información de pagos, con los siguientes requisitos:</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Denominación o razón social, domicilio fiscal y clave en el RFC, de la persona moral, así como el número de folio consecutivo.</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Lugar y fecha de expedición.</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Nombre del integrante al que se le expida, su clave en el RFC o, en su caso, la CURP, ubicación de su negocio o domicilio y firma del mismo o de quien reciba el documento.</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Descripción global de los conceptos de los ingresos, deducciones y, en su caso, de los impuestos y retenciones, que le correspondan al integrante de que se trate.</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coordinados deberán expedir el CFDI de retenciones e información de pagos, al cual, se le deberá incorporar el "Complemento de Liquidación", que al efecto publique el SAT en su Portal de Internet. En dicho CFDI además, deberán asentar la información correspondiente al valor de actividades, el IVA que se traslada, el que les hayan trasladado, así como, en su caso, el pagado en la importación.</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 esta regla, quienes opten por pagar el IVA a través de un coordinado o de varios coordinados de autotransporte terrestre de carga federal de los que sean integrantes, manifestarán al RFC en su inscripción o aviso de actualización de actividades económicas y obligaciones, según se trate, que realizarán sus actividades "Como integrantes de un Coordinado que pagará sus impuestos" e informarán por escrito al coordinado del que sean integrantes que ejercerán dicha opción, indicando en el mismo el folio y la fecha del trámite presentado ante la autoridad fiscal.</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 lo establecido en el párrafo anterior, los contribuyentes que se encuentren inscritos en el RFC a la fecha de entrada en vigor de la presente regla, tendrán hasta treinta días siguientes a dicha fecha para presentar su aviso de actualización de actividades económicas y obligaciones en los términos de lo establecido en el artículo 30, fracción V del Reglamento del CFF y en la ficha de trámite 71/CFF "Aviso de actualización de actividades económicas y obligaciones", contenida en el Anexo 1-A de la RMF, asimismo, deberán informar al coordinado del que sean integrantes que ejercen dicha opción.</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coordinados dedicados al autotransporte terrestre de carga federal que cumplan con las obligaciones fiscales por cuenta de sus integrantes, presentarán las declaraciones correspondientes al IVA en forma global por sus operaciones y las de sus integrantes, por las actividades empresariales que se realicen a través del coordinado.</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Información con proveedores del IVA</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1.11.</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 la obligación a que se refiere el artículo 32, fracción VIII de la Ley del IVA, tratándose de coordinados del autotransporte terrestre de carga federal que cumplan con las obligaciones fiscales por cuenta de sus integrantes, presentarán la información en forma global por sus operaciones y las de sus integrantes, por las actividades empresariales que se realicen a través del coordinado.</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Acreditamiento de estímulos fiscales</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1.12.</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personas físicas y morales dedicados exclusivamente al autotransporte terrestre de carga federal, que tributen en los términos del Título II, Capítulo VII o Título IV, Capítulo II, Sección I, de la Ley del ISR, según sea el caso, podrán efectuar el acreditamiento del estímulo fiscal que les corresponda conforme a lo dispuesto en el artículo 16, apartado A, fracción IV, tercer párrafo de la LIF, contra el ISR propio causado en el mismo ejercicio en que se importe o adquiera el combustible; contra los pagos provisionales a que se refiere la regla 2.2., fracción IV; contra el ISR anual a que se refiere la fracción III de la propia regla 1.2. de la presente Resolución, o contra las retenciones del ISR efectuadas a terceros en el mismo ejercicio.</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a que se refiere el párrafo anterior, que obtengan en el ejercicio fiscal ingresos totales anuales para los efectos del ISR menores a 300 millones de pesos, conforme a lo dispuesto en el artículo 16, apartado A, fracción V, segundo párrafo de la LIF, podrán efectuar el acreditamiento del estímulo fiscal a que se refiere dicha disposición, contra el ISR propio causado en el mismo ejercicio en que se realicen los gastos por el uso de la infraestructura carretera de cuota; contra los pagos provisionales a que se refiere la regla 1.2., fracción IV, o contra el ISR anual a que se refiere la fracción III de la propia regla 1.2. de la presente Resolución.</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a que se refiere esta regla podrán optar por aplicar el acreditamiento de los estímulos mencionados contra los pagos provisionales del ISR del ejercicio, calculados conforme a lo dispuesto por la Ley de la materia, siempre que los pagos provisionales que acrediten en la declaración del ejercicio no consideren los montos de los estímulos fiscales mencionados que hayan acreditado en dichos pagos provisionales.</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acreditamiento de los estímulos mencionados se podrá aplicar contra los pagos provisionales a cuenta del ISR anual a que se refiere la fracción III de la regla 1.2. de esta Resolución, calculados conforme a lo dispuesto en la fracción IV de la misma disposición, siempre que los pagos provisionales que acrediten en la declaración del citado ISR anual no consideren los montos de los estímulos fiscales mencionados que hayan acreditado contra dichos pagos provisionales.</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Los contribuyentes considerarán como ingresos acumulables para los efectos del ISR los estímulos a que hace referencia la presente regla en el momento en que efectivamente los acrediten.</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del artículo 16, apartado A, fracción V, primer párrafo de la LIF, cuando los ingresos totales anuales obtenidos por los contribuyentes a que se refiere el segundo párrafo de la presente regla excedan en cualquier momento del ejercicio de 300 millones de pesos, dejarán de aplicar desde el inicio del ejercicio el acreditamiento del estímulo fiscal a que se refiere el artículo 16, apartado A, fracción V, primer párrafo de la LIF, por lo cual, deberán presentar declaraciones complementarias de los meses anteriores y en su caso, enterar la diferencia del impuesto no cubierta con su respectiva actualización y recargos correspondientes. El impuesto que resulte se actualizará por el periodo comprendido desde el mes en el que se presentó la declaración en la que se aplicó el estímulo fiscal hasta el mes en el que se efectúe el pago correspondiente, de conformidad con el artículo 17-A del CFF, además, el contribuyente deberá cubrir los recargos por el mismo periodo de conformidad con el artículo 21 del Código citado.</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que inicien actividades podrán aplicar lo dispuesto en el tercer párrafo de esta regla respecto del estímulo fiscal a que se refiere el artículo 16, apartado A, fracción V, primer párrafo de la LIF, cuando estimen que sus ingresos totales anuales del ejercicio no excederán el monto establecido en la citada disposición. Cuando en el ejercicio inicial realicen operaciones por un periodo menor a doce meses, para determinar el monto citado, dividirán los ingresos obtenidos entre el número de días que comprenda el periodo y el resultado se multiplicará por 365 días. Si la</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cantidad obtenida excede del monto referido la facilidad a que se refiere esta regla se dejará de aplicar </w:t>
      </w:r>
      <w:r>
        <w:rPr>
          <w:rFonts w:hint="default" w:ascii="Verdana Regular" w:hAnsi="Verdana Regular" w:eastAsia="SimSun" w:cs="Verdana Regular"/>
          <w:i w:val="0"/>
          <w:caps w:val="0"/>
          <w:color w:val="000000"/>
          <w:spacing w:val="0"/>
          <w:kern w:val="0"/>
          <w:sz w:val="20"/>
          <w:szCs w:val="20"/>
          <w:shd w:val="clear" w:fill="FFFFFF"/>
          <w:lang w:val="en-US" w:eastAsia="zh-CN" w:bidi="ar"/>
        </w:rPr>
        <w:t>desde el inicio del ejercicio y se estará a lo dispuesto en el quinto párrafo de la misma.</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Aviso de aplicación del estímulo fiscal</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1.13.</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del artículo 25 del CFF y la regla 1.12. de esta Resolución, los contribuyentes que apliquen el estímulo a que se refiere el artículo 16, apartado A, fracción IV de la LIF, únicamente deberán presentar el aviso a que se refiere el citado artículo 25, cuando apliquen por primera vez dicho estímulo en la declaración de pago provisional, definitiva o en la declaración anual, según se trate, dentro de los quince días siguientes a la presentación de la declaración en la que se aplique el estímulo, de conformidad con la ficha de trámite 3/LIF "Aviso que presentan los contribuyentes manifestando la aplicación de un estímulo fiscal que se otorga a los que adquieran o importen diésel o biodiésel y sus mezclas para su consumo final y que sea para uso automotriz en vehículos que se destinen exclusivamente al transporte público y privado de personas o de carga", contenida en el Anexo 1-A de la RMF.</w:t>
      </w:r>
    </w:p>
    <w:p>
      <w:pPr>
        <w:keepNext w:val="0"/>
        <w:keepLines w:val="0"/>
        <w:widowControl/>
        <w:suppressLineNumbers w:val="0"/>
        <w:shd w:val="clear" w:fill="FFFFFF"/>
        <w:spacing w:after="100"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Título 2. Sector de Autotransporte Terrestre Foráneo de Pasaje y Turismo</w:t>
      </w:r>
    </w:p>
    <w:p>
      <w:pPr>
        <w:keepNext w:val="0"/>
        <w:keepLines w:val="0"/>
        <w:widowControl/>
        <w:suppressLineNumbers w:val="0"/>
        <w:shd w:val="clear" w:fill="FFFFFF"/>
        <w:spacing w:after="100"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Comprobación de erogaciones</w:t>
      </w:r>
    </w:p>
    <w:p>
      <w:pPr>
        <w:keepNext w:val="0"/>
        <w:keepLines w:val="0"/>
        <w:widowControl/>
        <w:suppressLineNumbers w:val="0"/>
        <w:shd w:val="clear" w:fill="FFFFFF"/>
        <w:spacing w:after="100"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2.1.</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 los artículos 72, fracción II, cuarto párrafo y 73 de la Ley del ISR, las personas a que se refieren las fracciones siguientes podrán considerar deducibles las erogaciones realizadas en el ejercicio fiscal, que correspondan al vehículo o vehículos que administren, siempre que cumplan con los requisitos que establecen las disposiciones fiscales para ello:</w:t>
      </w:r>
    </w:p>
    <w:p>
      <w:pPr>
        <w:keepNext w:val="0"/>
        <w:keepLines w:val="0"/>
        <w:widowControl/>
        <w:suppressLineNumbers w:val="0"/>
        <w:shd w:val="clear" w:fill="FFFFFF"/>
        <w:spacing w:after="100"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Personas físicas y morales dedicadas exclusivamente al autotransporte terrestre foráneo de pasaje y turismo que hayan optado por pagar el impuesto individualmente.</w:t>
      </w:r>
    </w:p>
    <w:p>
      <w:pPr>
        <w:keepNext w:val="0"/>
        <w:keepLines w:val="0"/>
        <w:widowControl/>
        <w:suppressLineNumbers w:val="0"/>
        <w:shd w:val="clear" w:fill="FFFFFF"/>
        <w:spacing w:after="100"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Personas físicas dedicadas exclusivamente al autotransporte terrestre foráneo de pasaje y turismo que hayan optado por pagar el impuesto por conducto de los coordinados de las que son integrantes.</w:t>
      </w:r>
    </w:p>
    <w:p>
      <w:pPr>
        <w:keepNext w:val="0"/>
        <w:keepLines w:val="0"/>
        <w:widowControl/>
        <w:suppressLineNumbers w:val="0"/>
        <w:shd w:val="clear" w:fill="FFFFFF"/>
        <w:spacing w:after="100"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Personas morales dedicadas exclusivamente al autotransporte terrestre foráneo de pasaje y turismo que cumplan sus obligaciones fiscales a través de coordinados.</w:t>
      </w:r>
    </w:p>
    <w:p>
      <w:pPr>
        <w:keepNext w:val="0"/>
        <w:keepLines w:val="0"/>
        <w:widowControl/>
        <w:suppressLineNumbers w:val="0"/>
        <w:shd w:val="clear" w:fill="FFFFFF"/>
        <w:spacing w:after="100"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 anterior es aplicable incluso cuando el comprobante fiscal de los mismos se encuentre a nombre del coordinado, de acuerdo a la opción elegida por el contribuyente para dar cumplimiento a sus obligaciones fiscales.</w:t>
      </w:r>
    </w:p>
    <w:p>
      <w:pPr>
        <w:keepNext w:val="0"/>
        <w:keepLines w:val="0"/>
        <w:widowControl/>
        <w:suppressLineNumbers w:val="0"/>
        <w:shd w:val="clear" w:fill="FFFFFF"/>
        <w:spacing w:after="100"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Retención del ISR a operadores, cobradores, mecánicos y maestros</w:t>
      </w:r>
    </w:p>
    <w:p>
      <w:pPr>
        <w:keepNext w:val="0"/>
        <w:keepLines w:val="0"/>
        <w:widowControl/>
        <w:suppressLineNumbers w:val="0"/>
        <w:shd w:val="clear" w:fill="FFFFFF"/>
        <w:spacing w:after="100"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2.2.</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personas físicas y morales dedicados exclusivamente al autotransporte terrestre foráneo de pasaje y turismo, que tributen en los términos del Título II, Capítulo VII o Título IV, Capítulo II, Sección I, de la Ley del ISR, según sea el caso, para los efectos del cumplimiento de las obligaciones fiscales en materia de retenciones del ISR por los pagos efectuados a sus trabajadores, en lugar de aplicar las disposiciones correspondientes al pago de salarios, podrán enterar el 7.5 por ciento por concepto de retenciones del ISR, correspondiente a los pagos efectivamente realizados a operadores, cobradores, mecánicos y maestros, tomando como referencia el salario base de cotización que sirva para el cálculo de las aportaciones de dichos trabajadores al IMSS, conforme a la normatividad aplicable, en cuyo caso, deberán elaborar y entregar a más tardar el 15 de febrero de 2023, una relación individualizada de dicho personal que indique el monto de las cantidades que les son pagadas en el periodo de que se trate, en los términos en que se elabora para los efectos de las aportaciones que realicen al IMSS, de conformidad con la ficha de trámite 94/ISR "Aviso que presentan los contribuyentes dedicados a la actividad de autotransporte terrestre foráneo de pasaje y turismo que ejercen la opción de enterar el 7.5 por ciento por concepto de retenciones de ISR", contenida en el Anexo 1-A de la RMF, además de emitir el CFDI y su complemento por concepto de nómina correspondiente.</w:t>
      </w:r>
    </w:p>
    <w:p>
      <w:pPr>
        <w:keepNext w:val="0"/>
        <w:keepLines w:val="0"/>
        <w:widowControl/>
        <w:suppressLineNumbers w:val="0"/>
        <w:shd w:val="clear" w:fill="FFFFFF"/>
        <w:spacing w:after="100"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Tratándose de pagos realizados a los trabajadores distintos de los señalados en esta regla, se estará a lo dispuesto en la Ley del ISR.</w:t>
      </w:r>
    </w:p>
    <w:p>
      <w:pPr>
        <w:keepNext w:val="0"/>
        <w:keepLines w:val="0"/>
        <w:widowControl/>
        <w:suppressLineNumbers w:val="0"/>
        <w:shd w:val="clear" w:fill="FFFFFF"/>
        <w:spacing w:after="100"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 dispuesto en esta regla, será aplicable a las personas físicas, morales o coordinados, dedicados exclusivamente al autotransporte terrestre foráneo de pasaje y turismo, siempre que no presten preponderantemente sus servicios a otra persona moral residente en el país o en el extranjero, que se considere parte relacionada en los términos de la Ley del ISR.</w:t>
      </w:r>
    </w:p>
    <w:p>
      <w:pPr>
        <w:keepNext w:val="0"/>
        <w:keepLines w:val="0"/>
        <w:widowControl/>
        <w:suppressLineNumbers w:val="0"/>
        <w:shd w:val="clear" w:fill="FFFFFF"/>
        <w:spacing w:after="100"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Facilidades de comprobación</w:t>
      </w:r>
    </w:p>
    <w:p>
      <w:pPr>
        <w:keepNext w:val="0"/>
        <w:keepLines w:val="0"/>
        <w:widowControl/>
        <w:suppressLineNumbers w:val="0"/>
        <w:shd w:val="clear" w:fill="FFFFFF"/>
        <w:spacing w:after="100"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2.3.</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000000"/>
          <w:spacing w:val="0"/>
          <w:kern w:val="0"/>
          <w:sz w:val="20"/>
          <w:szCs w:val="20"/>
          <w:shd w:val="clear" w:fill="FFFFFF"/>
          <w:lang w:val="en-US" w:eastAsia="zh-CN" w:bidi="ar"/>
        </w:rPr>
        <w:t>Para los efectos de la Ley del ISR, los contribuyentes personas físicas y morales, </w:t>
      </w:r>
      <w:r>
        <w:rPr>
          <w:rFonts w:hint="default" w:ascii="Verdana Regular" w:hAnsi="Verdana Regular" w:eastAsia="SimSun" w:cs="Verdana Regular"/>
          <w:i w:val="0"/>
          <w:caps w:val="0"/>
          <w:color w:val="2F2F2F"/>
          <w:spacing w:val="0"/>
          <w:kern w:val="0"/>
          <w:sz w:val="20"/>
          <w:szCs w:val="20"/>
          <w:shd w:val="clear" w:fill="FFFFFF"/>
          <w:lang w:val="en-US" w:eastAsia="zh-CN" w:bidi="ar"/>
        </w:rPr>
        <w:t>dedicados exclusivamente al autotransporte terrestre foráneo de pasaje y turismo, que tributen en los términos del Título II, Capítulo VII o Título IV</w:t>
      </w:r>
      <w:r>
        <w:rPr>
          <w:rFonts w:hint="default" w:ascii="Verdana Regular" w:hAnsi="Verdana Regular" w:eastAsia="SimSun" w:cs="Verdana Regular"/>
          <w:i w:val="0"/>
          <w:caps w:val="0"/>
          <w:color w:val="000000"/>
          <w:spacing w:val="0"/>
          <w:kern w:val="0"/>
          <w:sz w:val="20"/>
          <w:szCs w:val="20"/>
          <w:shd w:val="clear" w:fill="FFFFFF"/>
          <w:lang w:val="en-US" w:eastAsia="zh-CN" w:bidi="ar"/>
        </w:rPr>
        <w:t>, Capítulo II, Sección I de la Ley del ISR, podrán deducir hasta el equivalente a un 8 por ciento de los ingresos propios de su actividad, sin exceder de $1,000,000.00 (un millón de pesos 00/100 M.N.) durante el ejercicio, sin documentación que reúna requisitos fiscales, siempre que:</w:t>
      </w:r>
    </w:p>
    <w:p>
      <w:pPr>
        <w:keepNext w:val="0"/>
        <w:keepLines w:val="0"/>
        <w:widowControl/>
        <w:suppressLineNumbers w:val="0"/>
        <w:shd w:val="clear" w:fill="FFFFFF"/>
        <w:spacing w:after="100"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gasto haya sido efectivamente realizado en el ejercicio fiscal de que se trate y esté vinculado con la actividad.</w:t>
      </w:r>
    </w:p>
    <w:p>
      <w:pPr>
        <w:keepNext w:val="0"/>
        <w:keepLines w:val="0"/>
        <w:widowControl/>
        <w:suppressLineNumbers w:val="0"/>
        <w:shd w:val="clear" w:fill="FFFFFF"/>
        <w:spacing w:after="100"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erogación por la cual se aplique la facilidad se encuentre registrada en su contabilidad por concepto y en forma acumulativa durante el ejercicio fiscal.</w:t>
      </w:r>
    </w:p>
    <w:p>
      <w:pPr>
        <w:keepNext w:val="0"/>
        <w:keepLines w:val="0"/>
        <w:widowControl/>
        <w:suppressLineNumbers w:val="0"/>
        <w:shd w:val="clear" w:fill="FFFFFF"/>
        <w:spacing w:after="100"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Efectúe el pago por concepto del ISR anual sobre el monto que haya sido deducido por este concepto a la tasa del 16 por ciento. El impuesto anual pagado sobre dicho monto se considerará como definitivo y no será acreditable, ni deducible para efectos fiscales. En el caso de los coordinados o personas morales que tributen por cuenta de sus integrantes, efectuarán por cuenta de los mismos el entero de dicho impuesto.</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que opten por la deducción a que se refiere esta regla deberán efectuar pagos provisionales a cuenta del impuesto anual a que se refiere la fracción anterior, los que se determinarán considerando la deducción realizada en el periodo de pago acumulado del ejercicio fiscal de que se trate, aplicando la tasa del 16 por ciento, pudiendo acreditar los pagos provisionales del mismo ejercicio fiscal realizados con anterioridad por el mismo concepto. Estos pagos provisionales se enterarán a través de las declaraciones del ISR personas físicas, actividad empresarial y profesional o ISR personas morales, régimen de los coordinados, impuesto propio, respectivamente o de sus integrantes, a más tardar el día 17 del mes siguiente a aquél por el que se efectúe la deducción, o aquél que corresponda de conformidad con el artículo 5.1. del Decreto que compila diversos beneficios fiscales y establece medidas de simplificación administrativa, publicado en el Diario Oficial de la Federación el 26 de diciembre de 2013.</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la presente Resolución.</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a que se refiere el primer párrafo de esta regla deberán informar en la declaración anual del ISR, el monto de la deducción correspondiente, en el campo "Facilidades administrativas y estímulos deducibles" en la opción "Deducción equivalente hasta 8% de ingresos propios sin documentación que reúna requisitos fiscales para contribuyentes dedicados exclusivamente al autotransporte".</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 dispuesto en esta regla no será aplicable a los gastos que realicen los contribuyentes por concepto de adquisición de combustibles para realizar su actividad.</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Concepto de coordinado</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2.4.</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 lo dispuesto en los artículos 72 y 73 de la Ley del ISR, los contribuyentes dedicados a la actividad de autotransporte terrestre de pasaje y turismo, considerarán como coordinado a toda persona moral dedicada exclusivamente al servicio de autotransporte terrestre de pasaje y turismo, que agrupa y se integra con otras personas físicas y personas morales similares y complementarias, constituidas para proporcionar servicios requeridos por la actividad común de autotransporte de pasaje y turismo. Estos elementos integran una unidad económica con intereses comunes y participan en forma conjunta y en diversas proporciones no identificables, con los propósitos siguientes:</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Coordinar y convenir los servicios que se presten en forma conjunta, incluyendo las empresas que presten servicios o posean inmuebles, dedicados a la actividad del autotransporte terrestre de pasaje y turismo. Tratándose de centrales camioneras o terminales de autobuses que no sean integrantes de algún coordinado, podrán tributar en el Título II, Capítulo VII de la Ley del ISR, siempre que se encuentren integradas por empresas dedicadas al autotransporte terrestre de pasaje y turismo y presten sus servicios preponderantemente a empresas de autotransporte terrestre de pasaje y turismo y que dichas centrales camioneras o terminales de autobuses no apliquen las facilidades contenidas en las reglas 2.2., 2.3. y 2.12. de la presente Resolución.</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Administrar los fondos que les fueron autorizados en los términos de la Resolución de Facilidades Administrativas en el Régimen Simplificado vigente hasta el 31 de diciembre de 2001.</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Cumplir con las obligaciones en materia fiscal por cuenta de cada uno de sus integrantes en forma global.</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Contar con un manual de políticas para la aplicación de los gastos comunes y su prorrateo a cada uno de sus integrantes, el cual deberán tener a disposición de las autoridades fiscales cuando se lo soliciten.</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Responsabilidad solidaria de los coordinados</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2.5.</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coordinados que opten por aplicar las facilidades a que se refieren las reglas 2.1., 2.2., 2.3. y 3.4. de la presente Resolución, en el caso de que sus integrantes opten por tributar en lo individual, serán responsables solidarios únicamente por los ingresos, deducciones, impuestos y retenciones, que hayan consignado en la liquidación emitida al integrante de que se trate, debiendo entregar a la autoridad fiscal anualmente la información de los ingresos, deducciones, impuestos y retenciones, que hayan consignado en la citada liquidación por cada uno de sus integrantes que opten por tributar en lo individual.</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Servicios de paquetería</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2.6.</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del artículo 29 del CFF, los contribuyentes personas físicas y morales, así como los coordinados, dedicados exclusivamente al autotransporte terrestre foráneo de pasaje y turismo, que tributen en los términos del Título II, Capítulo VII o Título IV, Capítulo II, Sección I de la Ley del ISR, que presten el servicio de paquetería, podrán abstenerse de acompañar a las mercancías en transporte, el pedimento de importación, la nota de remisión o de envío, siempre que se cumpla con la obligación de acompañar la guía de envío respectiva y emitan el CFDI con complemento Carta Porte en los casos en que proceda conforme a la legislación aplicable.</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Guías de envío sin orden cronológico</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2.7.</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personas físicas y morales dedicados exclusivamente al autotransporte terrestre foráneo de pasaje y turismo, que tributen en los términos del Título II, Capítulo VII o Título IV, Capítulo II, Sección I de la Ley del ISR, podrán utilizar una numeración consecutiva en las guías de envío que expidan sus áreas de envío simultáneamente en todas sus sucursales, sin que tengan la obligación de que la numeración sea utilizada en estricto orden cronológico, siempre y cuando se lleve un control por fecha de entrega y número de las guías de envío entregadas a cada una de las sucursales, que permita determinar el ingreso de cada una de ellas, así como la numeración de las guías de envío pendientes de utilizar.</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En las guías de envío que sean expedidas por las sucursales de los contribuyentes a que se refiere esta regla, éstos podrán abstenerse de utilizar series por cada sucursal, así como de anotar el domicilio del establecimiento que la expide, debiendo anotar, en este último caso, el domicilio fiscal de la casa matriz.</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Domicilio fiscal consignado en los comprobantes o boletos</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2.8.</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efectos de lo dispuesto en el artículo 29-A, fracción I del CFF, los contribuyentes personas físicas y morales dedicados exclusivamente al autotransporte terrestre foráneo de pasaje y turismo, que tributen en los términos del Título II, Capítulo VII o Título IV, Capítulo II, Sección I de la Ley del ISR, podrán anotar en los CFDI o en los boletos que expidan como domicilio fiscal el que corresponda a la casa matriz, en lugar de señalar el domicilio fiscal del local o establecimiento en donde se expiden dichos comprobantes.</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Enajenación de acciones emitidas por empresas dedicadas al autotransporte terrestre</w:t>
      </w:r>
      <w:r>
        <w:rPr>
          <w:rFonts w:hint="default" w:ascii="Verdana Regular" w:hAnsi="Verdana Regular" w:eastAsia="SimSun" w:cs="Verdana Regular"/>
          <w:i w:val="0"/>
          <w:caps w:val="0"/>
          <w:color w:val="2F2F2F"/>
          <w:spacing w:val="0"/>
          <w:kern w:val="0"/>
          <w:sz w:val="20"/>
          <w:szCs w:val="20"/>
          <w:shd w:val="clear" w:fill="FFFFFF"/>
          <w:lang w:val="en-US" w:eastAsia="zh-CN" w:bidi="ar"/>
        </w:rPr>
        <w:br w:type="textWrapping"/>
      </w:r>
      <w:r>
        <w:rPr>
          <w:rFonts w:hint="default" w:ascii="Verdana Regular" w:hAnsi="Verdana Regular" w:eastAsia="SimSun" w:cs="Verdana Regular"/>
          <w:b/>
          <w:i w:val="0"/>
          <w:caps w:val="0"/>
          <w:color w:val="000000"/>
          <w:spacing w:val="0"/>
          <w:kern w:val="0"/>
          <w:sz w:val="20"/>
          <w:szCs w:val="20"/>
          <w:shd w:val="clear" w:fill="FFFFFF"/>
          <w:lang w:val="en-US" w:eastAsia="zh-CN" w:bidi="ar"/>
        </w:rPr>
        <w:t>foráneo de pasaje y turismo</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2.9.</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el caso de enajenación de acciones emitidas específicamente por personas morales dedicadas exclusivamente a la actividad de autotransporte terrestre foráneo de pasaje y turismo que tributen en los términos del Título II, Capítulo VII de la Ley del ISR, que sean enajenadas por personas dedicadas a la actividad de autotransporte terrestre foráneo de pasaje y turismo, se releva al adquirente de las mismas de la obligación de efectuar la retención del 20 por ciento a que se refiere el artículo 126, cuarto párrafo de la Ley del ISR, siempre que el enajenante de las acciones acumule a sus ingresos propios de la actividad de autotransporte terrestre de pasaje y turismo, la utilidad que se determine por dicha enajenación en los términos de los artículos 22, 23, 72, cuarto párrafo y 126 de la citada Ley.</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del párrafo anterior, el integrante del coordinado que enajene las acciones o, en su caso, el coordinado a través del cual este cumpla con sus obligaciones fiscales, deberá presentar un dictamen de enajenación de acciones por contador público inscrito, conforme a lo establecido en la regla 2.10.1. de la RMF.</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Adquisición de diésel, biodiesel y sus mezclas</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2.10.</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 lo dispuesto en el artículo 16, apartado A, fracción IV de la LIF, se considera que los contribuyentes dedicados a la actividad de autotransporte terrestre foráneo de pasaje y turismo podrán aplicar el estímulo fiscal a que se refiere dicha fracción cuando el diésel o biodiésel y sus mezclas, sean adquiridos en las estaciones de servicio de autoconsumo de los citados contribuyentes, y en el comprobante fiscal conste la información del permiso vigente, expedido en los términos de la Ley de Hidrocarburos al proveedor del combustible y que, en su caso, dicho permiso no se encuentre suspendido, al momento de la expedición del comprobante fiscal.</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Aviso de opción para tributar a través de un coordinado</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2.11.</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del artículo 72, fracción II, cuarto párrafo de la Ley del ISR, quienes opten por pagar el ISR a través de un coordinado o de varios coordinados de autotransporte terrestre foráneo de pasaje y turismo de los que sean integrantes, deberán presentar además del aviso de opción, el de actualización de actividades económicas y obligaciones ante las autoridades fiscales e informar por escrito al coordinado del que sean integrantes, que ejercerán dicha opción y que presentaron el aviso de actualización ante el RFC, a más tardar dentro de los treinta días siguientes a la entrada en vigor de la presente Resolución, en los términos de lo establecido en el artículo 30, fracción V del Reglamento del CFF y en la ficha de trámite 71/CFF "Aviso de actualización de actividades económicas y obligaciones", contenida en el Anexo 1-A de la RMF. Los contribuyentes que por ejercicios anteriores hubieran presentado su aviso de opción para tributar a través de un coordinado y de actualización de actividades económicas y obligaciones, a que se refiere esta regla, no deberán presentar el aviso correspondiente hasta en tanto no se modifiquen sus actividades,</w:t>
      </w:r>
      <w:r>
        <w:rPr>
          <w:rFonts w:hint="default" w:ascii="Verdana Regular" w:hAnsi="Verdana Regular" w:eastAsia="SimSun" w:cs="Verdana Regular"/>
          <w:i w:val="0"/>
          <w:caps w:val="0"/>
          <w:color w:val="000000"/>
          <w:spacing w:val="0"/>
          <w:kern w:val="0"/>
          <w:sz w:val="20"/>
          <w:szCs w:val="20"/>
          <w:shd w:val="clear" w:fill="FFFFFF"/>
          <w:lang w:val="en-US" w:eastAsia="zh-CN" w:bidi="ar"/>
        </w:rPr>
        <w:t> no cambien la opción elegida, o no tengan derecho a cambiarla en los términos de la propia Ley del ISR</w:t>
      </w:r>
      <w:r>
        <w:rPr>
          <w:rFonts w:hint="default" w:ascii="Verdana Regular" w:hAnsi="Verdana Regular" w:eastAsia="SimSun" w:cs="Verdana Regular"/>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Adquisición de combustibles</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2.12.</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personas físicas y morales, así como los coordinados, dedicados exclusivamente al autotransporte terrestre foráneo de pasaje y turismo, que tributen en los términos del Título II, Capítulo VII o Título IV, Capítulo II, Sección I de la Ley del ISR, según sea el caso, considerarán cumplida la obligación a que se refiere el segundo párrafo del artículo 27, fracción III de la Ley del ISR, cuando los pagos por consumos de combustible se realicen con medios distintos a cheque nominativo de la cuenta del contribuyente; tarjeta de crédito, de débito o de servicios, o monederos electrónicos autorizados por el SAT, siempre que éstos no excedan del 15 por ciento del total de los pagos efectuados por consumo de combustible para realizar su actividad, y en el comprobante fiscal conste la información del permiso vigente, expedido en los términos de la Ley de Hidrocarburos al proveedor del combustible y que, en su caso, dicho permiso no se encuentre suspendido, al momento de la expedición del comprobante fiscal.</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Impuesto al valor agregado</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2.13.</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del artículo 72 de la Ley del ISR, los coordinados que cumplan con sus obligaciones en los términos del Título II, Capítulo VII de la citada Ley, podrán cumplir con las obligaciones fiscales en materia del IVA por cuenta de cada uno de sus integrantes, aplicando al efecto lo dispuesto en la Ley del IVA.</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Asimismo, deberán emitir la liquidación a sus integrantes a través de un CFDI de retenciones e información de pagos, con los siguientes requisitos:</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Denominación o razón social, domicilio fiscal y clave en el RFC, de la persona moral, así como el número de folio consecutivo.</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Lugar y fecha de expedición.</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Nombre del integrante al que se le expida, su clave en el RFC o, en su caso, la CURP, ubicación de su negocio o domicilio y firma del mismo o de quien reciba el documento.</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Descripción global de los conceptos de los ingresos, deducciones y, en su caso, de los impuestos y retenciones, que le correspondan al integrante de que se trate.</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coordinados deberán expedir el CFDI de retenciones e información de pagos, al cual se le deberá incorporar el "Complemento de Liquidación", que al efecto publique el SAT en su Portal de Internet. En dicho CFDI además, deberán asentar la información correspondiente al valor de actividades, el IVA que se traslada, el que les hayan trasladado, así como, en su caso, el pagado en la importación.</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 esta regla, quienes opten por pagar el IVA a través de un coordinado o de varios coordinados de autotransporte terrestre foráneo de pasaje y turismo, de los que sean integrantes, manifestarán al RFC en su inscripción o aviso de actualización de actividades económicas y obligaciones, según se trate, que realizarán sus actividades "Como integrantes de un Coordinado que pagará sus impuestos" e informarán por escrito al coordinado del que sean integrantes que ejercerán dicha opción, indicando en el mismo, el folio y la fecha del trámite presentado ante la autoridad fiscal.</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 lo establecido en el párrafo anterior, los contribuyentes que se encuentren inscritos en el RFC a la fecha de entrada en vigor de la presente regla, tendrán hasta treinta días siguientes a dicha fecha para presentar su aviso de actualización de actividades económicas y obligaciones, en los términos de lo establecido en el artículo 30, fracción V del Reglamento del CFF y en la ficha de trámite 71/CFF "Aviso de actualización de actividades económicas y obligaciones", contenida en el Anexo 1-A de la RMF, asimismo, deberán informar al coordinado del que sean integrantes que ejercen dicha opción.</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coordinados dedicados al autotransporte terrestre foráneo de pasaje y turismo que cumplan con las obligaciones fiscales por cuenta de sus integrantes, presentarán las declaraciones correspondientes al IVA en forma global por sus operaciones y las de sus integrantes, por las actividades empresariales que se realicen a través del coordinado.</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Información con proveedores del IVA</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2.14.</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 la obligación a que se refiere el artículo 32, fracción VIII de la Ley del IVA, tratándose de coordinados de autotransporte terrestre foráneo de pasaje y turismo que cumplan con las obligaciones fiscales por cuenta de sus integrantes, presentarán la información en forma global por sus operaciones y las de sus integrantes, por las actividades empresariales que se realicen a través del coordinado.</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Acreditamiento de estímulos fiscales</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2.15.</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personas físicas y morales dedicados exclusivamente al autotransporte terrestre foráneo de pasaje y turismo, que tributen en los términos del Título II, Capítulo VII o Título IV, Capítulo II, Sección I, de la Ley del ISR, según sea el caso, podrán efectuar el acreditamiento del estímulo fiscal que les corresponda conforme a lo dispuesto en el artículo 16, apartado A, fracción IV, tercer párrafo de la LIF, contra el ISR propio causado en el ejercicio en que se importe o adquiera el combustible; contra los pagos provisionales a que se refiere la regla 2.3., fracción IV; contra el ISR anual a que se refiere la fracción III de la propia regla 2.3. de la presente Resolución, o contra las retenciones del ISR efectuadas a terceros en el mismo ejercicio.</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a que se refiere el párrafo anterior, que obtengan en el ejercicio fiscal ingresos totales anuales para efectos del ISR menores a 300 millones de pesos, conforme a lo dispuesto en el artículo 16, apartado A, fracción V, segundo párrafo de la LIF, podrán efectuar el acreditamiento del estímulo fiscal a que se refiere dicha disposición, contra el ISR propio causado en el mismo ejercicio en que se realicen los gastos por el uso de la infraestructura carretera de cuota; contra los pagos provisionales a que se refiere la regla 2.3., fracción IV, o contra el ISR anual a que se refiere la fracción III de la propia regla 2.3. de la presente Resolución.</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a que se refiere esta regla podrán optar por aplicar el acreditamiento de los estímulos mencionados contra los pagos provisionales del ISR del ejercicio, calculados conforme a lo dispuesto por la Ley de la materia, siempre que los pagos provisionales que acrediten en la declaración del ejercicio no consideren los montos de los estímulos fiscales mencionados que hayan acreditado en dichos pagos provisionales.</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acreditamiento de los estímulos mencionados se podrá aplicar contra los pagos provisionales a cuenta del ISR anual a que se refiere la fracción III de la regla 2.3. de esta Resolución, calculados conforme a lo dispuesto en la fracción IV de la misma disposición, siempre que los pagos provisionales que acrediten en la declaración del citado ISR anual no consideren los montos de los estímulos fiscales mencionados que hayan acreditado contra dichos pagos provisionales.</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considerarán como ingresos acumulables para los efectos del ISR los estímulos a que hace referencia la presente regla en el momento en que efectivamente los acrediten.</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del artículo 16, apartado A, fracción V, primer párrafo de la LIF, cuando los ingresos totales anuales obtenidos por los contribuyentes a que se refiere el segundo párrafo de la presente regla excedan en cualquier momento del ejercicio de 300 millones de pesos, dejarán de aplicar desde el inicio del ejercicio el acreditamiento del estímulo fiscal a que se refiere el artículo 16, apartado A, fracción V, primer párrafo de la LIF, por lo cual, deberán presentar declaraciones complementarias de los meses anteriores y en su caso, enterar la diferencia del impuesto no cubierta con su respectiva actualización y recargos correspondientes. El impuesto que resulte se actualizará por el periodo comprendido desde el mes en el que se presentó la declaración en la que se aplicó el estímulo fiscal hasta el mes en el que se efectúe el pago correspondiente, de conformidad con el artículo 17-A del CFF, además, el contribuyente deberá cubrir los recargos por el mismo periodo de conformidad con el artículo 21 del Código citado.</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que inicien actividades podrán aplicar lo dispuesto en el tercer párrafo de esta regla respecto del estímulo fiscal a que se refiere el artículo 16, apartado A, fracción V, primer párrafo de la LIF, cuando estimen que sus ingresos totales anuales del ejercicio no excederán el monto establecido en la citada disposición. Cuando en el ejercicio inicial realicen operaciones por un periodo menor a doce meses, para determinar el monto citado, dividirán los ingresos obtenidos</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entre el número de días que comprenda el periodo y el resultado se multiplicará por 365 días. Si la cantidad obtenida excede del monto referido, la facilidad a que se refiere esta regla se dejará de aplicar desde el inicio del ejercicio y se estará a lo dispuesto en el quinto párrafo de la misma.</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Aviso de aplicación del estímulo fiscal</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2.16.</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del artículo 25 del CFF y la regla 2.15. de esta Resolución, los contribuyentes que apliquen el estímulo a que se refiere el artículo 16, apartado A, fracción IV de la LIF, únicamente deberán presentar el aviso a que se refiere el citado artículo 25, cuando apliquen por primera vez dicho estímulo en la declaración de pago provisional, definitiva o en la declaración anual, según se trate, dentro de los quince días siguientes a la presentación de la declaración en la que se aplique el estímulo, de conformidad con la ficha de trámite 3/LIF "Aviso que presentan los contribuyentes manifestando la aplicación de un estímulo fiscal que se otorga a los que adquieran o importen diésel o biodiésel y sus mezclas para su consumo final y que sea para uso automotriz en vehículos que se destinen exclusivamente al transporte público y privado de personas o de carga", contenida en el Anexo 1-A de la RMF.</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Título 3. Sector de Autotransporte Terrestre de Carga de Materiales y Autotransporte</w:t>
      </w:r>
      <w:r>
        <w:rPr>
          <w:rFonts w:hint="default" w:ascii="Verdana Regular" w:hAnsi="Verdana Regular" w:eastAsia="SimSun" w:cs="Verdana Regular"/>
          <w:i w:val="0"/>
          <w:caps w:val="0"/>
          <w:color w:val="2F2F2F"/>
          <w:spacing w:val="0"/>
          <w:kern w:val="0"/>
          <w:sz w:val="20"/>
          <w:szCs w:val="20"/>
          <w:shd w:val="clear" w:fill="FFFFFF"/>
          <w:lang w:val="en-US" w:eastAsia="zh-CN" w:bidi="ar"/>
        </w:rPr>
        <w:br w:type="textWrapping"/>
      </w:r>
      <w:r>
        <w:rPr>
          <w:rFonts w:hint="default" w:ascii="Verdana Regular" w:hAnsi="Verdana Regular" w:eastAsia="SimSun" w:cs="Verdana Regular"/>
          <w:b/>
          <w:i w:val="0"/>
          <w:caps w:val="0"/>
          <w:color w:val="000000"/>
          <w:spacing w:val="0"/>
          <w:kern w:val="0"/>
          <w:sz w:val="20"/>
          <w:szCs w:val="20"/>
          <w:shd w:val="clear" w:fill="FFFFFF"/>
          <w:lang w:val="en-US" w:eastAsia="zh-CN" w:bidi="ar"/>
        </w:rPr>
        <w:t>Terrestre de Pasajeros Urbano y Suburbano</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Contribuyentes que prestan servicios locales o servicios públicos de grúas</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3.1.</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dedicados exclusivamente al autotransporte terrestre de carga, que presten servicios locales o servicios públicos de grúas, que tributen en los términos del Título II, Capítulo VII o Título IV, Capítulo II, Sección I de la Ley del ISR, según sea el caso, podrán optar por cumplir con sus obligaciones fiscales conforme a lo establecido en este Título, siempre que los servicios no se proporcionen a integrantes del coordinado.</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Facilidades de comprobación</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3.2.</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 la Ley del ISR, los contribuyentes personas físicas y morales, dedicados exclusivamente al autotransporte terrestre de carga de materiales o autotransporte terrestre de pasajeros urbano y suburbano, que tributen en los términos del Título II, Capítulo VII o Título IV, Capítulo II, Sección I de la Ley del ISR, podrán deducir hasta el equivalente a un 8 por ciento de los ingresos propios de su actividad, sin exceder de $1,000,000.00 (un millón de pesos 00/100 M.N.) durante el ejercicio, sin documentación que reúna requisitos fiscales, siempre que:</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gasto haya sido efectivamente realizado en el ejercicio fiscal de que se trate y esté vinculado con la actividad.</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erogación por la cual se aplique la facilidad se encuentre registrada en su contabilidad por concepto y en forma acumulativa durante el ejercicio fiscal.</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Efectúe el pago por concepto del ISR anual sobre el monto que haya sido deducido por este concepto a la tasa del 16 por ciento. El impuesto anual pagado sobre dicho monto se considerará como definitivo y no será acreditable, ni deducible para efectos fiscales. En el caso de los coordinados o personas morales que tributen por cuenta de sus integrantes, efectuarán por cuenta de los mismos el entero de dicho impuesto.</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que opten por la deducción a que se refiere esta regla deberán efectuar pagos provisionales a cuenta del impuesto anual a que se refiere la fracción anterior, los que se determinarán considerando la deducción realizada en el periodo de pago acumulado del ejercicio fiscal de que se trate, aplicando la tasa del 16 por ciento, pudiendo acreditar los pagos provisionales del mismo ejercicio fiscal realizados con anterioridad por el mismo concepto. Estos pagos provisionales se enterarán a través de las declaraciones del ISR personas físicas, actividad empresarial y profesional o ISR personas morales, régimen de los coordinados, impuesto propio, respectivamente o de sus integrantes, a más tardar el día 17 del mes siguiente a aquél por el que se efectúe la deducción, o aquél que corresponda de conformidad con el artículo 5.1. del Decreto que compila diversos beneficios fiscales y establece medidas de simplificación administrativa, publicado en el Diario Oficial de la Federación el 26 de diciembre de 2013.</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la presente Resolución.</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a que se refiere el primer párrafo de esta regla deberán informar en la declaración anual del ISR, el monto de la deducción correspondiente, en el campo"Facilidades administrativas y estímulos deducibles" en la opción "Deducción equivalente hasta 8% de ingresos propios sin documentación que reúna requisitos fiscales para contribuyentes dedicados exclusivamente al autotransporte".</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 dispuesto en esta regla no será aplicable a los gastos que realicen los contribuyentes por concepto de adquisición de combustibles para realizar su actividad.</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Responsabilidad solidaria de los coordinados</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3.3.</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coordinados que opten por aplicar las facilidades a que se refiere la regla 3.1. de la presente Resolución, en el caso de que sus integrantes opten por tributar en lo individual, serán responsables solidarios únicamente por los ingresos, deducciones, impuestos y retenciones, que hayan consignado en la liquidación emitida al integrante de que se trate, debiendo entregar a la autoridad fiscal anualmente la información de los ingresos, deducciones, impuestos y retenciones, que hayan consignado en la citada liquidación por cada uno de sus integrantes que opten por tributar en lo individual.</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Aviso de opción para tributar a través de un coordinado</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3.4.</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del artículo 72, fracción II, cuarto párrafo de la Ley del ISR, quienes opten por pagar el ISR a través de un coordinado o de varios coordinados de autotransporte terrestre de carga de materiales o de pasajeros urbanos y suburbanos de los que sean integrantes, deberán presentar además del aviso de opción, el de actualización de actividades económicas y obligaciones ante las autoridades fiscales e informar por escrito al coordinado del que sean integrantes, que ejercerán dicha opción y que presentaron el aviso de actualización ante el RFC, a más tardar dentro de los treinta días siguientes a la entrada en vigor de la presente Resolución, en los términos de lo establecido en el artículo 30, fracción V del Reglamento del CFF y en la ficha de trámite 71/CFF "Aviso de actualización de actividades económicas y obligaciones", contenida en el Anexo 1-A de la RMF. Los contribuyentes que por ejercicios anteriores hubieran presentado su aviso de opción para tributar a través de un coordinado y de actualización de actividades económicas y obligaciones, a que se refiere esta regla, no deberán presentar el aviso correspondiente hasta en tanto no se modifiquen sus actividades, no cambien la opción elegida, o no tengan derecho a cambiarla en los términos de la propia Ley del ISR.</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Adquisición de combustibles</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3.5.</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que tributen en los términos del Título II, Capítulo VII o Título IV, Capítulo II, Sección I de la Ley del ISR, según sea el caso, dedicados exclusivamente al autotransporte terrestre de carga de materiales o autotransporte terrestre de pasajeros urbano y suburbano, considerarán cumplida la obligación a que se refiere el artículo 27, fracción III, segundo párrafo de la Ley del ISR, cuando los pagos por consumos de combustible se realicen con medios distintos a cheque nominativo de la cuenta del contribuyente; tarjeta de crédito, de débito o de servicios, o monederos electrónicos autorizados por el SAT, siempre que éstos no excedan del 15 por ciento del total de los pagos efectuados por consumo de combustible para realizar su actividad, y en el comprobante fiscal conste la información del permiso vigente, expedido en los términos de la Ley de Hidrocarburos al proveedor del combustible y que, en su caso, dicho permiso no se encuentre suspendido, al momento de la expedición del comprobante fiscal.</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Impuesto al valor agregado</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3.6.</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del artículo 72 de la Ley del ISR, los coordinados del autotransporte terrestre de carga de materiales que cumplan con sus obligaciones en los términos del Título II, Capítulo VII de la citada Ley, podrán cumplir con las obligaciones fiscales en materia del IVA por cuenta de cada uno de sus integrantes, aplicando al efecto lo dispuesto en la Ley del IVA.</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Asimismo, deberán emitir la liquidación a sus integrantes a través de un CFDI de retenciones e información de pagos, con los siguientes requisitos:</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Denominación o razón social, domicilio fiscal y clave en el RFC, de la persona moral, así como el número de folio consecutivo.</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Lugar y fecha de expedición.</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Nombre del integrante al que se le expida, su clave en el RFC o, en su caso, la CURP, ubicación de su negocio o domicilio y firma del mismo o de quien reciba el documento.</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Descripción global de los conceptos de los ingresos, deducciones y, en su caso, de los impuestos y retenciones, que le correspondan al integrante de que se trate.</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coordinados deberán expedir el CFDI de retenciones e información de pagos, al cual, se le deberá incorporar el "Complemento de Liquidación", que al efecto publique el SAT en su Portal de Internet.</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En dicho CFDI además, deberán asentar la información correspondiente al valor de actividades, el IVA que se traslada, el que les hayan trasladado, así como, en su caso, el pagado en la importación.</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 esta regla, quienes opten por pagar el IVA a través de un coordinado o de varios coordinados, del autotransporte terrestre de carga de materiales, de los que sean integrantes, manifestarán al RFC en su inscripción o aviso de actualización de actividades económicas y obligaciones, según se trate, que realizarán sus actividades "Como integrantes de un coordinado que pagará sus impuestos" e informarán por escrito al coordinado del que sean integrantes que ejercerán dicha opción, indicando en el mismo el folio y la fecha del trámite presentado ante la autoridad fiscal.</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 lo establecido en el párrafo anterior, los contribuyentes que se encuentren inscritos en el RFC a la fecha de entrada en vigor de la presente regla, tendrán hasta treinta días siguientes a dicha fecha para presentar su aviso de actualización de actividades económicas y obligaciones, en los términos de lo establecido en el artículo 30, fracción V del Reglamento del CFF y en la ficha de trámite 71/CFF "Aviso de actualización de actividades económicas y obligaciones", contenida en el Anexo 1-A de la RMF, asimismo, deberán informar al coordinado del que sean integrantes que ejercen dicha opción.</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coordinados dedicados al autotransporte terrestre de carga de materiales que cumplan con las obligaciones fiscales por cuenta de sus integrantes, presentarán las declaraciones correspondientes al IVA en forma global por sus operaciones y las de sus integrantes, por las actividades empresariales que se realicen a través del coordinado.</w:t>
      </w:r>
    </w:p>
    <w:p>
      <w:pPr>
        <w:keepNext w:val="0"/>
        <w:keepLines w:val="0"/>
        <w:widowControl/>
        <w:suppressLineNumbers w:val="0"/>
        <w:shd w:val="clear" w:fill="FFFFFF"/>
        <w:spacing w:after="85"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Información con proveedores del IVA</w:t>
      </w:r>
    </w:p>
    <w:p>
      <w:pPr>
        <w:keepNext w:val="0"/>
        <w:keepLines w:val="0"/>
        <w:widowControl/>
        <w:suppressLineNumbers w:val="0"/>
        <w:shd w:val="clear" w:fill="FFFFFF"/>
        <w:spacing w:after="85"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3.7.</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del artículo 32, fracción VIII de la Ley del IVA, los coordinados del autotransporte terrestre de carga de materiales que cumplan con las obligaciones fiscales por cuenta de sus integrantes, presentarán la información en forma global por sus operaciones y las de sus integrantes, por las actividades empresariales que se realicen a través del coordinado.</w:t>
      </w:r>
    </w:p>
    <w:p>
      <w:pPr>
        <w:keepNext w:val="0"/>
        <w:keepLines w:val="0"/>
        <w:widowControl/>
        <w:suppressLineNumbers w:val="0"/>
        <w:shd w:val="clear" w:fill="FFFFFF"/>
        <w:spacing w:after="85"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Acreditamiento de estímulos fiscales</w:t>
      </w:r>
    </w:p>
    <w:p>
      <w:pPr>
        <w:keepNext w:val="0"/>
        <w:keepLines w:val="0"/>
        <w:widowControl/>
        <w:suppressLineNumbers w:val="0"/>
        <w:shd w:val="clear" w:fill="FFFFFF"/>
        <w:spacing w:after="85"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3.8.</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personas físicas y morales, dedicados exclusivamente al autotransporte terrestre de carga de materiales o autotransporte terrestre de pasajeros urbano y suburbano, que tributen en los términos del Título II, Capítulo VII o Título IV, Capítulo II, Sección I, de la Ley del ISR, según sea el caso, conforme a lo dispuesto en el artículo 16, apartado A, fracción IV, tercer</w:t>
      </w:r>
    </w:p>
    <w:p>
      <w:pPr>
        <w:keepNext w:val="0"/>
        <w:keepLines w:val="0"/>
        <w:widowControl/>
        <w:suppressLineNumbers w:val="0"/>
        <w:shd w:val="clear" w:fill="FFFFFF"/>
        <w:spacing w:after="85"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párrafo de la LIF, podrán efectuar el acreditamiento del estímulo fiscal a que se refiere dicha disposición, contra el ISR propio causado en el mismo ejercicio en que se importe o adquiera el combustible; contra los pagos provisionales a que se refiere la regla 3.2., fracción IV; contra el ISR anual a que se refiere la fracción III de la propia regla 3.2., o contra las retenciones del ISR efectuadas a terceros en el mismo ejercicio.</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mencionados en el párrafo anterior también podrán optar por aplicar el acreditamiento del estímulo mencionado contra los pagos provisionales del ISR del ejercicio a que se refiere el párrafo anterior, calculados conforme a lo dispuesto por la Ley de la materia, siempre que los pagos provisionales que acrediten en la declaración del ejercicio no consideren los montos del estímulo fiscal mencionado que hayan acreditado en dichos pagos provisionales.</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acreditamiento del estímulo mencionado se podrá aplicar contra los pagos provisionales a cuenta del ISR anual a que se refiere la fracción III de la regla 3.2. de esta Resolución, calculados conforme a lo dispuesto en la fracción IV de la misma disposición, siempre que los pagos provisionales que se acrediten en la declaración del citado ISR anual no consideren los montos de los estímulos fiscales mencionados que hayan acreditado contra dichos pagos provisionales.</w:t>
      </w:r>
    </w:p>
    <w:p>
      <w:pPr>
        <w:keepNext w:val="0"/>
        <w:keepLines w:val="0"/>
        <w:widowControl/>
        <w:suppressLineNumbers w:val="0"/>
        <w:shd w:val="clear" w:fill="FFFFFF"/>
        <w:spacing w:after="101" w:afterAutospacing="0"/>
        <w:ind w:left="864"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Los contribuyentes considerarán como ingresos acumulables para los efectos del ISR los estímulos a que hace referencia la presente regla en el momento en que efectivamente los acrediten.</w:t>
      </w:r>
    </w:p>
    <w:p>
      <w:pPr>
        <w:keepNext w:val="0"/>
        <w:keepLines w:val="0"/>
        <w:widowControl/>
        <w:suppressLineNumbers w:val="0"/>
        <w:shd w:val="clear" w:fill="FFFFFF"/>
        <w:spacing w:after="101" w:afterAutospacing="0"/>
        <w:ind w:left="864"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Aviso de aplicación del estímulo fiscal</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3.9.</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los efectos del artículo 25 del CFF y la regla 3.8. de esta Resolución, los contribuyentes que apliquen el estímulo a que se refiere el artículo 16, apartado A, fracción IV de la LIF, únicamente deberán presentar el aviso a que se refiere el citado artículo 25, cuando apliquen por primera vez dicho estímulo en la declaración de pago provisional, definitiva o en la declaración anual, según se trate, dentro de los quince días siguientes a la presentación de la declaración en la que se aplique el estímulo de conformidad con la ficha de trámite 3/LIF "Aviso que presentan los contribuyentes manifestando la aplicación de un estímulo fiscal que se otorga a los que adquieran o importen diésel o biodiésel y sus mezclas para su consumo final y que sea para uso automotriz en vehículos que se destinen exclusivamente al transporte público y privado de personas o de carga", contenida en el Anexo 1-A de la RMF.</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Primero.</w:t>
      </w:r>
      <w:r>
        <w:rPr>
          <w:rFonts w:hint="default" w:ascii="Verdana Regular" w:hAnsi="Verdana Regular" w:eastAsia="SimSun" w:cs="Verdana Regular"/>
          <w:i w:val="0"/>
          <w:caps w:val="0"/>
          <w:color w:val="000000"/>
          <w:spacing w:val="0"/>
          <w:kern w:val="0"/>
          <w:sz w:val="20"/>
          <w:szCs w:val="20"/>
          <w:shd w:val="clear" w:fill="FFFFFF"/>
          <w:lang w:val="en-US" w:eastAsia="zh-CN" w:bidi="ar"/>
        </w:rPr>
        <w:t> La presente Resolución entrará en vigor el día siguiente al de su publicación en el Diario Oficial de la Federación, y estará vigente hasta el 31 de diciembre de 2022. No obstante</w:t>
      </w:r>
      <w:r>
        <w:rPr>
          <w:rFonts w:hint="default" w:ascii="Verdana Regular" w:hAnsi="Verdana Regular" w:eastAsia="SimSun" w:cs="Verdana Regular"/>
          <w:i w:val="0"/>
          <w:caps w:val="0"/>
          <w:color w:val="2F2F2F"/>
          <w:spacing w:val="0"/>
          <w:kern w:val="0"/>
          <w:sz w:val="20"/>
          <w:szCs w:val="20"/>
          <w:shd w:val="clear" w:fill="FFFFFF"/>
          <w:lang w:val="en-US" w:eastAsia="zh-CN" w:bidi="ar"/>
        </w:rPr>
        <w:t> lo anterior</w:t>
      </w:r>
      <w:r>
        <w:rPr>
          <w:rFonts w:hint="default" w:ascii="Verdana Regular" w:hAnsi="Verdana Regular" w:eastAsia="SimSun" w:cs="Verdana Regular"/>
          <w:i w:val="0"/>
          <w:caps w:val="0"/>
          <w:color w:val="000000"/>
          <w:spacing w:val="0"/>
          <w:kern w:val="0"/>
          <w:sz w:val="20"/>
          <w:szCs w:val="20"/>
          <w:shd w:val="clear" w:fill="FFFFFF"/>
          <w:lang w:val="en-US" w:eastAsia="zh-CN" w:bidi="ar"/>
        </w:rPr>
        <w:t>, las facilidades contenidas en la presente Resolución serán aplicables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todo el ejercicio fiscal</w:t>
      </w:r>
      <w:r>
        <w:rPr>
          <w:rFonts w:hint="default" w:ascii="Verdana Regular" w:hAnsi="Verdana Regular" w:eastAsia="SimSun" w:cs="Verdana Regular"/>
          <w:i w:val="0"/>
          <w:caps w:val="0"/>
          <w:color w:val="000000"/>
          <w:spacing w:val="0"/>
          <w:kern w:val="0"/>
          <w:sz w:val="20"/>
          <w:szCs w:val="20"/>
          <w:shd w:val="clear" w:fill="FFFFFF"/>
          <w:lang w:val="en-US" w:eastAsia="zh-CN" w:bidi="ar"/>
        </w:rPr>
        <w:t> de </w:t>
      </w:r>
      <w:r>
        <w:rPr>
          <w:rFonts w:hint="default" w:ascii="Verdana Regular" w:hAnsi="Verdana Regular" w:eastAsia="SimSun" w:cs="Verdana Regular"/>
          <w:i w:val="0"/>
          <w:caps w:val="0"/>
          <w:color w:val="2F2F2F"/>
          <w:spacing w:val="0"/>
          <w:kern w:val="0"/>
          <w:sz w:val="20"/>
          <w:szCs w:val="20"/>
          <w:shd w:val="clear" w:fill="FFFFFF"/>
          <w:lang w:val="en-US" w:eastAsia="zh-CN" w:bidi="ar"/>
        </w:rPr>
        <w:t>2022</w:t>
      </w:r>
      <w:r>
        <w:rPr>
          <w:rFonts w:hint="default" w:ascii="Verdana Regular" w:hAnsi="Verdana Regular" w:eastAsia="SimSun" w:cs="Verdana Regular"/>
          <w:i w:val="0"/>
          <w:caps w:val="0"/>
          <w:color w:val="000000"/>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Segundo.</w:t>
      </w:r>
      <w:r>
        <w:rPr>
          <w:rFonts w:hint="default" w:ascii="Verdana Regular" w:hAnsi="Verdana Regular" w:eastAsia="SimSun" w:cs="Verdana Regular"/>
          <w:i w:val="0"/>
          <w:caps w:val="0"/>
          <w:color w:val="000000"/>
          <w:spacing w:val="0"/>
          <w:kern w:val="0"/>
          <w:sz w:val="20"/>
          <w:szCs w:val="20"/>
          <w:shd w:val="clear" w:fill="FFFFFF"/>
          <w:lang w:val="en-US" w:eastAsia="zh-CN" w:bidi="ar"/>
        </w:rPr>
        <w:t> Se abroga la Resolución de Facilidades Administrativas para los sectores de contribuyentes que en la misma se señalan para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Tercero.</w:t>
      </w:r>
      <w:r>
        <w:rPr>
          <w:rFonts w:hint="default" w:ascii="Verdana Regular" w:hAnsi="Verdana Regular" w:eastAsia="SimSun" w:cs="Verdana Regular"/>
          <w:i w:val="0"/>
          <w:caps w:val="0"/>
          <w:color w:val="000000"/>
          <w:spacing w:val="0"/>
          <w:kern w:val="0"/>
          <w:sz w:val="20"/>
          <w:szCs w:val="20"/>
          <w:shd w:val="clear" w:fill="FFFFFF"/>
          <w:lang w:val="en-US" w:eastAsia="zh-CN" w:bidi="ar"/>
        </w:rPr>
        <w:t> Para los efectos de las reglas 1.10., 2.13. y 3.6., de la presente Resolución, los contribuyentes deberán emitir las liquidaciones a sus integrantes o a los permisionarios de que se trate, a través de un CFDI de retenciones e información de pagos, a partir de los treinta días siguientes a aquel en que se publique el "Complemento de Liquidación" en el Portal de Internet del SAT.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Para efectos del párrafo anterior, en tanto no sea publicado el aludido complemento en el Portal del SAT, los contribuyentes que estén obligados a emitir las liquidaciones a sus integrantes conforme a las reglas 1.10., 2.13. y 3.6. de la presente Resolución, deberán emitirlas en los términos establecidos en la Resolución de Facilidades Administrativas para los Sectores de Contribuyentes que en la misma se señalan para 2015, publicada en el Diario Oficial de la Federación el 30 de diciembre de 2014.</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Ciudad de México, a 7 de abril de 2022.- Jefa del Servicio de Administración Tributaria, Mtra. </w:t>
      </w:r>
      <w:r>
        <w:rPr>
          <w:rFonts w:hint="default" w:ascii="Verdana Regular" w:hAnsi="Verdana Regular" w:eastAsia="SimSun" w:cs="Verdana Regular"/>
          <w:b/>
          <w:i w:val="0"/>
          <w:caps w:val="0"/>
          <w:color w:val="000000"/>
          <w:spacing w:val="0"/>
          <w:kern w:val="0"/>
          <w:sz w:val="20"/>
          <w:szCs w:val="20"/>
          <w:shd w:val="clear" w:fill="FFFFFF"/>
          <w:lang w:val="en-US" w:eastAsia="zh-CN" w:bidi="ar"/>
        </w:rPr>
        <w:t>Raquel Buenrostro Sánchez</w:t>
      </w:r>
      <w:r>
        <w:rPr>
          <w:rFonts w:hint="default" w:ascii="Verdana Regular" w:hAnsi="Verdana Regular" w:eastAsia="SimSun" w:cs="Verdana Regular"/>
          <w:i w:val="0"/>
          <w:caps w:val="0"/>
          <w:color w:val="000000"/>
          <w:spacing w:val="0"/>
          <w:kern w:val="0"/>
          <w:sz w:val="20"/>
          <w:szCs w:val="20"/>
          <w:shd w:val="clear" w:fill="FFFFFF"/>
          <w:lang w:val="en-US" w:eastAsia="zh-CN" w:bidi="ar"/>
        </w:rPr>
        <w:t>.- Rúbrica.</w:t>
      </w: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Times">
    <w:panose1 w:val="00000500000000020000"/>
    <w:charset w:val="00"/>
    <w:family w:val="auto"/>
    <w:pitch w:val="default"/>
    <w:sig w:usb0="E00002FF" w:usb1="5000205A" w:usb2="00000000" w:usb3="00000000" w:csb0="2000019F" w:csb1="4F010000"/>
  </w:font>
  <w:font w:name="黑体-简">
    <w:panose1 w:val="02000000000000000000"/>
    <w:charset w:val="86"/>
    <w:family w:val="auto"/>
    <w:pitch w:val="default"/>
    <w:sig w:usb0="8000002F" w:usb1="0800004A" w:usb2="00000000" w:usb3="00000000" w:csb0="203E0000" w:csb1="00000000"/>
  </w:font>
  <w:font w:name="Verdana Regular">
    <w:panose1 w:val="020B0804030504040204"/>
    <w:charset w:val="00"/>
    <w:family w:val="auto"/>
    <w:pitch w:val="default"/>
    <w:sig w:usb0="A10006FF" w:usb1="4000205B" w:usb2="00000010" w:usb3="00000000" w:csb0="2000019F" w:csb1="00000000"/>
  </w:font>
  <w:font w:name="Verdana Bold">
    <w:panose1 w:val="020B08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F06B0"/>
    <w:rsid w:val="17DF0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2022-04-17T23:28:00Z</dcterms:created>
  <dc:creator>allanmorgan</dc:creator>
  <cp:lastModifiedBy>allanmorgan</cp:lastModifiedBy>
  <dcterms:modified xsi:type="dcterms:W3CDTF">2022-04-17T23:31:13Z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3082-3.2.0.6370</vt:lpwstr>
  </property>
</Properties>
</file>