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días del año 2020 y el mes de enero de 2021, considerados como inhábiles para efectos de los actos y procedimientos administrativos que substancia la Secretaría del Trabajo y Previsión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marzo de 2020)</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LUISA MARÍA ALCALDE LUJÁN, Secretaria del Trabajo y Previsión Social, con fundamento en lo dispuesto por los artículos 40 de la Ley Orgánica de la Administración Pública Federal; 1, 2, 17, fracciones XXVI, XXIX y XXXIII, 19, fracción XI del Reglamento Interior de la Secretaría del Trabajo y Previsión Social; 2, 4, 12, 13, 14 y 28 de la Ley Federal de Procedimiento Administrativo; 281 y 286 del Código Federal de Procedimientos Civiles de aplicación supletoria; 1, 2, 22, 27, 28, 51 al 64 del Reglamento General de Inspección del Trabajo y Aplicación de Sanciones; y</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 la Secretaría del Trabajo y Previsión Social le corresponde, entre otros asuntos, vigilar la observancia y aplicación de las disposiciones relativas contenidas en el artículo 123 y demás de la Constitución Federal, en la Ley Federal del Trabajo y en sus reglamentos;</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para el desahogo de los asuntos de su competencia, se auxiliará, entre otras Unidades Administrativas, de la Dirección General de Asuntos Jurídicos, Dirección General de Inspección Federal del Trabajo, de las Oficinas de Representación Federal del Trabajo en las entidades federativas y de la Dirección General de Registro de Asociaciones.</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le corresponde instaurar y substanciar los procedimientos administrativos de inspección y vigilancia e imposición de sanciones, así como los de registro de asociaciones, a través de dichas unidades administrativas;</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las actuaciones y diligencias administrativas se practicarán en días y horas hábiles y en los plazos fijados en días, no se contarán los inhábiles, por lo que en esos días no se computarán los términos legales;</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Ley Federal de Procedimiento Administrativo establece los días inhábiles en los que no contarán términos legales, mismos que deben hacerse del conocimiento público mediante Acuerdo del titular de la Dependencia, que se publicará en el Diario Oficial de la Federación; por lo que he tenido a bien expedir el siguiente:</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DAN A CONOCER LOS DÍAS DEL AÑO 2020 Y EL MES DE ENERO DE 2021,</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CONSIDERADOS COMO INHÁBILES PARA EFECTOS DE LOS ACTOS Y PROCEDIMIENTOS</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ADMINISTRATIVOS QUE SUBSTANCIA LA SECRETARÍA DEL TRABAJO Y PREVISIÓN SOCIAL</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Para efectos de los actos y procedimientos administrativos de inspección y vigilancia e imposición de sanciones que, en ejercicio de sus atribuciones, realizan la Dirección General de Asuntos Jurídicos, la Dirección General de Inspección Federal del Trabajo y de las Oficinas de Representación Federal del Trabajo en las entidades federativas, así como de los procedimientos de registro de asociaciones que se tramitan en la Dirección General de Registro de Asociaciones, se considerarán como inhábiles, en términos de la Ley Federal de Procedimiento Administrativo, los siguientes días:</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16 al 31 de julio de 2020</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21 de diciembre de 2020 al 8 de enero de 2021</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Durante los periodos y días señalados en el artículo anterior, no se computarán los plazos y términos correspondientes en los procedimientos administrativos de inspección y vigilancia e imposición de sanciones que se substancien en la Dirección General de Asuntos Jurídicos, la Dirección General de Inspección Federal del Trabajo y de las Oficinas de Representación Federal del Trabajo en las entidades federativas, así como de los procedimientos de registro de asociaciones que se tramiten en la Dirección General de Registro de Asociaciones.</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cuanto a los procedimientos de registro de asociaciones, también le será aplicable el "Acuerdo por el que se da a conocer el calendario de suspensión de labores de la Secretaría del Trabajo y Previsión Social y su órgano administrativo desconcentrado, para el año 2020 y 1o de enero de 2021.</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al día siguiente de su publicación en el Diario Oficial de la Federación.</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Publíquese en el Diario Oficial de la Federación.</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17 de marzo de 2020.- La Secretaria del Trabajo y Previsión Social, Luisa María Alcalde Luján.- Rúbrica.</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