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aprueba la modificación al anexo del Acuerdo ACT-PUB/25/11/2015.06 mediante el cual se aprueban los Lineamientos de los procedimientos de protección de derechos, de investigación y verificación, y de imposición de sanciones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ACT-PUB/07/10/2020.05</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APRUEBA LA MODIFICACIÓN AL ANEXO DEL ACUERDO ACT-PUB/25/11/2015.06 MEDIANTE EL CUAL SE APRUEBAN LOS LINEAMIENTOS DE LOS PROCEDIMIENTOS DE PROTECCIÓN DE DERECHOS, DE INVESTIGACIÓN Y VERIFICACIÓN, Y DE IMPOSICIÓN DE SANCIONES.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6o., apartado A, fracción VIII, y 16, párrafo segundo, de la Constitución Política de los Estados Unidos Mexicanos, 29, fracción I y 31, fracción XII de la Ley Federal de Transparencia y Acceso a la Información Pública; 3, fracción XI, 38 y 39, fracciones I, II, IV y VI, 45 a 62 de la Ley Federal de Protección de Datos Personales en Posesión de los Particulares; 113 a 144 del Reglamento de la Ley Federal de Protección de Datos Personales en Posesión de los Particulares; 6, 8, 12, fracciones I, XXXIV y XXXIV, 16, fracción VI, 18, fracciones XIV, XVI y XXVI, 25, fracción IX, del Estatuto Orgánico del Instituto Nacional de Transparencia, Acceso a la Información y Protección de Datos Personales, con base en las siguientes: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párrafo segundo del artículo 16 de la Constitución Política de los Estados Unidos Mexicanos señala que toda persona tiene derecho a la protección de sus datos personales, al acceso, rectificación y cancelación de los mismos, así como a manifestar su oposición al uso de su información personal, en los términos que fije la ley, la cual establecerá los supuestos de excepción a los principios que rijan el tratamiento de datos personales, por razones de seguridad nacional, disposiciones de orden público, seguridad y salud públicas o para proteger los derechos de terceros.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derecho a la protección de datos personales permite garantizar a los titulares de datos personales la disposición y control que tienen sobre sus datos, así como sobre el uso y destino que se les dé a los mismos.</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Ley Federal de Protección de Datos Personales en Posesión de los Particulares y su Reglamento, publicados en el Diario Oficial de la Federación el cinco de julio de dos mil diez y el veintiuno de diciembre de dos mil once respectivamente, constituyen el marco general que establece las reglas, requisitos, condiciones y obligaciones mínimas para garantizar un adecuado tratamiento de la información personal por parte de las personas físicas o morales de carácter privado que llevan a cabo el tratamiento de datos personales, sin perjuicio de lo que establezca la normativa sectorial o específica aplicable al tratamiento de datos personales, así como faculta a este Instituto para vigilar el cumplimiento de la ley de la materia y la normativa que de ésta emane.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 conformidad con lo establecido en los artículos 38 y 39, fracciones I, II, IV y VI, de la Ley Federal de Protección de Datos Personales en Posesión de los Particulares, el Instituto Nacional de Transparencia, Acceso a la Información y Protección de Datos Personales (Instituto o INAI) tiene por objeto difundir el conocimiento del derecho a la protección de datos personales en la sociedad mexicana, promover su ejercicio y vigilar por la debida observancia de las disposiciones previstas en ésta, y entre sus atribuciones, la de emitir criterios acordes con las disposiciones legales aplicables, así como de conocer y resolver los procedimientos de protección de derechos y de verificación señalados en esa Ley e imponer las sanciones que correspondan frente a violaciones a la misma.</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para tal efecto, los Capítulos VII, VIII y IX de la Ley Federal de Protección de Datos Personales en Posesión de los Particulares y los diversos VIII, IX y X de su Reglamento, establecen los procedimientos de protección de derechos, de verificación y de imposición de sanciones con la finalidad de garantizar la protección de los datos personales en posesión de los particulares, regular su tratamiento legítimo, controlado e informado, asegurar la privacidad y el derecho a la autodeterminación informativa de las personas, y, en su caso, sancionar su incumplimiento.</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artículos 45 a 58 de la Ley Federal de Protección de Datos Personales en Posesión de los</w:t>
      </w:r>
    </w:p>
    <w:p w:rsidR="00000000" w:rsidDel="00000000" w:rsidP="00000000" w:rsidRDefault="00000000" w:rsidRPr="00000000" w14:paraId="0000001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Particulares y los diversos 113 a 127 de su Reglamento, establecen el procedimiento de protección de derechos a través del cual este Instituto garantiza el efectivo ejercicio de los derechos de acceso, rectificación, cancelación y oposición (ARCO) de datos personales reconocidos en favor de los titulares.</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artículos 59 y 60 de la Ley Federal de Protección de Datos Personales en Posesión de los Particulares y los diversos 128 a 139 de su Reglamento prevén el procedimiento de verificación, el cual tiene como objeto vigilar el cumplimiento de la ley de la materia y de la normativa que de ésta derive.</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artículos 61 y 62 de la Ley Federal de Protección de Datos Personales en Posesión de los Particulares, y los diversos 140 a 144 de su Reglamento, disponen que el procedimiento de imposición de sanciones tiene por objeto determinar la sanción que, en su caso, corresponda al advertirse presuntas infracciones a la ley de la materia.</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 fecha 9 de diciembre de 2015 se publicó en el Diario Oficial de la Federación el Acuerdo ACT-PUB/25/11/2015.06 mediante el cual se aprobaron los Lineamientos de los procedimientos de protección de derechos, de investigación y verificación, y de imposición de sanciones.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 la entrada en vigor los Lineamientos de los procedimientos de protección de derechos, de investigación y verificación, y de imposición de sanciones, su aplicabilidad y constitucionalidad han sido cuestionadas en diversos juicios, ya sea mediante amparo indirecto, juicio de nulidad, o bien amparo directo; juicios que ya fueron objeto de estudio de la Suprema Corte de Justicia de la Nación.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derivado de lo anterior y con el objeto de que su aplicación no afecte libertades y derechos de las partes involucradas en los procedimientos que derivan de la Ley Federal de Protección de Datos Personales en Posesión de los Particulares y su Reglamento, se determina conducente suspender la aplicación de sus disposiciones, contenidas en el Anexo del Acuerdo ACT-PUB/25/11/2015.06 aprobado por el Pleno de este Instituto.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del Instituto Nacional de Transparencia, Acceso a la Información y Protección de Datos Personales, conforme a las consideraciones de hecho y de derecho previamente referidas, emite el siguiente: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aprueba la adición del artículo Tercero Transitorio al Anexo del Acuerdo ACT-PUB/25/11/2015.06 mediante el cual se aprobaron los Lineamientos de los procedimientos de protección de derechos, de investigación y verificación, y de imposición de sanciones, para quedar en los siguientes términos:</w:t>
      </w:r>
    </w:p>
    <w:p w:rsidR="00000000" w:rsidDel="00000000" w:rsidP="00000000" w:rsidRDefault="00000000" w:rsidRPr="00000000" w14:paraId="0000001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"Transitorios</w:t>
      </w:r>
    </w:p>
    <w:p w:rsidR="00000000" w:rsidDel="00000000" w:rsidP="00000000" w:rsidRDefault="00000000" w:rsidRPr="00000000" w14:paraId="0000001A">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Primero.- ...</w:t>
      </w:r>
    </w:p>
    <w:p w:rsidR="00000000" w:rsidDel="00000000" w:rsidP="00000000" w:rsidRDefault="00000000" w:rsidRPr="00000000" w14:paraId="0000001B">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Segundo.- ...</w:t>
      </w:r>
    </w:p>
    <w:p w:rsidR="00000000" w:rsidDel="00000000" w:rsidP="00000000" w:rsidRDefault="00000000" w:rsidRPr="00000000" w14:paraId="0000001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partir </w:t>
      </w:r>
      <w:r w:rsidDel="00000000" w:rsidR="00000000" w:rsidRPr="00000000">
        <w:rPr>
          <w:color w:val="2f2f2f"/>
          <w:sz w:val="18"/>
          <w:szCs w:val="18"/>
          <w:u w:val="single"/>
          <w:rtl w:val="0"/>
        </w:rPr>
        <w:t xml:space="preserve">del 15 de octubre de 2020</w:t>
      </w:r>
      <w:r w:rsidDel="00000000" w:rsidR="00000000" w:rsidRPr="00000000">
        <w:rPr>
          <w:color w:val="2f2f2f"/>
          <w:sz w:val="18"/>
          <w:szCs w:val="18"/>
          <w:rtl w:val="0"/>
        </w:rPr>
        <w:t xml:space="preserve">, se suspende la aplicación de las disposiciones contenidas en los presentes Lineamientos.</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los procedimientos en materia de protección de datos personales en posesión de los particulares que se encuentren en trámite, o cuya tramitación inicie a partir </w:t>
      </w:r>
      <w:r w:rsidDel="00000000" w:rsidR="00000000" w:rsidRPr="00000000">
        <w:rPr>
          <w:color w:val="2f2f2f"/>
          <w:sz w:val="18"/>
          <w:szCs w:val="18"/>
          <w:u w:val="single"/>
          <w:rtl w:val="0"/>
        </w:rPr>
        <w:t xml:space="preserve">del 15 de octubre de 2020,</w:t>
      </w:r>
      <w:r w:rsidDel="00000000" w:rsidR="00000000" w:rsidRPr="00000000">
        <w:rPr>
          <w:color w:val="2f2f2f"/>
          <w:sz w:val="18"/>
          <w:szCs w:val="18"/>
          <w:rtl w:val="0"/>
        </w:rPr>
        <w:t xml:space="preserve"> se aplicarán directamente las disposiciones contenidas en la Ley Federal de Protección de Datos Personales en Posesión de los Particulares, el Reglamento de la Ley Federal de Protección de Datos Personales en Posesión de los Particulares y, en su caso, la legislación de aplicación supletoria."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presente Acuerdo entrará en vigor el día siguiente de publicación en el Diario Oficial de la Federación.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 certificación del presente Acuerdo, para agilizar su cumplimiento.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siete de octubre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Comisionado Presidente,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Blanca Lilia Ibarra Cadena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Suscribe </w:t>
      </w:r>
      <w:r w:rsidDel="00000000" w:rsidR="00000000" w:rsidRPr="00000000">
        <w:rPr>
          <w:b w:val="1"/>
          <w:color w:val="2f2f2f"/>
          <w:sz w:val="18"/>
          <w:szCs w:val="18"/>
          <w:rtl w:val="0"/>
        </w:rPr>
        <w:t xml:space="preserve">Evangelina Sales Sánchez</w:t>
      </w:r>
      <w:r w:rsidDel="00000000" w:rsidR="00000000" w:rsidRPr="00000000">
        <w:rPr>
          <w:color w:val="2f2f2f"/>
          <w:sz w:val="18"/>
          <w:szCs w:val="18"/>
          <w:rtl w:val="0"/>
        </w:rPr>
        <w:t xml:space="preserve">, Directora General de Atención al Pleno,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4">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EVANGELINA SALES SÁNCHEZ</w:t>
      </w:r>
      <w:r w:rsidDel="00000000" w:rsidR="00000000" w:rsidRPr="00000000">
        <w:rPr>
          <w:color w:val="2f2f2f"/>
          <w:sz w:val="16"/>
          <w:szCs w:val="16"/>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QUINTO, DEL ACUERDO </w:t>
      </w:r>
      <w:r w:rsidDel="00000000" w:rsidR="00000000" w:rsidRPr="00000000">
        <w:rPr>
          <w:b w:val="1"/>
          <w:color w:val="2f2f2f"/>
          <w:sz w:val="16"/>
          <w:szCs w:val="16"/>
          <w:rtl w:val="0"/>
        </w:rPr>
        <w:t xml:space="preserve">ACT-PUB/07/10/2020.05</w:t>
      </w:r>
      <w:r w:rsidDel="00000000" w:rsidR="00000000" w:rsidRPr="00000000">
        <w:rPr>
          <w:color w:val="2f2f2f"/>
          <w:sz w:val="16"/>
          <w:szCs w:val="16"/>
          <w:rtl w:val="0"/>
        </w:rPr>
        <w:t xml:space="preserve"> CERTIFICO: QUE EL PRESENTE DOCUMENTO ES FIEL Y EXACTA REPRODUCCIÓN DEL CITADO ACUERDO </w:t>
      </w:r>
      <w:r w:rsidDel="00000000" w:rsidR="00000000" w:rsidRPr="00000000">
        <w:rPr>
          <w:b w:val="1"/>
          <w:color w:val="2f2f2f"/>
          <w:sz w:val="16"/>
          <w:szCs w:val="16"/>
          <w:rtl w:val="0"/>
        </w:rPr>
        <w:t xml:space="preserve">ACT-PUB/07/10/2020.05</w:t>
      </w:r>
      <w:r w:rsidDel="00000000" w:rsidR="00000000" w:rsidRPr="00000000">
        <w:rPr>
          <w:color w:val="2f2f2f"/>
          <w:sz w:val="16"/>
          <w:szCs w:val="16"/>
          <w:rtl w:val="0"/>
        </w:rPr>
        <w:t xml:space="preserve">, MISMO QUE SE EXPIDE EN UN TOTAL DE 05 FOJAS ÚTILES, APROBADO EN LA SESIÓN ORDINARIA DEL PLENO DE ESTE INSTITUTO, CELEBRADA EL SIETE DE OCTUBRE DE DOS MIL VEINTE.- MÉXICO, CIUDAD DE MÉXICO, A SIETE DE OCTUBRE DE DOS MIL VEINTE.- Rúbrica.</w:t>
      </w:r>
    </w:p>
    <w:p w:rsidR="00000000" w:rsidDel="00000000" w:rsidP="00000000" w:rsidRDefault="00000000" w:rsidRPr="00000000" w14:paraId="00000025">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