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315" w:rsidRPr="00346315" w:rsidRDefault="00346315" w:rsidP="00346315">
      <w:pPr>
        <w:jc w:val="center"/>
        <w:rPr>
          <w:rFonts w:ascii="Verdana" w:hAnsi="Verdana"/>
          <w:b/>
          <w:bCs/>
          <w:color w:val="0070C0"/>
          <w:sz w:val="24"/>
        </w:rPr>
      </w:pPr>
      <w:r w:rsidRPr="00346315">
        <w:rPr>
          <w:rFonts w:ascii="Verdana" w:hAnsi="Verdana"/>
          <w:b/>
          <w:bCs/>
          <w:color w:val="0070C0"/>
          <w:sz w:val="24"/>
        </w:rPr>
        <w:t>Disposiciones de carácter general que establecen el Régimen de Inversión al que deberán sujetarse las sociedades de inversión especial</w:t>
      </w:r>
      <w:r>
        <w:rPr>
          <w:rFonts w:ascii="Verdana" w:hAnsi="Verdana"/>
          <w:b/>
          <w:bCs/>
          <w:color w:val="0070C0"/>
          <w:sz w:val="24"/>
        </w:rPr>
        <w:t>izadas de fondos para el retiro</w:t>
      </w:r>
    </w:p>
    <w:p w:rsidR="004D40D1" w:rsidRDefault="00742478" w:rsidP="00742478">
      <w:pPr>
        <w:jc w:val="center"/>
        <w:rPr>
          <w:rFonts w:ascii="Verdana" w:hAnsi="Verdana"/>
          <w:b/>
          <w:bCs/>
          <w:color w:val="0070C0"/>
          <w:sz w:val="24"/>
        </w:rPr>
      </w:pPr>
      <w:r w:rsidRPr="00742478">
        <w:rPr>
          <w:rFonts w:ascii="Verdana" w:hAnsi="Verdana"/>
          <w:b/>
          <w:bCs/>
          <w:color w:val="0070C0"/>
          <w:sz w:val="24"/>
        </w:rPr>
        <w:t xml:space="preserve"> </w:t>
      </w:r>
      <w:r w:rsidR="004D40D1">
        <w:rPr>
          <w:rFonts w:ascii="Verdana" w:hAnsi="Verdana"/>
          <w:b/>
          <w:bCs/>
          <w:color w:val="0070C0"/>
          <w:sz w:val="24"/>
        </w:rPr>
        <w:t>(DOF del 5 de enero de 2018)</w:t>
      </w:r>
    </w:p>
    <w:p w:rsidR="00346315" w:rsidRPr="00346315" w:rsidRDefault="00346315" w:rsidP="00346315">
      <w:pPr>
        <w:jc w:val="both"/>
        <w:rPr>
          <w:rFonts w:ascii="Verdana" w:hAnsi="Verdana"/>
          <w:b/>
          <w:bCs/>
          <w:sz w:val="20"/>
        </w:rPr>
      </w:pPr>
      <w:r w:rsidRPr="00346315">
        <w:rPr>
          <w:rFonts w:ascii="Verdana" w:hAnsi="Verdana"/>
          <w:b/>
          <w:bCs/>
          <w:sz w:val="20"/>
        </w:rPr>
        <w:t>Al margen un sello con el Escudo Nacional, que dice: Estados Unidos Mexicanos.- Secretaría de Hacienda y Crédito Público.- Comisión Nacional del Sistema de Ahorro para el Retiro.</w:t>
      </w:r>
    </w:p>
    <w:p w:rsidR="00346315" w:rsidRPr="00346315" w:rsidRDefault="00346315" w:rsidP="00346315">
      <w:pPr>
        <w:jc w:val="both"/>
        <w:rPr>
          <w:rFonts w:ascii="Verdana" w:hAnsi="Verdana"/>
          <w:bCs/>
          <w:sz w:val="20"/>
        </w:rPr>
      </w:pPr>
      <w:r w:rsidRPr="00346315">
        <w:rPr>
          <w:rFonts w:ascii="Verdana" w:hAnsi="Verdana"/>
          <w:b/>
          <w:bCs/>
          <w:sz w:val="20"/>
        </w:rPr>
        <w:t>DISPOSICIONES DE CARÁCTER GENERAL QUE ESTABLECEN EL RÉGIMEN DE INVERSIÓN AL QUE DEBERÁN</w:t>
      </w:r>
      <w:r w:rsidRPr="00346315">
        <w:rPr>
          <w:rFonts w:ascii="Verdana" w:hAnsi="Verdana"/>
          <w:bCs/>
          <w:sz w:val="20"/>
        </w:rPr>
        <w:br/>
      </w:r>
      <w:r w:rsidRPr="00346315">
        <w:rPr>
          <w:rFonts w:ascii="Verdana" w:hAnsi="Verdana"/>
          <w:b/>
          <w:bCs/>
          <w:sz w:val="20"/>
        </w:rPr>
        <w:t>SUJETARSE LAS SOCIEDADES DE INVERSIÓN ESPECIALIZADAS DE FONDOS PARA EL RETIRO.</w:t>
      </w:r>
    </w:p>
    <w:p w:rsidR="00346315" w:rsidRPr="00346315" w:rsidRDefault="00346315" w:rsidP="00346315">
      <w:pPr>
        <w:jc w:val="both"/>
        <w:rPr>
          <w:rFonts w:ascii="Verdana" w:hAnsi="Verdana"/>
          <w:bCs/>
          <w:sz w:val="20"/>
        </w:rPr>
      </w:pPr>
      <w:r w:rsidRPr="00346315">
        <w:rPr>
          <w:rFonts w:ascii="Verdana" w:hAnsi="Verdana"/>
          <w:b/>
          <w:bCs/>
          <w:sz w:val="20"/>
        </w:rPr>
        <w:t>CAPÍTULO I</w:t>
      </w:r>
    </w:p>
    <w:p w:rsidR="00346315" w:rsidRPr="00346315" w:rsidRDefault="00346315" w:rsidP="00346315">
      <w:pPr>
        <w:jc w:val="both"/>
        <w:rPr>
          <w:rFonts w:ascii="Verdana" w:hAnsi="Verdana"/>
          <w:bCs/>
          <w:sz w:val="20"/>
        </w:rPr>
      </w:pPr>
      <w:r w:rsidRPr="00346315">
        <w:rPr>
          <w:rFonts w:ascii="Verdana" w:hAnsi="Verdana"/>
          <w:b/>
          <w:bCs/>
          <w:sz w:val="20"/>
        </w:rPr>
        <w:t>DISPOSICIONES COMUNES</w:t>
      </w:r>
    </w:p>
    <w:p w:rsidR="00346315" w:rsidRPr="00346315" w:rsidRDefault="00346315" w:rsidP="00346315">
      <w:pPr>
        <w:jc w:val="both"/>
        <w:rPr>
          <w:rFonts w:ascii="Verdana" w:hAnsi="Verdana"/>
          <w:bCs/>
          <w:sz w:val="20"/>
        </w:rPr>
      </w:pPr>
      <w:r w:rsidRPr="00346315">
        <w:rPr>
          <w:rFonts w:ascii="Verdana" w:hAnsi="Verdana"/>
          <w:b/>
          <w:bCs/>
          <w:sz w:val="20"/>
        </w:rPr>
        <w:t>Sección I</w:t>
      </w:r>
    </w:p>
    <w:p w:rsidR="00346315" w:rsidRPr="00346315" w:rsidRDefault="00346315" w:rsidP="00346315">
      <w:pPr>
        <w:jc w:val="both"/>
        <w:rPr>
          <w:rFonts w:ascii="Verdana" w:hAnsi="Verdana"/>
          <w:bCs/>
          <w:sz w:val="20"/>
        </w:rPr>
      </w:pPr>
      <w:r w:rsidRPr="00346315">
        <w:rPr>
          <w:rFonts w:ascii="Verdana" w:hAnsi="Verdana"/>
          <w:b/>
          <w:bCs/>
          <w:sz w:val="20"/>
        </w:rPr>
        <w:t>Generalidades</w:t>
      </w:r>
    </w:p>
    <w:p w:rsidR="00346315" w:rsidRPr="00346315" w:rsidRDefault="00346315" w:rsidP="00346315">
      <w:pPr>
        <w:jc w:val="both"/>
        <w:rPr>
          <w:rFonts w:ascii="Verdana" w:hAnsi="Verdana"/>
          <w:bCs/>
          <w:sz w:val="20"/>
        </w:rPr>
      </w:pPr>
      <w:r w:rsidRPr="00346315">
        <w:rPr>
          <w:rFonts w:ascii="Verdana" w:hAnsi="Verdana"/>
          <w:b/>
          <w:bCs/>
          <w:sz w:val="20"/>
        </w:rPr>
        <w:t>PRIMERA.-</w:t>
      </w:r>
      <w:r w:rsidRPr="00346315">
        <w:rPr>
          <w:rFonts w:ascii="Verdana" w:hAnsi="Verdana"/>
          <w:bCs/>
          <w:sz w:val="20"/>
        </w:rPr>
        <w:t> Las presentes disposiciones tienen por objeto establecer el régimen de inversión al que deberán sujetarse las sociedades de inversión especializadas de fondos para el retiro.</w:t>
      </w:r>
    </w:p>
    <w:p w:rsidR="00346315" w:rsidRPr="00346315" w:rsidRDefault="00346315" w:rsidP="00346315">
      <w:pPr>
        <w:jc w:val="both"/>
        <w:rPr>
          <w:rFonts w:ascii="Verdana" w:hAnsi="Verdana"/>
          <w:bCs/>
          <w:sz w:val="20"/>
        </w:rPr>
      </w:pPr>
      <w:r w:rsidRPr="00346315">
        <w:rPr>
          <w:rFonts w:ascii="Verdana" w:hAnsi="Verdana"/>
          <w:b/>
          <w:bCs/>
          <w:sz w:val="20"/>
        </w:rPr>
        <w:t>SEGUNDA.-</w:t>
      </w:r>
      <w:r w:rsidRPr="00346315">
        <w:rPr>
          <w:rFonts w:ascii="Verdana" w:hAnsi="Verdana"/>
          <w:bCs/>
          <w:sz w:val="20"/>
        </w:rPr>
        <w:t> Para los efectos de estas disposiciones, se entenderá por:</w:t>
      </w:r>
    </w:p>
    <w:p w:rsidR="00346315" w:rsidRPr="00346315" w:rsidRDefault="00346315" w:rsidP="00346315">
      <w:pPr>
        <w:jc w:val="both"/>
        <w:rPr>
          <w:rFonts w:ascii="Verdana" w:hAnsi="Verdana"/>
          <w:bCs/>
          <w:sz w:val="20"/>
        </w:rPr>
      </w:pPr>
      <w:r w:rsidRPr="00346315">
        <w:rPr>
          <w:rFonts w:ascii="Verdana" w:hAnsi="Verdana"/>
          <w:bCs/>
          <w:sz w:val="20"/>
        </w:rPr>
        <w:t>I.           Administradoras, a las administradoras de fondos para el retiro, así como las instituciones públicas que realicen funciones similares;</w:t>
      </w:r>
    </w:p>
    <w:p w:rsidR="00346315" w:rsidRPr="00346315" w:rsidRDefault="00346315" w:rsidP="00346315">
      <w:pPr>
        <w:jc w:val="both"/>
        <w:rPr>
          <w:rFonts w:ascii="Verdana" w:hAnsi="Verdana"/>
          <w:bCs/>
          <w:sz w:val="20"/>
        </w:rPr>
      </w:pPr>
      <w:r w:rsidRPr="00346315">
        <w:rPr>
          <w:rFonts w:ascii="Verdana" w:hAnsi="Verdana"/>
          <w:bCs/>
          <w:sz w:val="20"/>
        </w:rPr>
        <w:t>II.          Activo Administrado por el Mandatario, al valor de mercado de los Activos Objeto de Inversión de la Sociedad de Inversión que se encuentre bajo la gestión financiera de cada Mandatario contratado por dicha Sociedad de Inversión;</w:t>
      </w:r>
    </w:p>
    <w:p w:rsidR="00346315" w:rsidRPr="00346315" w:rsidRDefault="00346315" w:rsidP="00346315">
      <w:pPr>
        <w:jc w:val="both"/>
        <w:rPr>
          <w:rFonts w:ascii="Verdana" w:hAnsi="Verdana"/>
          <w:bCs/>
          <w:sz w:val="20"/>
        </w:rPr>
      </w:pPr>
      <w:r w:rsidRPr="00346315">
        <w:rPr>
          <w:rFonts w:ascii="Verdana" w:hAnsi="Verdana"/>
          <w:bCs/>
          <w:sz w:val="20"/>
        </w:rPr>
        <w:t>III.          Activo Administrado por la Sociedad de Inversión, al valor de mercado de los Activos Objeto de Inversión de la Sociedad de Inversión directamente gestionado en materia de inversiones por ésta;</w:t>
      </w:r>
    </w:p>
    <w:p w:rsidR="00346315" w:rsidRPr="00346315" w:rsidRDefault="00346315" w:rsidP="00346315">
      <w:pPr>
        <w:jc w:val="both"/>
        <w:rPr>
          <w:rFonts w:ascii="Verdana" w:hAnsi="Verdana"/>
          <w:bCs/>
          <w:sz w:val="20"/>
        </w:rPr>
      </w:pPr>
      <w:r w:rsidRPr="00346315">
        <w:rPr>
          <w:rFonts w:ascii="Verdana" w:hAnsi="Verdana"/>
          <w:bCs/>
          <w:sz w:val="20"/>
        </w:rPr>
        <w:t>IV.         Activo Total de la Sociedad de Inversión, a la suma del Activo Administrado por una Sociedad de Inversión y de los Activos Administrados por los Mandatarios contratados por dicha Sociedad de Inversión;</w:t>
      </w:r>
    </w:p>
    <w:p w:rsidR="00346315" w:rsidRPr="00346315" w:rsidRDefault="00346315" w:rsidP="00346315">
      <w:pPr>
        <w:jc w:val="both"/>
        <w:rPr>
          <w:rFonts w:ascii="Verdana" w:hAnsi="Verdana"/>
          <w:bCs/>
          <w:sz w:val="20"/>
        </w:rPr>
      </w:pPr>
      <w:r w:rsidRPr="00346315">
        <w:rPr>
          <w:rFonts w:ascii="Verdana" w:hAnsi="Verdana"/>
          <w:bCs/>
          <w:sz w:val="20"/>
        </w:rPr>
        <w:t>V.          Activos Objeto de Inversión, a los Instrumentos, Divisas, Valores Extranjeros, Componentes de Renta Variable, Inversiones Neutras, Estructuras Vinculadas a Subyacentes, Mercancías y operaciones con Derivados, reportos y préstamos de valores;</w:t>
      </w:r>
    </w:p>
    <w:p w:rsidR="00346315" w:rsidRPr="00346315" w:rsidRDefault="00346315" w:rsidP="00346315">
      <w:pPr>
        <w:jc w:val="both"/>
        <w:rPr>
          <w:rFonts w:ascii="Verdana" w:hAnsi="Verdana"/>
          <w:bCs/>
          <w:sz w:val="20"/>
        </w:rPr>
      </w:pPr>
      <w:r w:rsidRPr="00346315">
        <w:rPr>
          <w:rFonts w:ascii="Verdana" w:hAnsi="Verdana"/>
          <w:bCs/>
          <w:sz w:val="20"/>
        </w:rPr>
        <w:lastRenderedPageBreak/>
        <w:t>VI.         Ahorro Voluntario, a las Aportaciones Complementarias de Retiro, Aportaciones Voluntarias, Aportaciones Voluntarias con Perspectiva de Inversión de Largo Plazo y Aportaciones de Ahorro de Largo Plazo que realicen los Trabajadores;</w:t>
      </w:r>
    </w:p>
    <w:p w:rsidR="00346315" w:rsidRPr="00346315" w:rsidRDefault="00346315" w:rsidP="00346315">
      <w:pPr>
        <w:jc w:val="both"/>
        <w:rPr>
          <w:rFonts w:ascii="Verdana" w:hAnsi="Verdana"/>
          <w:bCs/>
          <w:sz w:val="20"/>
        </w:rPr>
      </w:pPr>
      <w:r w:rsidRPr="00346315">
        <w:rPr>
          <w:rFonts w:ascii="Verdana" w:hAnsi="Verdana"/>
          <w:bCs/>
          <w:sz w:val="20"/>
        </w:rPr>
        <w:t>VII.        Aportaciones Complementarias de Retiro, a las aportaciones realizadas a la subcuenta de aportaciones complementarias de retiro a que se refiere el artículo 79 de la Ley;</w:t>
      </w:r>
    </w:p>
    <w:p w:rsidR="00346315" w:rsidRPr="00346315" w:rsidRDefault="00346315" w:rsidP="00346315">
      <w:pPr>
        <w:jc w:val="both"/>
        <w:rPr>
          <w:rFonts w:ascii="Verdana" w:hAnsi="Verdana"/>
          <w:bCs/>
          <w:sz w:val="20"/>
        </w:rPr>
      </w:pPr>
      <w:r w:rsidRPr="00346315">
        <w:rPr>
          <w:rFonts w:ascii="Verdana" w:hAnsi="Verdana"/>
          <w:bCs/>
          <w:sz w:val="20"/>
        </w:rPr>
        <w:t>VIII.        Aportaciones de Ahorro a Largo Plazo, a las aportaciones realizadas por los Trabajadores a la subcuenta prevista en la fracción VII del artículo 35 del Reglamento de la Ley;</w:t>
      </w:r>
    </w:p>
    <w:p w:rsidR="00346315" w:rsidRPr="00346315" w:rsidRDefault="00346315" w:rsidP="00346315">
      <w:pPr>
        <w:jc w:val="both"/>
        <w:rPr>
          <w:rFonts w:ascii="Verdana" w:hAnsi="Verdana"/>
          <w:bCs/>
          <w:sz w:val="20"/>
        </w:rPr>
      </w:pPr>
      <w:r w:rsidRPr="00346315">
        <w:rPr>
          <w:rFonts w:ascii="Verdana" w:hAnsi="Verdana"/>
          <w:bCs/>
          <w:sz w:val="20"/>
        </w:rPr>
        <w:t>IX.         Aportaciones Voluntarias, a las aportaciones realizadas a la subcuenta de aportaciones voluntarias a que se refiere el artículo 79 de la Ley, sin considerar a las Aportaciones Voluntarias con Perspectiva de Inversión de Largo Plazo;</w:t>
      </w:r>
    </w:p>
    <w:p w:rsidR="00346315" w:rsidRPr="00346315" w:rsidRDefault="00346315" w:rsidP="00346315">
      <w:pPr>
        <w:jc w:val="both"/>
        <w:rPr>
          <w:rFonts w:ascii="Verdana" w:hAnsi="Verdana"/>
          <w:bCs/>
          <w:sz w:val="20"/>
        </w:rPr>
      </w:pPr>
      <w:r w:rsidRPr="00346315">
        <w:rPr>
          <w:rFonts w:ascii="Verdana" w:hAnsi="Verdana"/>
          <w:bCs/>
          <w:sz w:val="20"/>
        </w:rPr>
        <w:t>X.          Aportaciones Voluntarias con Perspectiva de Inversión de Largo Plazo, a las Aportaciones Voluntarias a que se refiere el artículo 151 fracción V de la Ley del Impuesto Sobre la Renta;</w:t>
      </w:r>
    </w:p>
    <w:p w:rsidR="00346315" w:rsidRPr="00346315" w:rsidRDefault="00346315" w:rsidP="00346315">
      <w:pPr>
        <w:jc w:val="both"/>
        <w:rPr>
          <w:rFonts w:ascii="Verdana" w:hAnsi="Verdana"/>
          <w:bCs/>
          <w:sz w:val="20"/>
        </w:rPr>
      </w:pPr>
      <w:r w:rsidRPr="00346315">
        <w:rPr>
          <w:rFonts w:ascii="Verdana" w:hAnsi="Verdana"/>
          <w:bCs/>
          <w:sz w:val="20"/>
        </w:rPr>
        <w:t>XI.         Bancos, a las Instituciones de Crédito, así como a las entidades extranjeras que realicen las mismas operaciones que las Instituciones de Crédito;</w:t>
      </w:r>
    </w:p>
    <w:p w:rsidR="00346315" w:rsidRPr="00346315" w:rsidRDefault="00346315" w:rsidP="00346315">
      <w:pPr>
        <w:jc w:val="both"/>
        <w:rPr>
          <w:rFonts w:ascii="Verdana" w:hAnsi="Verdana"/>
          <w:bCs/>
          <w:sz w:val="20"/>
        </w:rPr>
      </w:pPr>
      <w:r w:rsidRPr="00346315">
        <w:rPr>
          <w:rFonts w:ascii="Verdana" w:hAnsi="Verdana"/>
          <w:bCs/>
          <w:sz w:val="20"/>
        </w:rPr>
        <w:t>XII.        Calificación de Contraparte, a la asignada por las instituciones calificadoras de valores autorizadas por la Comisión Nacional Bancaria y de Valores a los intermediarios para la celebración de operaciones con reportos, préstamo de valores, Derivados o depósitos bancarios;</w:t>
      </w:r>
    </w:p>
    <w:p w:rsidR="00346315" w:rsidRPr="00346315" w:rsidRDefault="00346315" w:rsidP="00346315">
      <w:pPr>
        <w:jc w:val="both"/>
        <w:rPr>
          <w:rFonts w:ascii="Verdana" w:hAnsi="Verdana"/>
          <w:bCs/>
          <w:sz w:val="20"/>
        </w:rPr>
      </w:pPr>
      <w:r w:rsidRPr="00346315">
        <w:rPr>
          <w:rFonts w:ascii="Verdana" w:hAnsi="Verdana"/>
          <w:bCs/>
          <w:sz w:val="20"/>
        </w:rPr>
        <w:t>XIII.        Certificados Bursátiles, a los títulos de crédito previstos en la Ley del Mercado de Valores, que representan la participación individual de sus tenedores en un crédito colectivo a cargo de personas morales, o de un patrimonio afecto en fideicomiso;</w:t>
      </w:r>
    </w:p>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XIV.       Certificados Bursátiles Fiduciarios de Proyectos de Inversión, a los referidos en el artículo 1º, de las disposiciones de carácter general aplicables a las emisoras de valores y a otros participantes del mercado de valores</w:t>
      </w:r>
      <w:r w:rsidRPr="00346315">
        <w:rPr>
          <w:rFonts w:ascii="Verdana" w:hAnsi="Verdana"/>
          <w:bCs/>
          <w:i/>
          <w:iCs/>
          <w:sz w:val="20"/>
        </w:rPr>
        <w:t>,</w:t>
      </w:r>
      <w:r w:rsidRPr="00346315">
        <w:rPr>
          <w:rFonts w:ascii="Verdana" w:hAnsi="Verdana"/>
          <w:bCs/>
          <w:sz w:val="20"/>
        </w:rPr>
        <w:t> emitidas por la Comisión Nacional Bancaria y de Valores, con sus respectivas modificaciones y adiciones;</w:t>
      </w:r>
    </w:p>
    <w:p w:rsidR="00346315" w:rsidRPr="00346315" w:rsidRDefault="00346315" w:rsidP="00346315">
      <w:pPr>
        <w:jc w:val="both"/>
        <w:rPr>
          <w:rFonts w:ascii="Verdana" w:hAnsi="Verdana"/>
          <w:bCs/>
          <w:sz w:val="20"/>
        </w:rPr>
      </w:pPr>
      <w:r w:rsidRPr="00346315">
        <w:rPr>
          <w:rFonts w:ascii="Verdana" w:hAnsi="Verdana"/>
          <w:bCs/>
          <w:sz w:val="20"/>
        </w:rPr>
        <w:t>XV.        Certificados Bursátiles Vinculados a Proyectos Reales, a los títulos cuya fuente de pago provenga del uso o aprovechamiento de activos reales. Los Certificados Bursátiles deberán reunir los requisitos establecidos en las disposiciones de carácter general en materia financiera de los Sistemas de Ahorro para el Retiro que emita la Comisión;</w:t>
      </w:r>
    </w:p>
    <w:p w:rsidR="00346315" w:rsidRPr="00346315" w:rsidRDefault="00346315" w:rsidP="00346315">
      <w:pPr>
        <w:jc w:val="both"/>
        <w:rPr>
          <w:rFonts w:ascii="Verdana" w:hAnsi="Verdana"/>
          <w:bCs/>
          <w:sz w:val="20"/>
        </w:rPr>
      </w:pPr>
      <w:r w:rsidRPr="00346315">
        <w:rPr>
          <w:rFonts w:ascii="Verdana" w:hAnsi="Verdana"/>
          <w:bCs/>
          <w:sz w:val="20"/>
        </w:rPr>
        <w:t>XVI.       Certificados de Participación, a los Instrumentos a que se refiere el Capítulo V Bis de la Ley General de Títulos y Operaciones de Crédito;</w:t>
      </w:r>
    </w:p>
    <w:p w:rsidR="00346315" w:rsidRPr="00346315" w:rsidRDefault="00346315" w:rsidP="00346315">
      <w:pPr>
        <w:jc w:val="both"/>
        <w:rPr>
          <w:rFonts w:ascii="Verdana" w:hAnsi="Verdana"/>
          <w:bCs/>
          <w:sz w:val="20"/>
        </w:rPr>
      </w:pPr>
      <w:r w:rsidRPr="00346315">
        <w:rPr>
          <w:rFonts w:ascii="Verdana" w:hAnsi="Verdana"/>
          <w:bCs/>
          <w:sz w:val="20"/>
        </w:rPr>
        <w:t>XVII.      Comisión, a la Comisión Nacional del Sistema de Ahorro para el Retiro;</w:t>
      </w:r>
    </w:p>
    <w:p w:rsidR="00346315" w:rsidRPr="00346315" w:rsidRDefault="00346315" w:rsidP="00346315">
      <w:pPr>
        <w:jc w:val="both"/>
        <w:rPr>
          <w:rFonts w:ascii="Verdana" w:hAnsi="Verdana"/>
          <w:bCs/>
          <w:sz w:val="20"/>
        </w:rPr>
      </w:pPr>
      <w:r w:rsidRPr="00346315">
        <w:rPr>
          <w:rFonts w:ascii="Verdana" w:hAnsi="Verdana"/>
          <w:bCs/>
          <w:sz w:val="20"/>
        </w:rPr>
        <w:lastRenderedPageBreak/>
        <w:t>XVIII.      Comité de Análisis de Riesgos, al previsto en el artículo 45 de la Ley;</w:t>
      </w:r>
    </w:p>
    <w:p w:rsidR="00346315" w:rsidRPr="00346315" w:rsidRDefault="00346315" w:rsidP="00346315">
      <w:pPr>
        <w:jc w:val="both"/>
        <w:rPr>
          <w:rFonts w:ascii="Verdana" w:hAnsi="Verdana"/>
          <w:bCs/>
          <w:sz w:val="20"/>
        </w:rPr>
      </w:pPr>
      <w:r w:rsidRPr="00346315">
        <w:rPr>
          <w:rFonts w:ascii="Verdana" w:hAnsi="Verdana"/>
          <w:bCs/>
          <w:sz w:val="20"/>
        </w:rPr>
        <w:t>XIX.       Comité de Inversión, al previsto en el artículo 42 de la Ley;</w:t>
      </w:r>
    </w:p>
    <w:p w:rsidR="00346315" w:rsidRPr="00346315" w:rsidRDefault="00346315" w:rsidP="00346315">
      <w:pPr>
        <w:jc w:val="both"/>
        <w:rPr>
          <w:rFonts w:ascii="Verdana" w:hAnsi="Verdana"/>
          <w:bCs/>
          <w:sz w:val="20"/>
        </w:rPr>
      </w:pPr>
      <w:r w:rsidRPr="00346315">
        <w:rPr>
          <w:rFonts w:ascii="Verdana" w:hAnsi="Verdana"/>
          <w:bCs/>
          <w:sz w:val="20"/>
        </w:rPr>
        <w:t>XX.        Comité de Riesgos Financieros, al previsto en el artículo 42 bis de la Ley;</w:t>
      </w:r>
    </w:p>
    <w:p w:rsidR="00346315" w:rsidRPr="00346315" w:rsidRDefault="00346315" w:rsidP="00346315">
      <w:pPr>
        <w:jc w:val="both"/>
        <w:rPr>
          <w:rFonts w:ascii="Verdana" w:hAnsi="Verdana"/>
          <w:bCs/>
          <w:sz w:val="20"/>
        </w:rPr>
      </w:pPr>
      <w:r w:rsidRPr="00346315">
        <w:rPr>
          <w:rFonts w:ascii="Verdana" w:hAnsi="Verdana"/>
          <w:bCs/>
          <w:sz w:val="20"/>
        </w:rPr>
        <w:t>XXI.       Comité de Valuación, al previsto en el artículo 46 de la Ley;</w:t>
      </w:r>
    </w:p>
    <w:p w:rsidR="00346315" w:rsidRPr="00346315" w:rsidRDefault="00346315" w:rsidP="00346315">
      <w:pPr>
        <w:jc w:val="both"/>
        <w:rPr>
          <w:rFonts w:ascii="Verdana" w:hAnsi="Verdana"/>
          <w:bCs/>
          <w:sz w:val="20"/>
        </w:rPr>
      </w:pPr>
      <w:r w:rsidRPr="00346315">
        <w:rPr>
          <w:rFonts w:ascii="Verdana" w:hAnsi="Verdana"/>
          <w:bCs/>
          <w:sz w:val="20"/>
        </w:rPr>
        <w:t>XXII.      Componentes de Renta Variable, a los Instrumentos de Renta Variable y Valores Extranjeros de Renta Variable con los que se obtenga exposición a activos accionarios autorizados a través de Vehículos que confieran derechos sobre los mismos, acciones o Derivados;</w:t>
      </w:r>
    </w:p>
    <w:p w:rsidR="00346315" w:rsidRPr="00346315" w:rsidRDefault="00346315" w:rsidP="00346315">
      <w:pPr>
        <w:jc w:val="both"/>
        <w:rPr>
          <w:rFonts w:ascii="Verdana" w:hAnsi="Verdana"/>
          <w:bCs/>
          <w:sz w:val="20"/>
        </w:rPr>
      </w:pPr>
      <w:r w:rsidRPr="00346315">
        <w:rPr>
          <w:rFonts w:ascii="Verdana" w:hAnsi="Verdana"/>
          <w:bCs/>
          <w:sz w:val="20"/>
        </w:rPr>
        <w:t>XXIII.      Contrapartes, a las instituciones financieras con quienes las Sociedades de Inversión pueden celebrar operaciones con Derivados, reporto y préstamo de valores, en términos de las Disposiciones del Banco de México, así como aquéllas en las que realicen depósitos bancarios de dinero a la vista;</w:t>
      </w:r>
    </w:p>
    <w:p w:rsidR="00346315" w:rsidRPr="00346315" w:rsidRDefault="00346315" w:rsidP="00346315">
      <w:pPr>
        <w:jc w:val="both"/>
        <w:rPr>
          <w:rFonts w:ascii="Verdana" w:hAnsi="Verdana"/>
          <w:bCs/>
          <w:sz w:val="20"/>
        </w:rPr>
      </w:pPr>
      <w:r w:rsidRPr="00346315">
        <w:rPr>
          <w:rFonts w:ascii="Verdana" w:hAnsi="Verdana"/>
          <w:bCs/>
          <w:sz w:val="20"/>
        </w:rPr>
        <w:t>XXIV.     Contratos Abiertos, a las operaciones celebradas con Derivados respecto de las cuales no se haya celebrado una operación de naturaleza contraria con la misma Contraparte;</w:t>
      </w:r>
    </w:p>
    <w:p w:rsidR="00346315" w:rsidRPr="00346315" w:rsidRDefault="00346315" w:rsidP="00346315">
      <w:pPr>
        <w:jc w:val="both"/>
        <w:rPr>
          <w:rFonts w:ascii="Verdana" w:hAnsi="Verdana"/>
          <w:bCs/>
          <w:sz w:val="20"/>
        </w:rPr>
      </w:pPr>
      <w:r w:rsidRPr="00346315">
        <w:rPr>
          <w:rFonts w:ascii="Verdana" w:hAnsi="Verdana"/>
          <w:bCs/>
          <w:sz w:val="20"/>
        </w:rPr>
        <w:t>XXV.      Custodio, al intermediario financiero que reciba instrumentos o valores para su guarda, o a las instituciones autorizadas para los fines anteriores;</w:t>
      </w:r>
    </w:p>
    <w:p w:rsidR="00346315" w:rsidRPr="00346315" w:rsidRDefault="00346315" w:rsidP="00346315">
      <w:pPr>
        <w:jc w:val="both"/>
        <w:rPr>
          <w:rFonts w:ascii="Verdana" w:hAnsi="Verdana"/>
          <w:bCs/>
          <w:sz w:val="20"/>
        </w:rPr>
      </w:pPr>
      <w:r w:rsidRPr="00346315">
        <w:rPr>
          <w:rFonts w:ascii="Verdana" w:hAnsi="Verdana"/>
          <w:bCs/>
          <w:sz w:val="20"/>
        </w:rPr>
        <w:t>XXVI.     Derivados, a las Operaciones a Futuro, Operaciones de Opción, y Contratos de Intercambio (Swaps), incluyendo Operaciones a Futuro sobre Contratos de Intercambio (Swaps), Operaciones de Opción sobre Operaciones a Futuro y Operaciones de Opción sobre Contratos de Intercambio (Opciones sobre Swaps), a que se refieren las Disposiciones del Banco de México;</w:t>
      </w:r>
    </w:p>
    <w:p w:rsidR="00346315" w:rsidRPr="00346315" w:rsidRDefault="00346315" w:rsidP="00346315">
      <w:pPr>
        <w:jc w:val="both"/>
        <w:rPr>
          <w:rFonts w:ascii="Verdana" w:hAnsi="Verdana"/>
          <w:bCs/>
          <w:sz w:val="20"/>
        </w:rPr>
      </w:pPr>
      <w:r w:rsidRPr="00346315">
        <w:rPr>
          <w:rFonts w:ascii="Verdana" w:hAnsi="Verdana"/>
          <w:bCs/>
          <w:sz w:val="20"/>
        </w:rPr>
        <w:t>XXVII.     Diferencial del Valor en Riesgo Condicional, a la diferencia en el Valor en Riesgo Condicional de la cartera de una Sociedad de Inversión y el Valor en Riesgo Condicional de esa misma cartera calculada excluyendo las posiciones en Derivados conforme a las secciones I y III del Anexo L de las presentes disposiciones;</w:t>
      </w:r>
    </w:p>
    <w:p w:rsidR="00346315" w:rsidRPr="00346315" w:rsidRDefault="00346315" w:rsidP="00346315">
      <w:pPr>
        <w:jc w:val="both"/>
        <w:rPr>
          <w:rFonts w:ascii="Verdana" w:hAnsi="Verdana"/>
          <w:bCs/>
          <w:sz w:val="20"/>
        </w:rPr>
      </w:pPr>
      <w:r w:rsidRPr="00346315">
        <w:rPr>
          <w:rFonts w:ascii="Verdana" w:hAnsi="Verdana"/>
          <w:bCs/>
          <w:sz w:val="20"/>
        </w:rPr>
        <w:t>XXVIII.    Disposiciones del Banco de México, a las dirigidas a las sociedades de inversión especializadas de fondos para el retiro en materia de operaciones financieras conocidas como derivadas, de reporto y de préstamo de valores, expedidas por el Banco Central;</w:t>
      </w:r>
    </w:p>
    <w:p w:rsidR="00346315" w:rsidRPr="00346315" w:rsidRDefault="00346315" w:rsidP="00346315">
      <w:pPr>
        <w:jc w:val="both"/>
        <w:rPr>
          <w:rFonts w:ascii="Verdana" w:hAnsi="Verdana"/>
          <w:bCs/>
          <w:sz w:val="20"/>
        </w:rPr>
      </w:pPr>
      <w:r w:rsidRPr="00346315">
        <w:rPr>
          <w:rFonts w:ascii="Verdana" w:hAnsi="Verdana"/>
          <w:bCs/>
          <w:sz w:val="20"/>
        </w:rPr>
        <w:t>XXIX.     Divisas, a los dólares de los Estados Unidos de América, euros, yenes, las monedas de los Países Elegibles para Inversiones que el Comité de Análisis de Riesgos determine, considerando la seguridad de las inversiones y el desarrollo de los mercados, así como otros elementos que dicho cuerpo colegiado juzgue que es necesario analizar;</w:t>
      </w:r>
    </w:p>
    <w:p w:rsidR="00346315" w:rsidRPr="00346315" w:rsidRDefault="00346315" w:rsidP="00346315">
      <w:pPr>
        <w:jc w:val="both"/>
        <w:rPr>
          <w:rFonts w:ascii="Verdana" w:hAnsi="Verdana"/>
          <w:bCs/>
          <w:sz w:val="20"/>
        </w:rPr>
      </w:pPr>
      <w:r w:rsidRPr="00346315">
        <w:rPr>
          <w:rFonts w:ascii="Verdana" w:hAnsi="Verdana"/>
          <w:bCs/>
          <w:sz w:val="20"/>
        </w:rPr>
        <w:t>XXX.      Empresas Privadas, a las sociedades mercantiles de nacionalidad mexicana autorizadas para emitir valores, así como a las Entidades Financieras;</w:t>
      </w:r>
    </w:p>
    <w:p w:rsidR="00346315" w:rsidRPr="00346315" w:rsidRDefault="00346315" w:rsidP="00346315">
      <w:pPr>
        <w:jc w:val="both"/>
        <w:rPr>
          <w:rFonts w:ascii="Verdana" w:hAnsi="Verdana"/>
          <w:bCs/>
          <w:sz w:val="20"/>
        </w:rPr>
      </w:pPr>
      <w:proofErr w:type="spellStart"/>
      <w:r w:rsidRPr="00346315">
        <w:rPr>
          <w:rFonts w:ascii="Verdana" w:hAnsi="Verdana"/>
          <w:bCs/>
          <w:sz w:val="20"/>
        </w:rPr>
        <w:lastRenderedPageBreak/>
        <w:t>XXXa</w:t>
      </w:r>
      <w:proofErr w:type="spellEnd"/>
      <w:r w:rsidRPr="00346315">
        <w:rPr>
          <w:rFonts w:ascii="Verdana" w:hAnsi="Verdana"/>
          <w:bCs/>
          <w:sz w:val="20"/>
        </w:rPr>
        <w:t>.     Empresas Productivas del Estado, a las empresas de propiedad exclusiva del Gobierno Federal, con personalidad jurídica y patrimonio propios que gozan de autonomía técnica, operativa y de gestión, conforme a lo dispuesto en la Ley de Petróleos Mexicanos y la Ley de la Comisión Federal de Electricidad, denominadas Petróleos Mexicanos y Comisión Federal de Electricidad;</w:t>
      </w:r>
    </w:p>
    <w:p w:rsidR="00346315" w:rsidRPr="00346315" w:rsidRDefault="00346315" w:rsidP="00346315">
      <w:pPr>
        <w:jc w:val="both"/>
        <w:rPr>
          <w:rFonts w:ascii="Verdana" w:hAnsi="Verdana"/>
          <w:bCs/>
          <w:sz w:val="20"/>
        </w:rPr>
      </w:pPr>
      <w:r w:rsidRPr="00346315">
        <w:rPr>
          <w:rFonts w:ascii="Verdana" w:hAnsi="Verdana"/>
          <w:bCs/>
          <w:sz w:val="20"/>
        </w:rPr>
        <w:t>XXXI.     Emisores Nacionales, al Gobierno Federal, Banco de México, Empresas Privadas, Empresas Productivas del Estado, entidades federativas, municipios, Gobierno del Distrito Federal y Entidades Paraestatales, que emitan Instrumentos, así como las Entidades Financieras, que emitan, acepten o avalen dichos Instrumentos;</w:t>
      </w:r>
    </w:p>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XXXII.     Emisores Extranjeros, a los Gobiernos, Bancos Centrales y Agencias Gubernamentales de Países Elegibles para Inversiones, así como las entidades que emitan valores bajo la regulación y supervisión de éstos y los organismos multilaterales distintos de los señalados en la fracción LIV de la presente disposición;</w:t>
      </w:r>
    </w:p>
    <w:p w:rsidR="00346315" w:rsidRPr="00346315" w:rsidRDefault="00346315" w:rsidP="00346315">
      <w:pPr>
        <w:jc w:val="both"/>
        <w:rPr>
          <w:rFonts w:ascii="Verdana" w:hAnsi="Verdana"/>
          <w:bCs/>
          <w:sz w:val="20"/>
        </w:rPr>
      </w:pPr>
      <w:r w:rsidRPr="00346315">
        <w:rPr>
          <w:rFonts w:ascii="Verdana" w:hAnsi="Verdana"/>
          <w:bCs/>
          <w:sz w:val="20"/>
        </w:rPr>
        <w:t>XXXIII.    Entidades Financieras, a las autorizadas conforme a la legislación financiera mexicana para actuar como: almacenes generales de depósito, Instituciones de Crédito, instituciones de fianzas, instituciones de seguros y sociedades financieras de objeto múltiple;</w:t>
      </w:r>
    </w:p>
    <w:p w:rsidR="00346315" w:rsidRPr="00346315" w:rsidRDefault="00346315" w:rsidP="00346315">
      <w:pPr>
        <w:jc w:val="both"/>
        <w:rPr>
          <w:rFonts w:ascii="Verdana" w:hAnsi="Verdana"/>
          <w:bCs/>
          <w:sz w:val="20"/>
        </w:rPr>
      </w:pPr>
      <w:r w:rsidRPr="00346315">
        <w:rPr>
          <w:rFonts w:ascii="Verdana" w:hAnsi="Verdana"/>
          <w:bCs/>
          <w:sz w:val="20"/>
        </w:rPr>
        <w:t>XXXIV.   Estructuras Vinculadas a Subyacentes, a los activos que cumplan con las siguientes características:</w:t>
      </w:r>
    </w:p>
    <w:p w:rsidR="00346315" w:rsidRPr="00346315" w:rsidRDefault="00346315" w:rsidP="00346315">
      <w:pPr>
        <w:jc w:val="both"/>
        <w:rPr>
          <w:rFonts w:ascii="Verdana" w:hAnsi="Verdana"/>
          <w:bCs/>
          <w:sz w:val="20"/>
        </w:rPr>
      </w:pPr>
      <w:r w:rsidRPr="00346315">
        <w:rPr>
          <w:rFonts w:ascii="Verdana" w:hAnsi="Verdana"/>
          <w:bCs/>
          <w:sz w:val="20"/>
        </w:rPr>
        <w:t>a)   Ser ofertados mediante un mecanismo de oferta pública en algún País Elegible para Inversiones;</w:t>
      </w:r>
    </w:p>
    <w:p w:rsidR="00346315" w:rsidRPr="00346315" w:rsidRDefault="00346315" w:rsidP="00346315">
      <w:pPr>
        <w:jc w:val="both"/>
        <w:rPr>
          <w:rFonts w:ascii="Verdana" w:hAnsi="Verdana"/>
          <w:bCs/>
          <w:sz w:val="20"/>
        </w:rPr>
      </w:pPr>
      <w:r w:rsidRPr="00346315">
        <w:rPr>
          <w:rFonts w:ascii="Verdana" w:hAnsi="Verdana"/>
          <w:bCs/>
          <w:sz w:val="20"/>
        </w:rPr>
        <w:t>b)   Tener una estructura de pago de flujos a los inversionistas integrada por los siguientes dos componentes:</w:t>
      </w:r>
    </w:p>
    <w:p w:rsidR="00346315" w:rsidRPr="00346315" w:rsidRDefault="00346315" w:rsidP="00346315">
      <w:pPr>
        <w:jc w:val="both"/>
        <w:rPr>
          <w:rFonts w:ascii="Verdana" w:hAnsi="Verdana"/>
          <w:bCs/>
          <w:sz w:val="20"/>
        </w:rPr>
      </w:pPr>
      <w:r w:rsidRPr="00346315">
        <w:rPr>
          <w:rFonts w:ascii="Verdana" w:hAnsi="Verdana"/>
          <w:bCs/>
          <w:sz w:val="20"/>
        </w:rPr>
        <w:t>i.    Un bono cupón cero no subordinado, o en su caso un pago con estructura financiera similar a éste, a través del cual se devuelve al inversionista en la fecha de vencimiento del título el monto invertido. Este componente puede estar denominado en pesos, Unidades de Inversión o Divisas y puede ser emitido por Emisores Nacionales o Extranjeros.</w:t>
      </w:r>
    </w:p>
    <w:p w:rsidR="00346315" w:rsidRPr="00346315" w:rsidRDefault="00346315" w:rsidP="00346315">
      <w:pPr>
        <w:jc w:val="both"/>
        <w:rPr>
          <w:rFonts w:ascii="Verdana" w:hAnsi="Verdana"/>
          <w:bCs/>
          <w:sz w:val="20"/>
        </w:rPr>
      </w:pPr>
      <w:r w:rsidRPr="00346315">
        <w:rPr>
          <w:rFonts w:ascii="Verdana" w:hAnsi="Verdana"/>
          <w:bCs/>
          <w:sz w:val="20"/>
        </w:rPr>
        <w:t>ii.    El pago de cupones, cuyo valor esté vinculado a Divisas, Unidades de Inversión, pesos, tasas de interés reales o nominales, el índice nacional de precios al consumidor, Mercancías, Componentes de Renta Variable, FIBRAS o una combinación de las anteriores. El valor de los cupones en ningún caso podrá ser negativo. Dicho valor podrá determinarse a través de Derivados autorizados.</w:t>
      </w:r>
    </w:p>
    <w:p w:rsidR="00346315" w:rsidRPr="00346315" w:rsidRDefault="00346315" w:rsidP="00346315">
      <w:pPr>
        <w:jc w:val="both"/>
        <w:rPr>
          <w:rFonts w:ascii="Verdana" w:hAnsi="Verdana"/>
          <w:bCs/>
          <w:sz w:val="20"/>
        </w:rPr>
      </w:pPr>
      <w:r w:rsidRPr="00346315">
        <w:rPr>
          <w:rFonts w:ascii="Verdana" w:hAnsi="Verdana"/>
          <w:bCs/>
          <w:sz w:val="20"/>
        </w:rPr>
        <w:t>c)   En su caso, la estructura de pago de flujos al inversionista puede ofrecer un vencimiento no definido, a cien años o a un plazo mayor a éste;</w:t>
      </w:r>
    </w:p>
    <w:p w:rsidR="00346315" w:rsidRPr="00346315" w:rsidRDefault="00346315" w:rsidP="00346315">
      <w:pPr>
        <w:jc w:val="both"/>
        <w:rPr>
          <w:rFonts w:ascii="Verdana" w:hAnsi="Verdana"/>
          <w:bCs/>
          <w:sz w:val="20"/>
        </w:rPr>
      </w:pPr>
      <w:r w:rsidRPr="00346315">
        <w:rPr>
          <w:rFonts w:ascii="Verdana" w:hAnsi="Verdana"/>
          <w:bCs/>
          <w:sz w:val="20"/>
        </w:rPr>
        <w:t>d)   Contar con las calificaciones crediticias previstas en las presentes disposiciones, y</w:t>
      </w:r>
    </w:p>
    <w:p w:rsidR="00346315" w:rsidRPr="00346315" w:rsidRDefault="00346315" w:rsidP="00346315">
      <w:pPr>
        <w:jc w:val="both"/>
        <w:rPr>
          <w:rFonts w:ascii="Verdana" w:hAnsi="Verdana"/>
          <w:bCs/>
          <w:sz w:val="20"/>
        </w:rPr>
      </w:pPr>
      <w:r w:rsidRPr="00346315">
        <w:rPr>
          <w:rFonts w:ascii="Verdana" w:hAnsi="Verdana"/>
          <w:bCs/>
          <w:sz w:val="20"/>
        </w:rPr>
        <w:lastRenderedPageBreak/>
        <w:t>e)   El instrumento podrá requerir al inversionista únicamente la aportación del monto de inversión inicial y no deberá requerir a éste la administración ni la aportación de garantías.</w:t>
      </w:r>
    </w:p>
    <w:p w:rsidR="00346315" w:rsidRPr="00346315" w:rsidRDefault="00346315" w:rsidP="00346315">
      <w:pPr>
        <w:jc w:val="both"/>
        <w:rPr>
          <w:rFonts w:ascii="Verdana" w:hAnsi="Verdana"/>
          <w:bCs/>
          <w:sz w:val="20"/>
        </w:rPr>
      </w:pPr>
      <w:r w:rsidRPr="00346315">
        <w:rPr>
          <w:rFonts w:ascii="Verdana" w:hAnsi="Verdana"/>
          <w:bCs/>
          <w:sz w:val="20"/>
        </w:rPr>
        <w:t>XXXV.    FIBRAS, a las FIBRAS Genéricas y a las FIBRAS-E;</w:t>
      </w:r>
    </w:p>
    <w:p w:rsidR="00346315" w:rsidRPr="00346315" w:rsidRDefault="00346315" w:rsidP="00346315">
      <w:pPr>
        <w:jc w:val="both"/>
        <w:rPr>
          <w:rFonts w:ascii="Verdana" w:hAnsi="Verdana"/>
          <w:bCs/>
          <w:sz w:val="20"/>
        </w:rPr>
      </w:pPr>
      <w:r w:rsidRPr="00346315">
        <w:rPr>
          <w:rFonts w:ascii="Verdana" w:hAnsi="Verdana"/>
          <w:bCs/>
          <w:sz w:val="20"/>
        </w:rPr>
        <w:t>XXXVI.    FIBRAS Genéricas, a los títulos o valores emitidos por fideicomisos que se dediquen a la adquisición o construcción de bienes inmuebles en territorio nacional que se destinen al arrendamiento o a la adquisición del derecho a percibir ingresos provenientes del arrendamiento de dichos bienes, así como a otorgar financiamiento para esos fines, que cumplan con lo previsto en los artículos 187 y 188 de la Ley del Impuesto sobre la Renta;</w:t>
      </w:r>
    </w:p>
    <w:p w:rsidR="00346315" w:rsidRPr="00346315" w:rsidRDefault="00346315" w:rsidP="00346315">
      <w:pPr>
        <w:jc w:val="both"/>
        <w:rPr>
          <w:rFonts w:ascii="Verdana" w:hAnsi="Verdana"/>
          <w:bCs/>
          <w:sz w:val="20"/>
        </w:rPr>
      </w:pPr>
      <w:r w:rsidRPr="00346315">
        <w:rPr>
          <w:rFonts w:ascii="Verdana" w:hAnsi="Verdana"/>
          <w:bCs/>
          <w:sz w:val="20"/>
        </w:rPr>
        <w:t>XXXVII.   FIBRA-E, a los certificados bursátiles fiduciarios de inversión en energía e infraestructura referidos en el artículo 1º de las disposiciones de carácter general aplicables a las emisoras de valores y a otros participantes del mercado de valores</w:t>
      </w:r>
      <w:r w:rsidRPr="00346315">
        <w:rPr>
          <w:rFonts w:ascii="Verdana" w:hAnsi="Verdana"/>
          <w:bCs/>
          <w:i/>
          <w:iCs/>
          <w:sz w:val="20"/>
        </w:rPr>
        <w:t>,</w:t>
      </w:r>
      <w:r w:rsidRPr="00346315">
        <w:rPr>
          <w:rFonts w:ascii="Verdana" w:hAnsi="Verdana"/>
          <w:bCs/>
          <w:sz w:val="20"/>
        </w:rPr>
        <w:t> emitidas por la Comisión Nacional Bancaria y de Valores, con sus respectivas modificaciones y adiciones;</w:t>
      </w:r>
    </w:p>
    <w:p w:rsidR="00346315" w:rsidRPr="00346315" w:rsidRDefault="00346315" w:rsidP="00346315">
      <w:pPr>
        <w:jc w:val="both"/>
        <w:rPr>
          <w:rFonts w:ascii="Verdana" w:hAnsi="Verdana"/>
          <w:bCs/>
          <w:sz w:val="20"/>
        </w:rPr>
      </w:pPr>
      <w:r w:rsidRPr="00346315">
        <w:rPr>
          <w:rFonts w:ascii="Verdana" w:hAnsi="Verdana"/>
          <w:bCs/>
          <w:sz w:val="20"/>
        </w:rPr>
        <w:t>XXXVIII.  Fondos Mutuos, a las entidades nacionales o extranjeras, que se encuentren registradas, reguladas y supervisadas por alguna autoridad perteneciente a los Países Elegibles para Inversiones que cumplan con la regulación de su país de origen, así como con las siguientes características:</w:t>
      </w:r>
    </w:p>
    <w:p w:rsidR="00346315" w:rsidRPr="00346315" w:rsidRDefault="00346315" w:rsidP="00346315">
      <w:pPr>
        <w:jc w:val="both"/>
        <w:rPr>
          <w:rFonts w:ascii="Verdana" w:hAnsi="Verdana"/>
          <w:bCs/>
          <w:sz w:val="20"/>
        </w:rPr>
      </w:pPr>
      <w:r w:rsidRPr="00346315">
        <w:rPr>
          <w:rFonts w:ascii="Verdana" w:hAnsi="Verdana"/>
          <w:bCs/>
          <w:sz w:val="20"/>
        </w:rPr>
        <w:t>a)   El valor neto de sus activos se debe conocer diariamente a través de los mecanismos que para tales efectos establezcan las autoridades de los Países Elegibles para Inversiones que regulen el fondo de que se trate;</w:t>
      </w:r>
    </w:p>
    <w:p w:rsidR="00346315" w:rsidRPr="00346315" w:rsidRDefault="00346315" w:rsidP="00346315">
      <w:pPr>
        <w:jc w:val="both"/>
        <w:rPr>
          <w:rFonts w:ascii="Verdana" w:hAnsi="Verdana"/>
          <w:bCs/>
          <w:sz w:val="20"/>
        </w:rPr>
      </w:pPr>
      <w:r w:rsidRPr="00346315">
        <w:rPr>
          <w:rFonts w:ascii="Verdana" w:hAnsi="Verdana"/>
          <w:bCs/>
          <w:sz w:val="20"/>
        </w:rPr>
        <w:t>b)   La liquidez y redención de las acciones o títulos debe ser diaria, o bien conforme a la periodicidad que determine el Comité de Análisis de Riesgos;</w:t>
      </w:r>
    </w:p>
    <w:p w:rsidR="00346315" w:rsidRPr="00346315" w:rsidRDefault="00346315" w:rsidP="00346315">
      <w:pPr>
        <w:jc w:val="both"/>
        <w:rPr>
          <w:rFonts w:ascii="Verdana" w:hAnsi="Verdana"/>
          <w:bCs/>
          <w:sz w:val="20"/>
        </w:rPr>
      </w:pPr>
      <w:r w:rsidRPr="00346315">
        <w:rPr>
          <w:rFonts w:ascii="Verdana" w:hAnsi="Verdana"/>
          <w:bCs/>
          <w:sz w:val="20"/>
        </w:rPr>
        <w:t>c)   Sus administradores y/o asesores de inversión deben estar registrados, regulados y supervisados por alguna autoridad perteneciente a los Países Elegibles para Inversiones;</w:t>
      </w:r>
    </w:p>
    <w:p w:rsidR="00346315" w:rsidRPr="00346315" w:rsidRDefault="00346315" w:rsidP="00346315">
      <w:pPr>
        <w:jc w:val="both"/>
        <w:rPr>
          <w:rFonts w:ascii="Verdana" w:hAnsi="Verdana"/>
          <w:bCs/>
          <w:sz w:val="20"/>
        </w:rPr>
      </w:pPr>
      <w:r w:rsidRPr="00346315">
        <w:rPr>
          <w:rFonts w:ascii="Verdana" w:hAnsi="Verdana"/>
          <w:bCs/>
          <w:sz w:val="20"/>
        </w:rPr>
        <w:t>d)   Deben contar con un prospecto de inversión en el que hagan pública su política de inversión y deben publicar periódicamente su situación financiera, y</w:t>
      </w:r>
    </w:p>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e)   Los instrumentos en los que inviertan deben ser emitidos mediante oferta pública y observar los criterios aplicables a Activos Objeto de Inversión determinados en las presentes disposiciones.</w:t>
      </w:r>
    </w:p>
    <w:p w:rsidR="00346315" w:rsidRPr="00346315" w:rsidRDefault="00346315" w:rsidP="00346315">
      <w:pPr>
        <w:jc w:val="both"/>
        <w:rPr>
          <w:rFonts w:ascii="Verdana" w:hAnsi="Verdana"/>
          <w:bCs/>
          <w:sz w:val="20"/>
        </w:rPr>
      </w:pPr>
      <w:r w:rsidRPr="00346315">
        <w:rPr>
          <w:rFonts w:ascii="Verdana" w:hAnsi="Verdana"/>
          <w:bCs/>
          <w:sz w:val="20"/>
        </w:rPr>
        <w:t>             Los Fondos Mutuos pueden ser Fondos Mutuos Nacionales o bien Fondos Mutuos Extranjeros.</w:t>
      </w:r>
    </w:p>
    <w:p w:rsidR="00346315" w:rsidRPr="00346315" w:rsidRDefault="00346315" w:rsidP="00346315">
      <w:pPr>
        <w:jc w:val="both"/>
        <w:rPr>
          <w:rFonts w:ascii="Verdana" w:hAnsi="Verdana"/>
          <w:bCs/>
          <w:sz w:val="20"/>
        </w:rPr>
      </w:pPr>
      <w:r w:rsidRPr="00346315">
        <w:rPr>
          <w:rFonts w:ascii="Verdana" w:hAnsi="Verdana"/>
          <w:bCs/>
          <w:sz w:val="20"/>
        </w:rPr>
        <w:t>             El Comité de Análisis de Riesgos determinará los lineamientos que deben cumplir estos fondos con el objeto de proteger los recursos de los trabajadores invertidos en las Sociedades de Inversión.</w:t>
      </w:r>
    </w:p>
    <w:p w:rsidR="00346315" w:rsidRPr="00346315" w:rsidRDefault="00346315" w:rsidP="00346315">
      <w:pPr>
        <w:jc w:val="both"/>
        <w:rPr>
          <w:rFonts w:ascii="Verdana" w:hAnsi="Verdana"/>
          <w:bCs/>
          <w:sz w:val="20"/>
        </w:rPr>
      </w:pPr>
      <w:r w:rsidRPr="00346315">
        <w:rPr>
          <w:rFonts w:ascii="Verdana" w:hAnsi="Verdana"/>
          <w:bCs/>
          <w:sz w:val="20"/>
        </w:rPr>
        <w:lastRenderedPageBreak/>
        <w:t>XXXIX.   Fondos Mutuos Extranjeros, a los Fondos Mutuos conformados por Valores Extranjeros de Deuda, Inversiones Neutras o Valores Extranjeros de Renta Variable;</w:t>
      </w:r>
    </w:p>
    <w:p w:rsidR="00346315" w:rsidRPr="00346315" w:rsidRDefault="00346315" w:rsidP="00346315">
      <w:pPr>
        <w:jc w:val="both"/>
        <w:rPr>
          <w:rFonts w:ascii="Verdana" w:hAnsi="Verdana"/>
          <w:bCs/>
          <w:sz w:val="20"/>
        </w:rPr>
      </w:pPr>
      <w:r w:rsidRPr="00346315">
        <w:rPr>
          <w:rFonts w:ascii="Verdana" w:hAnsi="Verdana"/>
          <w:bCs/>
          <w:sz w:val="20"/>
        </w:rPr>
        <w:t>XL.        Fondos Mutuos Nacionales, a los Fondos Mutuos conformados por Instrumentos de Deuda, Inversiones Neutras o Instrumentos de Renta Variable;</w:t>
      </w:r>
    </w:p>
    <w:p w:rsidR="00346315" w:rsidRPr="00346315" w:rsidRDefault="00346315" w:rsidP="00346315">
      <w:pPr>
        <w:jc w:val="both"/>
        <w:rPr>
          <w:rFonts w:ascii="Verdana" w:hAnsi="Verdana"/>
          <w:bCs/>
          <w:sz w:val="20"/>
        </w:rPr>
      </w:pPr>
      <w:r w:rsidRPr="00346315">
        <w:rPr>
          <w:rFonts w:ascii="Verdana" w:hAnsi="Verdana"/>
          <w:bCs/>
          <w:sz w:val="20"/>
        </w:rPr>
        <w:t>XLI.        Grado de Inversión, al obtenido por los Instrumentos de Deuda y Valores Extranjeros de Deuda denominados en moneda nacional, Unidades de Inversión o Divisas que ostenten las calificaciones relacionadas en los Anexos A, B, C, D, E, F, G, H, I, J y K de las presentes disposiciones;</w:t>
      </w:r>
    </w:p>
    <w:p w:rsidR="00346315" w:rsidRPr="00346315" w:rsidRDefault="00346315" w:rsidP="00346315">
      <w:pPr>
        <w:jc w:val="both"/>
        <w:rPr>
          <w:rFonts w:ascii="Verdana" w:hAnsi="Verdana"/>
          <w:bCs/>
          <w:sz w:val="20"/>
        </w:rPr>
      </w:pPr>
      <w:r w:rsidRPr="00346315">
        <w:rPr>
          <w:rFonts w:ascii="Verdana" w:hAnsi="Verdana"/>
          <w:bCs/>
          <w:sz w:val="20"/>
        </w:rPr>
        <w:t>XLII.       Grupos Financieros, a los constituidos en términos de la Ley para Regular las Agrupaciones Financieras;</w:t>
      </w:r>
    </w:p>
    <w:p w:rsidR="00346315" w:rsidRPr="00346315" w:rsidRDefault="00346315" w:rsidP="00346315">
      <w:pPr>
        <w:jc w:val="both"/>
        <w:rPr>
          <w:rFonts w:ascii="Verdana" w:hAnsi="Verdana"/>
          <w:bCs/>
          <w:sz w:val="20"/>
        </w:rPr>
      </w:pPr>
      <w:r w:rsidRPr="00346315">
        <w:rPr>
          <w:rFonts w:ascii="Verdana" w:hAnsi="Verdana"/>
          <w:bCs/>
          <w:sz w:val="20"/>
        </w:rPr>
        <w:t>XLIII.      Índices Accionarios de Países Elegibles para Inversiones, a los indicadores accionarios que satisfagan los requisitos establecidos por el Comité de Análisis de Riesgos;</w:t>
      </w:r>
    </w:p>
    <w:p w:rsidR="00346315" w:rsidRPr="00346315" w:rsidRDefault="00346315" w:rsidP="00346315">
      <w:pPr>
        <w:jc w:val="both"/>
        <w:rPr>
          <w:rFonts w:ascii="Verdana" w:hAnsi="Verdana"/>
          <w:bCs/>
          <w:sz w:val="20"/>
        </w:rPr>
      </w:pPr>
      <w:r w:rsidRPr="00346315">
        <w:rPr>
          <w:rFonts w:ascii="Verdana" w:hAnsi="Verdana"/>
          <w:bCs/>
          <w:sz w:val="20"/>
        </w:rPr>
        <w:t>XLIV.      Índices Inmobiliarios de Países Elegibles para Inversiones, a los indicadores inmobiliarios que satisfagan los requisitos establecidos por el Comité de Análisis de Riesgos;</w:t>
      </w:r>
    </w:p>
    <w:p w:rsidR="00346315" w:rsidRPr="00346315" w:rsidRDefault="00346315" w:rsidP="00346315">
      <w:pPr>
        <w:jc w:val="both"/>
        <w:rPr>
          <w:rFonts w:ascii="Verdana" w:hAnsi="Verdana"/>
          <w:bCs/>
          <w:sz w:val="20"/>
        </w:rPr>
      </w:pPr>
      <w:r w:rsidRPr="00346315">
        <w:rPr>
          <w:rFonts w:ascii="Verdana" w:hAnsi="Verdana"/>
          <w:bCs/>
          <w:sz w:val="20"/>
        </w:rPr>
        <w:t>XLV.      Índices de Deuda de Países Elegibles para Inversiones, a los indicadores de deuda que satisfagan los requisitos establecidos por el Comité de Análisis de Riesgos;</w:t>
      </w:r>
    </w:p>
    <w:p w:rsidR="00346315" w:rsidRPr="00346315" w:rsidRDefault="00346315" w:rsidP="00346315">
      <w:pPr>
        <w:jc w:val="both"/>
        <w:rPr>
          <w:rFonts w:ascii="Verdana" w:hAnsi="Verdana"/>
          <w:bCs/>
          <w:sz w:val="20"/>
        </w:rPr>
      </w:pPr>
      <w:r w:rsidRPr="00346315">
        <w:rPr>
          <w:rFonts w:ascii="Verdana" w:hAnsi="Verdana"/>
          <w:bCs/>
          <w:sz w:val="20"/>
        </w:rPr>
        <w:t>XLVI.      Instituciones de Crédito, a las instituciones de banca múltiple y banca de desarrollo nacionales;</w:t>
      </w:r>
    </w:p>
    <w:p w:rsidR="00346315" w:rsidRPr="00346315" w:rsidRDefault="00346315" w:rsidP="00346315">
      <w:pPr>
        <w:jc w:val="both"/>
        <w:rPr>
          <w:rFonts w:ascii="Verdana" w:hAnsi="Verdana"/>
          <w:bCs/>
          <w:sz w:val="20"/>
        </w:rPr>
      </w:pPr>
      <w:r w:rsidRPr="00346315">
        <w:rPr>
          <w:rFonts w:ascii="Verdana" w:hAnsi="Verdana"/>
          <w:bCs/>
          <w:sz w:val="20"/>
        </w:rPr>
        <w:t xml:space="preserve">XLVII.     Instrumentos, a todos los Instrumentos </w:t>
      </w:r>
      <w:proofErr w:type="spellStart"/>
      <w:r w:rsidRPr="00346315">
        <w:rPr>
          <w:rFonts w:ascii="Verdana" w:hAnsi="Verdana"/>
          <w:bCs/>
          <w:sz w:val="20"/>
        </w:rPr>
        <w:t>Bursatilizados</w:t>
      </w:r>
      <w:proofErr w:type="spellEnd"/>
      <w:r w:rsidRPr="00346315">
        <w:rPr>
          <w:rFonts w:ascii="Verdana" w:hAnsi="Verdana"/>
          <w:bCs/>
          <w:sz w:val="20"/>
        </w:rPr>
        <w:t>, Instrumentos de Deuda, Instrumentos Estructurados, FIBRAS e Instrumentos de Renta Variable denominados en moneda nacional, Unidades de Inversión o Divisas emitidos por Emisores Nacionales, incluidos los Certificados Bursátiles y los Certificados de Participación, adquiridos directamente o a través de Vehículos, los documentos o contratos de deuda a cargo del Gobierno Federal, los depósitos en el Banco de México, los depósitos bancarios de dinero a la vista realizados en Instituciones de Crédito, las Estructuras Vinculadas a Subyacentes, o en su caso los componentes de éstas, emitidos por Emisores Nacionales, así como las Mercancías;</w:t>
      </w:r>
    </w:p>
    <w:p w:rsidR="00346315" w:rsidRPr="00346315" w:rsidRDefault="00346315" w:rsidP="00346315">
      <w:pPr>
        <w:jc w:val="both"/>
        <w:rPr>
          <w:rFonts w:ascii="Verdana" w:hAnsi="Verdana"/>
          <w:bCs/>
          <w:sz w:val="20"/>
        </w:rPr>
      </w:pPr>
      <w:r w:rsidRPr="00346315">
        <w:rPr>
          <w:rFonts w:ascii="Verdana" w:hAnsi="Verdana"/>
          <w:bCs/>
          <w:sz w:val="20"/>
        </w:rPr>
        <w:t xml:space="preserve">XLVIII.    Instrumentos </w:t>
      </w:r>
      <w:proofErr w:type="spellStart"/>
      <w:r w:rsidRPr="00346315">
        <w:rPr>
          <w:rFonts w:ascii="Verdana" w:hAnsi="Verdana"/>
          <w:bCs/>
          <w:sz w:val="20"/>
        </w:rPr>
        <w:t>Bursatilizados</w:t>
      </w:r>
      <w:proofErr w:type="spellEnd"/>
      <w:r w:rsidRPr="00346315">
        <w:rPr>
          <w:rFonts w:ascii="Verdana" w:hAnsi="Verdana"/>
          <w:bCs/>
          <w:sz w:val="20"/>
        </w:rPr>
        <w:t>, a los siguientes:</w:t>
      </w:r>
    </w:p>
    <w:p w:rsidR="00346315" w:rsidRPr="00346315" w:rsidRDefault="00346315" w:rsidP="00346315">
      <w:pPr>
        <w:jc w:val="both"/>
        <w:rPr>
          <w:rFonts w:ascii="Verdana" w:hAnsi="Verdana"/>
          <w:bCs/>
          <w:sz w:val="20"/>
        </w:rPr>
      </w:pPr>
      <w:r w:rsidRPr="00346315">
        <w:rPr>
          <w:rFonts w:ascii="Verdana" w:hAnsi="Verdana"/>
          <w:bCs/>
          <w:sz w:val="20"/>
        </w:rPr>
        <w:t>a)   Títulos o valores que representen derechos de crédito emitidos a través de Vehículos cuyos activos subyacentes sean dichos derechos de crédito, no quedando incluido cualquier otro instrumento diferente a los antes mencionados, tales como los conocidos como Instrumentos Estructurados o cualesquiera otros que no reúnan los requisitos establecidos en las disposiciones de carácter general en materia financiera de los Sistemas de Ahorro para el Retiro, ni reúnan los niveles de aforo, el capital retenido, la serie subordinada y la garantía financiera que se determinen por el Comité de Análisis de Riesgos, al que se refieren los artículos 43 párrafo cuarto y 45 de la Ley, y</w:t>
      </w:r>
    </w:p>
    <w:p w:rsidR="00346315" w:rsidRPr="00346315" w:rsidRDefault="00346315" w:rsidP="00346315">
      <w:pPr>
        <w:jc w:val="both"/>
        <w:rPr>
          <w:rFonts w:ascii="Verdana" w:hAnsi="Verdana"/>
          <w:bCs/>
          <w:sz w:val="20"/>
        </w:rPr>
      </w:pPr>
      <w:r w:rsidRPr="00346315">
        <w:rPr>
          <w:rFonts w:ascii="Verdana" w:hAnsi="Verdana"/>
          <w:bCs/>
          <w:sz w:val="20"/>
        </w:rPr>
        <w:lastRenderedPageBreak/>
        <w:t>b)   Certificados Bursátiles Vinculados a Proyectos Reales;</w:t>
      </w:r>
    </w:p>
    <w:p w:rsidR="00346315" w:rsidRPr="00346315" w:rsidRDefault="00346315" w:rsidP="00346315">
      <w:pPr>
        <w:jc w:val="both"/>
        <w:rPr>
          <w:rFonts w:ascii="Verdana" w:hAnsi="Verdana"/>
          <w:bCs/>
          <w:sz w:val="20"/>
        </w:rPr>
      </w:pPr>
      <w:r w:rsidRPr="00346315">
        <w:rPr>
          <w:rFonts w:ascii="Verdana" w:hAnsi="Verdana"/>
          <w:bCs/>
          <w:sz w:val="20"/>
        </w:rPr>
        <w:t>XLIX.      Instrumentos de Deuda, a los siguientes:</w:t>
      </w:r>
    </w:p>
    <w:p w:rsidR="00346315" w:rsidRPr="00346315" w:rsidRDefault="00346315" w:rsidP="00346315">
      <w:pPr>
        <w:jc w:val="both"/>
        <w:rPr>
          <w:rFonts w:ascii="Verdana" w:hAnsi="Verdana"/>
          <w:bCs/>
          <w:sz w:val="20"/>
        </w:rPr>
      </w:pPr>
      <w:r w:rsidRPr="00346315">
        <w:rPr>
          <w:rFonts w:ascii="Verdana" w:hAnsi="Verdana"/>
          <w:bCs/>
          <w:sz w:val="20"/>
        </w:rPr>
        <w:t xml:space="preserve">a)   Activos Objeto de Inversión, cuya naturaleza corresponda a valores, títulos o documentos representativos de una deuda a cargo de un tercero, colocados en mercados nacionales o extranjeros, emitidos por Emisores Nacionales, así como a los Instrumentos </w:t>
      </w:r>
      <w:proofErr w:type="spellStart"/>
      <w:r w:rsidRPr="00346315">
        <w:rPr>
          <w:rFonts w:ascii="Verdana" w:hAnsi="Verdana"/>
          <w:bCs/>
          <w:sz w:val="20"/>
        </w:rPr>
        <w:t>Bursatilizados</w:t>
      </w:r>
      <w:proofErr w:type="spellEnd"/>
      <w:r w:rsidRPr="00346315">
        <w:rPr>
          <w:rFonts w:ascii="Verdana" w:hAnsi="Verdana"/>
          <w:bCs/>
          <w:sz w:val="20"/>
        </w:rPr>
        <w:t xml:space="preserve"> y los depósitos en el Banco de México;</w:t>
      </w:r>
    </w:p>
    <w:p w:rsidR="00346315" w:rsidRPr="00346315" w:rsidRDefault="00346315" w:rsidP="00346315">
      <w:pPr>
        <w:jc w:val="both"/>
        <w:rPr>
          <w:rFonts w:ascii="Verdana" w:hAnsi="Verdana"/>
          <w:bCs/>
          <w:sz w:val="20"/>
        </w:rPr>
      </w:pPr>
      <w:r w:rsidRPr="00346315">
        <w:rPr>
          <w:rFonts w:ascii="Verdana" w:hAnsi="Verdana"/>
          <w:bCs/>
          <w:sz w:val="20"/>
        </w:rPr>
        <w:t>b)   Las obligaciones convertibles en acciones de Sociedades Anónimas Bursátiles, distintas a los Instrumentos de Renta Variable;</w:t>
      </w:r>
    </w:p>
    <w:p w:rsidR="00346315" w:rsidRPr="00346315" w:rsidRDefault="00346315" w:rsidP="00346315">
      <w:pPr>
        <w:jc w:val="both"/>
        <w:rPr>
          <w:rFonts w:ascii="Verdana" w:hAnsi="Verdana"/>
          <w:bCs/>
          <w:sz w:val="20"/>
        </w:rPr>
      </w:pPr>
      <w:r w:rsidRPr="00346315">
        <w:rPr>
          <w:rFonts w:ascii="Verdana" w:hAnsi="Verdana"/>
          <w:bCs/>
          <w:sz w:val="20"/>
        </w:rPr>
        <w:t>c)   Las obligaciones subordinadas no convertibles emitidas por Instituciones de Crédito a que se refiere el artículo 64 de la Ley de Instituciones de Crédito;</w:t>
      </w:r>
    </w:p>
    <w:p w:rsidR="00346315" w:rsidRPr="00346315" w:rsidRDefault="00346315" w:rsidP="00346315">
      <w:pPr>
        <w:jc w:val="both"/>
        <w:rPr>
          <w:rFonts w:ascii="Verdana" w:hAnsi="Verdana"/>
          <w:bCs/>
          <w:sz w:val="20"/>
        </w:rPr>
      </w:pPr>
      <w:r w:rsidRPr="00346315">
        <w:rPr>
          <w:rFonts w:ascii="Verdana" w:hAnsi="Verdana"/>
          <w:bCs/>
          <w:sz w:val="20"/>
        </w:rPr>
        <w:t>d)   Las obligaciones subordinadas no convertibles que cumplan con los siguientes requisitos:</w:t>
      </w:r>
    </w:p>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i.    Que tengan por objeto financiar proyectos de infraestructura en territorio nacional;</w:t>
      </w:r>
    </w:p>
    <w:p w:rsidR="00346315" w:rsidRPr="00346315" w:rsidRDefault="00346315" w:rsidP="00346315">
      <w:pPr>
        <w:jc w:val="both"/>
        <w:rPr>
          <w:rFonts w:ascii="Verdana" w:hAnsi="Verdana"/>
          <w:bCs/>
          <w:sz w:val="20"/>
        </w:rPr>
      </w:pPr>
      <w:r w:rsidRPr="00346315">
        <w:rPr>
          <w:rFonts w:ascii="Verdana" w:hAnsi="Verdana"/>
          <w:bCs/>
          <w:sz w:val="20"/>
        </w:rPr>
        <w:t>ii.    Que en ninguno de los tramos o series en que se estructuren se establezcan aportaciones adicionales con cargo a los tenedores;</w:t>
      </w:r>
    </w:p>
    <w:p w:rsidR="00346315" w:rsidRPr="00346315" w:rsidRDefault="00346315" w:rsidP="00346315">
      <w:pPr>
        <w:jc w:val="both"/>
        <w:rPr>
          <w:rFonts w:ascii="Verdana" w:hAnsi="Verdana"/>
          <w:bCs/>
          <w:sz w:val="20"/>
        </w:rPr>
      </w:pPr>
      <w:r w:rsidRPr="00346315">
        <w:rPr>
          <w:rFonts w:ascii="Verdana" w:hAnsi="Verdana"/>
          <w:bCs/>
          <w:sz w:val="20"/>
        </w:rPr>
        <w:t>iii.   Que sin perjuicio del orden de prelación establecido entre dichos tramos o series en ningún caso se libere al emisor de la obligación de pago del principal, aun cuando dicho principal pueda ser diferido o amortizado anticipadamente, y</w:t>
      </w:r>
    </w:p>
    <w:p w:rsidR="00346315" w:rsidRPr="00346315" w:rsidRDefault="00346315" w:rsidP="00346315">
      <w:pPr>
        <w:jc w:val="both"/>
        <w:rPr>
          <w:rFonts w:ascii="Verdana" w:hAnsi="Verdana"/>
          <w:bCs/>
          <w:sz w:val="20"/>
        </w:rPr>
      </w:pPr>
      <w:r w:rsidRPr="00346315">
        <w:rPr>
          <w:rFonts w:ascii="Verdana" w:hAnsi="Verdana"/>
          <w:bCs/>
          <w:sz w:val="20"/>
        </w:rPr>
        <w:t>iv.   Que en el caso de que sean emitidas a través de un Vehículo, éste no confiera derechos directa o indirectamente, respecto de Derivados o implique estructuras sujetas a financiamiento.</w:t>
      </w:r>
    </w:p>
    <w:p w:rsidR="00346315" w:rsidRPr="00346315" w:rsidRDefault="00346315" w:rsidP="00346315">
      <w:pPr>
        <w:jc w:val="both"/>
        <w:rPr>
          <w:rFonts w:ascii="Verdana" w:hAnsi="Verdana"/>
          <w:bCs/>
          <w:sz w:val="20"/>
        </w:rPr>
      </w:pPr>
      <w:r w:rsidRPr="00346315">
        <w:rPr>
          <w:rFonts w:ascii="Verdana" w:hAnsi="Verdana"/>
          <w:bCs/>
          <w:sz w:val="20"/>
        </w:rPr>
        <w:t>e)   Obligaciones subordinadas no convertibles en acciones.</w:t>
      </w:r>
    </w:p>
    <w:p w:rsidR="00346315" w:rsidRPr="00346315" w:rsidRDefault="00346315" w:rsidP="00346315">
      <w:pPr>
        <w:jc w:val="both"/>
        <w:rPr>
          <w:rFonts w:ascii="Verdana" w:hAnsi="Verdana"/>
          <w:bCs/>
          <w:sz w:val="20"/>
        </w:rPr>
      </w:pPr>
      <w:r w:rsidRPr="00346315">
        <w:rPr>
          <w:rFonts w:ascii="Verdana" w:hAnsi="Verdana"/>
          <w:bCs/>
          <w:sz w:val="20"/>
        </w:rPr>
        <w:t xml:space="preserve">      Se exceptúan de las comprendidas en este inciso, las series contempladas en la emisión de un instrumento financiero que ante cualquier evento distinto al de liquidación o concurso mercantil otorgue derechos de prelación de cobro diferenciados a los tenedores de dichas series, cualquiera que sea su denominación. En particular no quedan contempladas en la presente definición las series subordinadas o </w:t>
      </w:r>
      <w:proofErr w:type="spellStart"/>
      <w:r w:rsidRPr="00346315">
        <w:rPr>
          <w:rFonts w:ascii="Verdana" w:hAnsi="Verdana"/>
          <w:bCs/>
          <w:sz w:val="20"/>
        </w:rPr>
        <w:t>mezzanine</w:t>
      </w:r>
      <w:proofErr w:type="spellEnd"/>
      <w:r w:rsidRPr="00346315">
        <w:rPr>
          <w:rFonts w:ascii="Verdana" w:hAnsi="Verdana"/>
          <w:bCs/>
          <w:sz w:val="20"/>
        </w:rPr>
        <w:t xml:space="preserve"> de los Instrumentos </w:t>
      </w:r>
      <w:proofErr w:type="spellStart"/>
      <w:r w:rsidRPr="00346315">
        <w:rPr>
          <w:rFonts w:ascii="Verdana" w:hAnsi="Verdana"/>
          <w:bCs/>
          <w:sz w:val="20"/>
        </w:rPr>
        <w:t>Bursatilizados</w:t>
      </w:r>
      <w:proofErr w:type="spellEnd"/>
      <w:r w:rsidRPr="00346315">
        <w:rPr>
          <w:rFonts w:ascii="Verdana" w:hAnsi="Verdana"/>
          <w:bCs/>
          <w:sz w:val="20"/>
        </w:rPr>
        <w:t>.</w:t>
      </w:r>
    </w:p>
    <w:p w:rsidR="00346315" w:rsidRPr="00346315" w:rsidRDefault="00346315" w:rsidP="00346315">
      <w:pPr>
        <w:jc w:val="both"/>
        <w:rPr>
          <w:rFonts w:ascii="Verdana" w:hAnsi="Verdana"/>
          <w:bCs/>
          <w:sz w:val="20"/>
        </w:rPr>
      </w:pPr>
      <w:r w:rsidRPr="00346315">
        <w:rPr>
          <w:rFonts w:ascii="Verdana" w:hAnsi="Verdana"/>
          <w:bCs/>
          <w:sz w:val="20"/>
        </w:rPr>
        <w:t>      Asimismo, quedan excluidas del presente inciso las distintas obligaciones y series de acciones emitidas por una sociedad anónima especializada en la inversión de recursos financieros.</w:t>
      </w:r>
    </w:p>
    <w:p w:rsidR="00346315" w:rsidRPr="00346315" w:rsidRDefault="00346315" w:rsidP="00346315">
      <w:pPr>
        <w:jc w:val="both"/>
        <w:rPr>
          <w:rFonts w:ascii="Verdana" w:hAnsi="Verdana"/>
          <w:bCs/>
          <w:sz w:val="20"/>
        </w:rPr>
      </w:pPr>
      <w:r w:rsidRPr="00346315">
        <w:rPr>
          <w:rFonts w:ascii="Verdana" w:hAnsi="Verdana"/>
          <w:bCs/>
          <w:sz w:val="20"/>
        </w:rPr>
        <w:t>f)    Instrumentos de Deuda Híbridos.</w:t>
      </w:r>
    </w:p>
    <w:p w:rsidR="00346315" w:rsidRPr="00346315" w:rsidRDefault="00346315" w:rsidP="00346315">
      <w:pPr>
        <w:jc w:val="both"/>
        <w:rPr>
          <w:rFonts w:ascii="Verdana" w:hAnsi="Verdana"/>
          <w:bCs/>
          <w:sz w:val="20"/>
        </w:rPr>
      </w:pPr>
      <w:r w:rsidRPr="00346315">
        <w:rPr>
          <w:rFonts w:ascii="Verdana" w:hAnsi="Verdana"/>
          <w:bCs/>
          <w:sz w:val="20"/>
        </w:rPr>
        <w:t xml:space="preserve">      Las obligaciones a que se refieren los incisos b), c), d), e) y f) anteriores, deberán alcanzar las calificaciones mínimas que determine el Comité de Análisis de Riesgos. En </w:t>
      </w:r>
      <w:r w:rsidRPr="00346315">
        <w:rPr>
          <w:rFonts w:ascii="Verdana" w:hAnsi="Verdana"/>
          <w:bCs/>
          <w:sz w:val="20"/>
        </w:rPr>
        <w:lastRenderedPageBreak/>
        <w:t>todo caso, las calificaciones deberán ser otorgadas cuando menos por dos instituciones calificadoras de valores autorizadas por la Comisión Nacional Bancaria y de Valores.</w:t>
      </w:r>
    </w:p>
    <w:p w:rsidR="00346315" w:rsidRPr="00346315" w:rsidRDefault="00346315" w:rsidP="00346315">
      <w:pPr>
        <w:jc w:val="both"/>
        <w:rPr>
          <w:rFonts w:ascii="Verdana" w:hAnsi="Verdana"/>
          <w:bCs/>
          <w:sz w:val="20"/>
        </w:rPr>
      </w:pPr>
      <w:r w:rsidRPr="00346315">
        <w:rPr>
          <w:rFonts w:ascii="Verdana" w:hAnsi="Verdana"/>
          <w:bCs/>
          <w:sz w:val="20"/>
        </w:rPr>
        <w:t xml:space="preserve">      Los Instrumentos de Deuda emitidos al amparo de la Ley de Mercado de Valores y de las disposiciones de carácter general aplicables a las emisoras de valores y a otros participantes del mercado de valores, emitida por la Comisión Nacional Bancaria y de Valores, cuyos recursos se destinen al financiamiento de proyectos de vivienda, cuya fuente de pago provenga directamente o indirectamente de créditos hipotecarios, </w:t>
      </w:r>
      <w:proofErr w:type="spellStart"/>
      <w:r w:rsidRPr="00346315">
        <w:rPr>
          <w:rFonts w:ascii="Verdana" w:hAnsi="Verdana"/>
          <w:bCs/>
          <w:sz w:val="20"/>
        </w:rPr>
        <w:t>seránconsiderados</w:t>
      </w:r>
      <w:proofErr w:type="spellEnd"/>
      <w:r w:rsidRPr="00346315">
        <w:rPr>
          <w:rFonts w:ascii="Verdana" w:hAnsi="Verdana"/>
          <w:bCs/>
          <w:sz w:val="20"/>
        </w:rPr>
        <w:t xml:space="preserve"> como títulos de deuda quirografaria o bien Instrumentos </w:t>
      </w:r>
      <w:proofErr w:type="spellStart"/>
      <w:r w:rsidRPr="00346315">
        <w:rPr>
          <w:rFonts w:ascii="Verdana" w:hAnsi="Verdana"/>
          <w:bCs/>
          <w:sz w:val="20"/>
        </w:rPr>
        <w:t>Bursatilizados</w:t>
      </w:r>
      <w:proofErr w:type="spellEnd"/>
      <w:r w:rsidRPr="00346315">
        <w:rPr>
          <w:rFonts w:ascii="Verdana" w:hAnsi="Verdana"/>
          <w:bCs/>
          <w:sz w:val="20"/>
        </w:rPr>
        <w:t>.</w:t>
      </w:r>
    </w:p>
    <w:p w:rsidR="00346315" w:rsidRPr="00346315" w:rsidRDefault="00346315" w:rsidP="00346315">
      <w:pPr>
        <w:jc w:val="both"/>
        <w:rPr>
          <w:rFonts w:ascii="Verdana" w:hAnsi="Verdana"/>
          <w:bCs/>
          <w:sz w:val="20"/>
        </w:rPr>
      </w:pPr>
      <w:r w:rsidRPr="00346315">
        <w:rPr>
          <w:rFonts w:ascii="Verdana" w:hAnsi="Verdana"/>
          <w:bCs/>
          <w:sz w:val="20"/>
        </w:rPr>
        <w:t>L.          Instrumentos de Deuda Híbridos, a los títulos o valores que representen una deuda a cargo de un tercero, colocados en mercados nacionales o extranjeros que de acuerdo a su prospecto de emisión cumplan con las siguientes características:</w:t>
      </w:r>
    </w:p>
    <w:p w:rsidR="00346315" w:rsidRPr="00346315" w:rsidRDefault="00346315" w:rsidP="00346315">
      <w:pPr>
        <w:jc w:val="both"/>
        <w:rPr>
          <w:rFonts w:ascii="Verdana" w:hAnsi="Verdana"/>
          <w:bCs/>
          <w:sz w:val="20"/>
        </w:rPr>
      </w:pPr>
      <w:r w:rsidRPr="00346315">
        <w:rPr>
          <w:rFonts w:ascii="Verdana" w:hAnsi="Verdana"/>
          <w:bCs/>
          <w:sz w:val="20"/>
        </w:rPr>
        <w:t>a)   Que la prelación de pago sea preferente respecto al pago de dividendos o distribuciones de capital;</w:t>
      </w:r>
    </w:p>
    <w:p w:rsidR="00346315" w:rsidRPr="00346315" w:rsidRDefault="00346315" w:rsidP="00346315">
      <w:pPr>
        <w:jc w:val="both"/>
        <w:rPr>
          <w:rFonts w:ascii="Verdana" w:hAnsi="Verdana"/>
          <w:bCs/>
          <w:sz w:val="20"/>
        </w:rPr>
      </w:pPr>
      <w:r w:rsidRPr="00346315">
        <w:rPr>
          <w:rFonts w:ascii="Verdana" w:hAnsi="Verdana"/>
          <w:bCs/>
          <w:sz w:val="20"/>
        </w:rPr>
        <w:t>b)   Que el monto del pago de cupones pueda ser variable o acumulable, así como la fecha de pago de los cupones pueda ser diferible;</w:t>
      </w:r>
    </w:p>
    <w:p w:rsidR="00346315" w:rsidRPr="00346315" w:rsidRDefault="00346315" w:rsidP="00346315">
      <w:pPr>
        <w:jc w:val="both"/>
        <w:rPr>
          <w:rFonts w:ascii="Verdana" w:hAnsi="Verdana"/>
          <w:bCs/>
          <w:sz w:val="20"/>
        </w:rPr>
      </w:pPr>
      <w:r w:rsidRPr="00346315">
        <w:rPr>
          <w:rFonts w:ascii="Verdana" w:hAnsi="Verdana"/>
          <w:bCs/>
          <w:sz w:val="20"/>
        </w:rPr>
        <w:t>c)    Que la fecha del pago de principal pueda contar con la opcionalidad para el emisor de hacerla anticipada, diferible o indeterminada;</w:t>
      </w:r>
    </w:p>
    <w:p w:rsidR="00346315" w:rsidRPr="00346315" w:rsidRDefault="00346315" w:rsidP="00346315">
      <w:pPr>
        <w:jc w:val="both"/>
        <w:rPr>
          <w:rFonts w:ascii="Verdana" w:hAnsi="Verdana"/>
          <w:bCs/>
          <w:sz w:val="20"/>
        </w:rPr>
      </w:pPr>
      <w:r w:rsidRPr="00346315">
        <w:rPr>
          <w:rFonts w:ascii="Verdana" w:hAnsi="Verdana"/>
          <w:bCs/>
          <w:sz w:val="20"/>
        </w:rPr>
        <w:t>d)   Que satisfaga los requisitos de calificación crediticia previstos en las presentes disposiciones;</w:t>
      </w:r>
    </w:p>
    <w:p w:rsidR="00346315" w:rsidRPr="00346315" w:rsidRDefault="00346315" w:rsidP="00346315">
      <w:pPr>
        <w:jc w:val="both"/>
        <w:rPr>
          <w:rFonts w:ascii="Verdana" w:hAnsi="Verdana"/>
          <w:bCs/>
          <w:sz w:val="20"/>
        </w:rPr>
      </w:pPr>
      <w:r w:rsidRPr="00346315">
        <w:rPr>
          <w:rFonts w:ascii="Verdana" w:hAnsi="Verdana"/>
          <w:bCs/>
          <w:sz w:val="20"/>
        </w:rPr>
        <w:t>e)   Que sean emitidos por Empresas Privadas distintas a las Instituciones de Crédito;</w:t>
      </w:r>
    </w:p>
    <w:p w:rsidR="00346315" w:rsidRPr="00346315" w:rsidRDefault="00346315" w:rsidP="00346315">
      <w:pPr>
        <w:jc w:val="both"/>
        <w:rPr>
          <w:rFonts w:ascii="Verdana" w:hAnsi="Verdana"/>
          <w:bCs/>
          <w:sz w:val="20"/>
        </w:rPr>
      </w:pPr>
      <w:r w:rsidRPr="00346315">
        <w:rPr>
          <w:rFonts w:ascii="Verdana" w:hAnsi="Verdana"/>
          <w:bCs/>
          <w:sz w:val="20"/>
        </w:rPr>
        <w:t>f)    Que la fecha a vencimiento sea fija, diferible o a perpetuidad, y</w:t>
      </w:r>
    </w:p>
    <w:p w:rsidR="00346315" w:rsidRPr="00346315" w:rsidRDefault="00346315" w:rsidP="00346315">
      <w:pPr>
        <w:jc w:val="both"/>
        <w:rPr>
          <w:rFonts w:ascii="Verdana" w:hAnsi="Verdana"/>
          <w:bCs/>
          <w:sz w:val="20"/>
        </w:rPr>
      </w:pPr>
      <w:r w:rsidRPr="00346315">
        <w:rPr>
          <w:rFonts w:ascii="Verdana" w:hAnsi="Verdana"/>
          <w:bCs/>
          <w:sz w:val="20"/>
        </w:rPr>
        <w:t>g)   Que el Emisor tenga listadas acciones representativas de su capital en alguna bolsa de valores de Países Elegibles para Inversiones;</w:t>
      </w:r>
    </w:p>
    <w:p w:rsidR="00346315" w:rsidRPr="00346315" w:rsidRDefault="00346315" w:rsidP="00346315">
      <w:pPr>
        <w:jc w:val="both"/>
        <w:rPr>
          <w:rFonts w:ascii="Verdana" w:hAnsi="Verdana"/>
          <w:bCs/>
          <w:sz w:val="20"/>
        </w:rPr>
      </w:pPr>
      <w:r w:rsidRPr="00346315">
        <w:rPr>
          <w:rFonts w:ascii="Verdana" w:hAnsi="Verdana"/>
          <w:bCs/>
          <w:sz w:val="20"/>
        </w:rPr>
        <w:t>LI.          Instrumentos Estructurados, a los siguientes:</w:t>
      </w:r>
    </w:p>
    <w:p w:rsidR="00346315" w:rsidRPr="00346315" w:rsidRDefault="00346315" w:rsidP="00346315">
      <w:pPr>
        <w:jc w:val="both"/>
        <w:rPr>
          <w:rFonts w:ascii="Verdana" w:hAnsi="Verdana"/>
          <w:bCs/>
          <w:sz w:val="20"/>
        </w:rPr>
      </w:pPr>
      <w:r w:rsidRPr="00346315">
        <w:rPr>
          <w:rFonts w:ascii="Verdana" w:hAnsi="Verdana"/>
          <w:bCs/>
          <w:sz w:val="20"/>
        </w:rPr>
        <w:t xml:space="preserve">a)   Los títulos fiduciarios que se destinen a la inversión o al financiamiento de las actividades o proyectos dentro del territorio nacional, de una o varias sociedades, incluidos aquéllos que inviertan o financien la adquisición de capital social de sociedades mexicanas cuyas acciones se encuentren cotizadas en una Bolsa de </w:t>
      </w:r>
      <w:proofErr w:type="spellStart"/>
      <w:r w:rsidRPr="00346315">
        <w:rPr>
          <w:rFonts w:ascii="Verdana" w:hAnsi="Verdana"/>
          <w:bCs/>
          <w:sz w:val="20"/>
        </w:rPr>
        <w:t>Valoresautorizada</w:t>
      </w:r>
      <w:proofErr w:type="spellEnd"/>
      <w:r w:rsidRPr="00346315">
        <w:rPr>
          <w:rFonts w:ascii="Verdana" w:hAnsi="Verdana"/>
          <w:bCs/>
          <w:sz w:val="20"/>
        </w:rPr>
        <w:t xml:space="preserve"> para organizarse y operar en términos de la Ley del Mercado de Valores, excepto las reguladas por la Ley de Fondos de Inversión.</w:t>
      </w:r>
    </w:p>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 xml:space="preserve">      El efectivo que forme parte del patrimonio del fideicomiso emisor de los Instrumentos Estructurados, en tanto se realiza la selección de las actividades o proyectos en que se destinarán dichos recursos, podrá invertirse de forma transitoria, en sociedades y fondos de inversión regulados al amparo de la Ley de Fondos de Inversión o en Vehículos listados en el mercado de capitales mexicano. El Comité de </w:t>
      </w:r>
      <w:r w:rsidRPr="00346315">
        <w:rPr>
          <w:rFonts w:ascii="Verdana" w:hAnsi="Verdana"/>
          <w:bCs/>
          <w:sz w:val="20"/>
        </w:rPr>
        <w:lastRenderedPageBreak/>
        <w:t>Análisis de Riesgos, determinará los tipos de activos financieros en los que podrán invertir dichas sociedades, fondos de inversión y Vehículos, y</w:t>
      </w:r>
    </w:p>
    <w:p w:rsidR="00346315" w:rsidRPr="00346315" w:rsidRDefault="00346315" w:rsidP="00346315">
      <w:pPr>
        <w:jc w:val="both"/>
        <w:rPr>
          <w:rFonts w:ascii="Verdana" w:hAnsi="Verdana"/>
          <w:bCs/>
          <w:sz w:val="20"/>
        </w:rPr>
      </w:pPr>
      <w:r w:rsidRPr="00346315">
        <w:rPr>
          <w:rFonts w:ascii="Verdana" w:hAnsi="Verdana"/>
          <w:bCs/>
          <w:sz w:val="20"/>
        </w:rPr>
        <w:t>b)   Los Certificados Bursátiles Fiduciarios de Proyectos de Inversión.</w:t>
      </w:r>
    </w:p>
    <w:p w:rsidR="00346315" w:rsidRPr="00346315" w:rsidRDefault="00346315" w:rsidP="00346315">
      <w:pPr>
        <w:jc w:val="both"/>
        <w:rPr>
          <w:rFonts w:ascii="Verdana" w:hAnsi="Verdana"/>
          <w:bCs/>
          <w:sz w:val="20"/>
        </w:rPr>
      </w:pPr>
      <w:r w:rsidRPr="00346315">
        <w:rPr>
          <w:rFonts w:ascii="Verdana" w:hAnsi="Verdana"/>
          <w:bCs/>
          <w:sz w:val="20"/>
        </w:rPr>
        <w:t xml:space="preserve">      Los Instrumentos Estructurados deberán ser emitidos al amparo de la Ley del Mercado de Valores y de las disposiciones de carácter general aplicables a las emisoras de valores y a otros participantes del mercado de valores </w:t>
      </w:r>
      <w:proofErr w:type="gramStart"/>
      <w:r w:rsidRPr="00346315">
        <w:rPr>
          <w:rFonts w:ascii="Verdana" w:hAnsi="Verdana"/>
          <w:bCs/>
          <w:sz w:val="20"/>
        </w:rPr>
        <w:t>expedidas</w:t>
      </w:r>
      <w:proofErr w:type="gramEnd"/>
      <w:r w:rsidRPr="00346315">
        <w:rPr>
          <w:rFonts w:ascii="Verdana" w:hAnsi="Verdana"/>
          <w:bCs/>
          <w:sz w:val="20"/>
        </w:rPr>
        <w:t xml:space="preserve"> por la Comisión Nacional Bancaria y de Valores. Adicionalmente, los Instrumentos Estructurados deberán reunir los requisitos que, en su caso, establezcan las disposiciones de carácter general en materia financiera de los Sistemas de Ahorro para el Retiro que emita la Comisión.</w:t>
      </w:r>
    </w:p>
    <w:p w:rsidR="00346315" w:rsidRPr="00346315" w:rsidRDefault="00346315" w:rsidP="00346315">
      <w:pPr>
        <w:jc w:val="both"/>
        <w:rPr>
          <w:rFonts w:ascii="Verdana" w:hAnsi="Verdana"/>
          <w:bCs/>
          <w:sz w:val="20"/>
        </w:rPr>
      </w:pPr>
      <w:r w:rsidRPr="00346315">
        <w:rPr>
          <w:rFonts w:ascii="Verdana" w:hAnsi="Verdana"/>
          <w:bCs/>
          <w:sz w:val="20"/>
        </w:rPr>
        <w:t>      Tratándose de la inversión en Instrumentos Estructurados que realicen los Mandatarios, el Comité de Análisis de Riesgos definirá los criterios que deban satisfacer los Mandatarios para ser elegibles y en su caso los Instrumentos Estructurados en que podrán invertir.</w:t>
      </w:r>
    </w:p>
    <w:p w:rsidR="00346315" w:rsidRPr="00346315" w:rsidRDefault="00346315" w:rsidP="00346315">
      <w:pPr>
        <w:jc w:val="both"/>
        <w:rPr>
          <w:rFonts w:ascii="Verdana" w:hAnsi="Verdana"/>
          <w:bCs/>
          <w:sz w:val="20"/>
        </w:rPr>
      </w:pPr>
      <w:r w:rsidRPr="00346315">
        <w:rPr>
          <w:rFonts w:ascii="Verdana" w:hAnsi="Verdana"/>
          <w:bCs/>
          <w:sz w:val="20"/>
        </w:rPr>
        <w:t>LII.         Instrumentos de Renta Variable, a los siguientes:</w:t>
      </w:r>
    </w:p>
    <w:p w:rsidR="00346315" w:rsidRPr="00346315" w:rsidRDefault="00346315" w:rsidP="00346315">
      <w:pPr>
        <w:jc w:val="both"/>
        <w:rPr>
          <w:rFonts w:ascii="Verdana" w:hAnsi="Verdana"/>
          <w:bCs/>
          <w:sz w:val="20"/>
        </w:rPr>
      </w:pPr>
      <w:r w:rsidRPr="00346315">
        <w:rPr>
          <w:rFonts w:ascii="Verdana" w:hAnsi="Verdana"/>
          <w:bCs/>
          <w:sz w:val="20"/>
        </w:rPr>
        <w:t>a)   Acciones destinadas a la inversión individual o a través de Índices Accionarios de Países Elegibles para Inversiones, de Emisores Nacionales listadas en una Bolsa de Valores autorizada para organizarse y operar en términos de la Ley del Mercado de Valores;</w:t>
      </w:r>
    </w:p>
    <w:p w:rsidR="00346315" w:rsidRPr="00346315" w:rsidRDefault="00346315" w:rsidP="00346315">
      <w:pPr>
        <w:jc w:val="both"/>
        <w:rPr>
          <w:rFonts w:ascii="Verdana" w:hAnsi="Verdana"/>
          <w:bCs/>
          <w:sz w:val="20"/>
        </w:rPr>
      </w:pPr>
      <w:r w:rsidRPr="00346315">
        <w:rPr>
          <w:rFonts w:ascii="Verdana" w:hAnsi="Verdana"/>
          <w:bCs/>
          <w:sz w:val="20"/>
        </w:rPr>
        <w:t>b)   Las acciones de Emisores Nacionales, o los títulos que las representen, que sean objeto de oferta pública inicial, total o parcial, en una Bolsa de Valores autorizada para organizarse y operar en términos de la Ley del Mercado de Valores, o en ésta en conjunto con otras bolsas de valores, y</w:t>
      </w:r>
    </w:p>
    <w:p w:rsidR="00346315" w:rsidRPr="00346315" w:rsidRDefault="00346315" w:rsidP="00346315">
      <w:pPr>
        <w:jc w:val="both"/>
        <w:rPr>
          <w:rFonts w:ascii="Verdana" w:hAnsi="Verdana"/>
          <w:bCs/>
          <w:sz w:val="20"/>
        </w:rPr>
      </w:pPr>
      <w:r w:rsidRPr="00346315">
        <w:rPr>
          <w:rFonts w:ascii="Verdana" w:hAnsi="Verdana"/>
          <w:bCs/>
          <w:sz w:val="20"/>
        </w:rPr>
        <w:t>c)   Obligaciones forzosamente convertibles en acciones de Sociedades Anónimas Bursátiles de Emisores Nacionales.</w:t>
      </w:r>
    </w:p>
    <w:p w:rsidR="00346315" w:rsidRPr="00346315" w:rsidRDefault="00346315" w:rsidP="00346315">
      <w:pPr>
        <w:jc w:val="both"/>
        <w:rPr>
          <w:rFonts w:ascii="Verdana" w:hAnsi="Verdana"/>
          <w:bCs/>
          <w:sz w:val="20"/>
        </w:rPr>
      </w:pPr>
      <w:r w:rsidRPr="00346315">
        <w:rPr>
          <w:rFonts w:ascii="Verdana" w:hAnsi="Verdana"/>
          <w:bCs/>
          <w:sz w:val="20"/>
        </w:rPr>
        <w:t>d)   Los títulos opcionales adheridos a acciones representativas del capital social de una Empresa Privada que sean objeto de oferta pública inicial, total o parcial, que tengan como subyacente acciones representativas del capital social de la misma Empresa Privada.</w:t>
      </w:r>
    </w:p>
    <w:p w:rsidR="00346315" w:rsidRPr="00346315" w:rsidRDefault="00346315" w:rsidP="00346315">
      <w:pPr>
        <w:jc w:val="both"/>
        <w:rPr>
          <w:rFonts w:ascii="Verdana" w:hAnsi="Verdana"/>
          <w:bCs/>
          <w:sz w:val="20"/>
        </w:rPr>
      </w:pPr>
      <w:r w:rsidRPr="00346315">
        <w:rPr>
          <w:rFonts w:ascii="Verdana" w:hAnsi="Verdana"/>
          <w:bCs/>
          <w:sz w:val="20"/>
        </w:rPr>
        <w:t>LIII.        Inversiones Obligatorias de las Administradoras, a la reserva especial y a la porción de su capital mínimo pagado que las Administradoras deben invertir en acciones de las Sociedades de Inversión que administren conforme a lo dispuesto por los artículos 27 fracción II y 28 de la Ley;</w:t>
      </w:r>
    </w:p>
    <w:p w:rsidR="00346315" w:rsidRPr="00346315" w:rsidRDefault="00346315" w:rsidP="00346315">
      <w:pPr>
        <w:jc w:val="both"/>
        <w:rPr>
          <w:rFonts w:ascii="Verdana" w:hAnsi="Verdana"/>
          <w:bCs/>
          <w:sz w:val="20"/>
        </w:rPr>
      </w:pPr>
      <w:r w:rsidRPr="00346315">
        <w:rPr>
          <w:rFonts w:ascii="Verdana" w:hAnsi="Verdana"/>
          <w:bCs/>
          <w:sz w:val="20"/>
        </w:rPr>
        <w:t>LIV.        Inversión Neutra, a la realizada por las Sociedades de Inversión en Instrumentos emitidos, bajo la regulación y supervisión de autoridades que pertenezcan a los Países Elegibles para Inversiones, por organismos financieros multilaterales de carácter internacional de los que los Estados Unidos Mexicanos sea parte, los cuales se considerarán dentro de Emisores Nacionales;</w:t>
      </w:r>
    </w:p>
    <w:p w:rsidR="00346315" w:rsidRPr="00346315" w:rsidRDefault="00346315" w:rsidP="00346315">
      <w:pPr>
        <w:jc w:val="both"/>
        <w:rPr>
          <w:rFonts w:ascii="Verdana" w:hAnsi="Verdana"/>
          <w:bCs/>
          <w:sz w:val="20"/>
        </w:rPr>
      </w:pPr>
      <w:r w:rsidRPr="00346315">
        <w:rPr>
          <w:rFonts w:ascii="Verdana" w:hAnsi="Verdana"/>
          <w:bCs/>
          <w:sz w:val="20"/>
        </w:rPr>
        <w:lastRenderedPageBreak/>
        <w:t>LV.        Ley, a la Ley de los Sistemas de Ahorro para el Retiro;</w:t>
      </w:r>
    </w:p>
    <w:p w:rsidR="00346315" w:rsidRPr="00346315" w:rsidRDefault="00346315" w:rsidP="00346315">
      <w:pPr>
        <w:jc w:val="both"/>
        <w:rPr>
          <w:rFonts w:ascii="Verdana" w:hAnsi="Verdana"/>
          <w:bCs/>
          <w:sz w:val="20"/>
        </w:rPr>
      </w:pPr>
      <w:r w:rsidRPr="00346315">
        <w:rPr>
          <w:rFonts w:ascii="Verdana" w:hAnsi="Verdana"/>
          <w:bCs/>
          <w:sz w:val="20"/>
        </w:rPr>
        <w:t>LVI.        Mandatarios, a las personas morales especializadas en la inversión de recursos financieros supervisadas y reguladas por autoridades de los Países Elegibles para Inversiones con las que las Sociedades de Inversión hayan celebrado contratos de intermediación en los que se otorgue un mandato de inversión cuyo ejercicio esté sujeto a los lineamientos que determine la Sociedad de Inversión contratante;</w:t>
      </w:r>
    </w:p>
    <w:p w:rsidR="00346315" w:rsidRPr="00346315" w:rsidRDefault="00346315" w:rsidP="00346315">
      <w:pPr>
        <w:jc w:val="both"/>
        <w:rPr>
          <w:rFonts w:ascii="Verdana" w:hAnsi="Verdana"/>
          <w:bCs/>
          <w:sz w:val="20"/>
        </w:rPr>
      </w:pPr>
      <w:r w:rsidRPr="00346315">
        <w:rPr>
          <w:rFonts w:ascii="Verdana" w:hAnsi="Verdana"/>
          <w:bCs/>
          <w:sz w:val="20"/>
        </w:rPr>
        <w:t>LVII.       Mejores Prácticas, a los lineamientos para controlar y minimizar el riesgo operativo de las Sociedades de Inversión, procedente de las operaciones con Activos Objeto de Inversión, así como del manejo de efectivo y valores en las operaciones de compraventa, registro, administración y custodia de valores en los mercados financieros nacionales y extranjeros, que las Administradoras deben adoptar e incorporar a sus programas de autorregulación;</w:t>
      </w:r>
    </w:p>
    <w:p w:rsidR="00346315" w:rsidRPr="00346315" w:rsidRDefault="00346315" w:rsidP="00346315">
      <w:pPr>
        <w:jc w:val="both"/>
        <w:rPr>
          <w:rFonts w:ascii="Verdana" w:hAnsi="Verdana"/>
          <w:bCs/>
          <w:sz w:val="20"/>
        </w:rPr>
      </w:pPr>
      <w:r w:rsidRPr="00346315">
        <w:rPr>
          <w:rFonts w:ascii="Verdana" w:hAnsi="Verdana"/>
          <w:bCs/>
          <w:sz w:val="20"/>
        </w:rPr>
        <w:t>LVIII.      Mercancías, a la exposición física al oro, la plata o el platino a través de Vehículos que autorice el Comité de Análisis de Riesgos, así como a los subyacentes enunciados en las Disposiciones del Banco de México en materia de operaciones derivadas, que tengan el carácter de bienes fungibles diferentes a las acciones, índices de precios sobre acciones, tasas, moneda nacional, Divisas, Unidades de Inversión, préstamos y créditos;</w:t>
      </w:r>
    </w:p>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LIX.        Nexo Patrimonial, al que existe entre una Administradora y las Sociedades de Inversión que opere con las personas físicas o morales siguientes:</w:t>
      </w:r>
    </w:p>
    <w:p w:rsidR="00346315" w:rsidRPr="00346315" w:rsidRDefault="00346315" w:rsidP="00346315">
      <w:pPr>
        <w:jc w:val="both"/>
        <w:rPr>
          <w:rFonts w:ascii="Verdana" w:hAnsi="Verdana"/>
          <w:bCs/>
          <w:sz w:val="20"/>
        </w:rPr>
      </w:pPr>
      <w:r w:rsidRPr="00346315">
        <w:rPr>
          <w:rFonts w:ascii="Verdana" w:hAnsi="Verdana"/>
          <w:bCs/>
          <w:sz w:val="20"/>
        </w:rPr>
        <w:t>a)   Las que participen en su capital social;</w:t>
      </w:r>
    </w:p>
    <w:p w:rsidR="00346315" w:rsidRPr="00346315" w:rsidRDefault="00346315" w:rsidP="00346315">
      <w:pPr>
        <w:jc w:val="both"/>
        <w:rPr>
          <w:rFonts w:ascii="Verdana" w:hAnsi="Verdana"/>
          <w:bCs/>
          <w:sz w:val="20"/>
        </w:rPr>
      </w:pPr>
      <w:r w:rsidRPr="00346315">
        <w:rPr>
          <w:rFonts w:ascii="Verdana" w:hAnsi="Verdana"/>
          <w:bCs/>
          <w:sz w:val="20"/>
        </w:rPr>
        <w:t>b)   En su caso, las demás Entidades Financieras y casas de bolsa que formen parte del Grupo Financiero al que pertenezca la Administradora de que se trate;</w:t>
      </w:r>
    </w:p>
    <w:p w:rsidR="00346315" w:rsidRPr="00346315" w:rsidRDefault="00346315" w:rsidP="00346315">
      <w:pPr>
        <w:jc w:val="both"/>
        <w:rPr>
          <w:rFonts w:ascii="Verdana" w:hAnsi="Verdana"/>
          <w:bCs/>
          <w:sz w:val="20"/>
        </w:rPr>
      </w:pPr>
      <w:r w:rsidRPr="00346315">
        <w:rPr>
          <w:rFonts w:ascii="Verdana" w:hAnsi="Verdana"/>
          <w:bCs/>
          <w:sz w:val="20"/>
        </w:rPr>
        <w:t>c)   En su caso, Entidades Financieras y casas de bolsa que tengan relación patrimonial con Entidades Financieras que formen parte del Grupo Financiero al que pertenezca la propia Administradora, y</w:t>
      </w:r>
    </w:p>
    <w:p w:rsidR="00346315" w:rsidRPr="00346315" w:rsidRDefault="00346315" w:rsidP="00346315">
      <w:pPr>
        <w:jc w:val="both"/>
        <w:rPr>
          <w:rFonts w:ascii="Verdana" w:hAnsi="Verdana"/>
          <w:bCs/>
          <w:sz w:val="20"/>
        </w:rPr>
      </w:pPr>
      <w:r w:rsidRPr="00346315">
        <w:rPr>
          <w:rFonts w:ascii="Verdana" w:hAnsi="Verdana"/>
          <w:bCs/>
          <w:sz w:val="20"/>
        </w:rPr>
        <w:t>d)   En su caso, Entidades Financieras y casas de bolsa que, directa o indirectamente, tengan relación patrimonial con la Entidad Financiera o casa de bolsa que participe en el capital social de la Administradora de que se trate.</w:t>
      </w:r>
    </w:p>
    <w:p w:rsidR="00346315" w:rsidRPr="00346315" w:rsidRDefault="00346315" w:rsidP="00346315">
      <w:pPr>
        <w:jc w:val="both"/>
        <w:rPr>
          <w:rFonts w:ascii="Verdana" w:hAnsi="Verdana"/>
          <w:bCs/>
          <w:sz w:val="20"/>
        </w:rPr>
      </w:pPr>
      <w:r w:rsidRPr="00346315">
        <w:rPr>
          <w:rFonts w:ascii="Verdana" w:hAnsi="Verdana"/>
          <w:bCs/>
          <w:sz w:val="20"/>
        </w:rPr>
        <w:t xml:space="preserve">LX.        Países Elegibles para Inversiones, a los países cuyas autoridades reguladoras y supervisoras de mercados financieros pertenezcan al Comité sobre el Sistema Financiero Global (CSFG) del Banco de Pagos Internacionales (BPI); a los países miembros de la Alianza del Pacífico (AP) con plenos derechos cuyas bolsas de valores pertenezcan al Mercado Integrado Latinoamericano (MILA); a la Unión Europea; o a los países miembros de la Organización para la Cooperación y el Desarrollo Económico (OCDE) con los que México tenga tratados de </w:t>
      </w:r>
      <w:proofErr w:type="spellStart"/>
      <w:r w:rsidRPr="00346315">
        <w:rPr>
          <w:rFonts w:ascii="Verdana" w:hAnsi="Verdana"/>
          <w:bCs/>
          <w:sz w:val="20"/>
        </w:rPr>
        <w:t>librecomercio</w:t>
      </w:r>
      <w:proofErr w:type="spellEnd"/>
      <w:r w:rsidRPr="00346315">
        <w:rPr>
          <w:rFonts w:ascii="Verdana" w:hAnsi="Verdana"/>
          <w:bCs/>
          <w:sz w:val="20"/>
        </w:rPr>
        <w:t xml:space="preserve"> vigentes, y los demás países determinados considerando la seguridad de las inversiones y el desarrollo de los mercados, referidos cada uno en el Anexo P de las presentes disposiciones. El Comité </w:t>
      </w:r>
      <w:r w:rsidRPr="00346315">
        <w:rPr>
          <w:rFonts w:ascii="Verdana" w:hAnsi="Verdana"/>
          <w:bCs/>
          <w:sz w:val="20"/>
        </w:rPr>
        <w:lastRenderedPageBreak/>
        <w:t>de Análisis de Riesgos, considerando la seguridad de las inversiones y el desarrollo de los mercados, así como otros elementos que dicho cuerpo colegiado juzgue que es necesario analizar, podrá determinar que algún país deje de ser considerando como País Elegible para Inversiones para efectos de las presentes disposiciones;</w:t>
      </w:r>
    </w:p>
    <w:p w:rsidR="00346315" w:rsidRPr="00346315" w:rsidRDefault="00346315" w:rsidP="00346315">
      <w:pPr>
        <w:jc w:val="both"/>
        <w:rPr>
          <w:rFonts w:ascii="Verdana" w:hAnsi="Verdana"/>
          <w:bCs/>
          <w:sz w:val="20"/>
        </w:rPr>
      </w:pPr>
      <w:r w:rsidRPr="00346315">
        <w:rPr>
          <w:rFonts w:ascii="Verdana" w:hAnsi="Verdana"/>
          <w:bCs/>
          <w:sz w:val="20"/>
        </w:rPr>
        <w:t>LXI.        Proveedor de Precios, a las personas morales autorizadas por la Comisión Nacional Bancaria y de Valores en términos de las disposiciones aplicables a los Proveedores de Precios, así como las personas morales especializadas en la valuación de Valores Extranjeros, autorizadas para tales fines por las correspondientes autoridades de Países Elegibles para Inversiones, contratadas por Custodios para operaciones en los mercados internacionales;</w:t>
      </w:r>
    </w:p>
    <w:p w:rsidR="00346315" w:rsidRPr="00346315" w:rsidRDefault="00346315" w:rsidP="00346315">
      <w:pPr>
        <w:jc w:val="both"/>
        <w:rPr>
          <w:rFonts w:ascii="Verdana" w:hAnsi="Verdana"/>
          <w:bCs/>
          <w:sz w:val="20"/>
        </w:rPr>
      </w:pPr>
      <w:r w:rsidRPr="00346315">
        <w:rPr>
          <w:rFonts w:ascii="Verdana" w:hAnsi="Verdana"/>
          <w:bCs/>
          <w:sz w:val="20"/>
        </w:rPr>
        <w:t>LXII.       Sociedades de Inversión, a las sociedades de inversión especializadas de fondos para el retiro;</w:t>
      </w:r>
    </w:p>
    <w:p w:rsidR="00346315" w:rsidRPr="00346315" w:rsidRDefault="00346315" w:rsidP="00346315">
      <w:pPr>
        <w:jc w:val="both"/>
        <w:rPr>
          <w:rFonts w:ascii="Verdana" w:hAnsi="Verdana"/>
          <w:bCs/>
          <w:sz w:val="20"/>
        </w:rPr>
      </w:pPr>
      <w:r w:rsidRPr="00346315">
        <w:rPr>
          <w:rFonts w:ascii="Verdana" w:hAnsi="Verdana"/>
          <w:bCs/>
          <w:sz w:val="20"/>
        </w:rPr>
        <w:t>LXIII.      Sociedades de Inversión Adicionales, a las Sociedades de Inversión que tengan por objeto la inversión exclusiva de Aportaciones Voluntarias, Aportaciones Voluntarias con Perspectiva de Inversión de Largo Plazo, de Aportaciones Complementarias de Retiro, de Aportaciones de Ahorro a Largo Plazo, o de fondos de previsión social;</w:t>
      </w:r>
    </w:p>
    <w:p w:rsidR="00346315" w:rsidRPr="00346315" w:rsidRDefault="00346315" w:rsidP="00346315">
      <w:pPr>
        <w:jc w:val="both"/>
        <w:rPr>
          <w:rFonts w:ascii="Verdana" w:hAnsi="Verdana"/>
          <w:bCs/>
          <w:sz w:val="20"/>
        </w:rPr>
      </w:pPr>
      <w:r w:rsidRPr="00346315">
        <w:rPr>
          <w:rFonts w:ascii="Verdana" w:hAnsi="Verdana"/>
          <w:bCs/>
          <w:sz w:val="20"/>
        </w:rPr>
        <w:t>LXIV.      Sociedades Relacionadas Entre Sí, a las sociedades mercantiles que formen un conjunto o grupo, en las que por sus nexos patrimoniales o de responsabilidad, la situación financiera de una o varias de ellas, pueda influir en forma decisiva en la de las demás, o cuando la administración de dichas personas morales dependa directa o indirectamente de una misma persona;</w:t>
      </w:r>
    </w:p>
    <w:p w:rsidR="00346315" w:rsidRPr="00346315" w:rsidRDefault="00346315" w:rsidP="00346315">
      <w:pPr>
        <w:jc w:val="both"/>
        <w:rPr>
          <w:rFonts w:ascii="Verdana" w:hAnsi="Verdana"/>
          <w:bCs/>
          <w:sz w:val="20"/>
        </w:rPr>
      </w:pPr>
      <w:r w:rsidRPr="00346315">
        <w:rPr>
          <w:rFonts w:ascii="Verdana" w:hAnsi="Verdana"/>
          <w:bCs/>
          <w:sz w:val="20"/>
        </w:rPr>
        <w:t>LXV.      Sociedad Valuadora, a las personas morales independientes de las Sociedades de Inversión, y a las sociedades operadoras limitadas de fondos de inversión, autorizadas por la Comisión Nacional Bancaria y de Valores para prestar los servicios de valuación de las acciones de las Sociedades de Inversión, así como los Custodios autorizados por las correspondientes autoridades de los Países Elegibles para Inversiones para realizar operaciones en los mercados internacionales;</w:t>
      </w:r>
    </w:p>
    <w:p w:rsidR="00346315" w:rsidRPr="00346315" w:rsidRDefault="00346315" w:rsidP="00346315">
      <w:pPr>
        <w:jc w:val="both"/>
        <w:rPr>
          <w:rFonts w:ascii="Verdana" w:hAnsi="Verdana"/>
          <w:bCs/>
          <w:sz w:val="20"/>
        </w:rPr>
      </w:pPr>
      <w:r w:rsidRPr="00346315">
        <w:rPr>
          <w:rFonts w:ascii="Verdana" w:hAnsi="Verdana"/>
          <w:bCs/>
          <w:sz w:val="20"/>
        </w:rPr>
        <w:t>LXVI.      Subcuenta del Seguro de Retiro, a la prevista en el Capítulo V bis del Título Segundo de la Ley del Seguro Social vigente hasta el 1o. de julio de 1997, que se integra con las aportaciones correspondientes al Seguro de Retiro realizadas durante el periodo comprendido del segundo bimestre de 1992 al tercer bimestre de 1997 y los rendimientos que éstas generen;</w:t>
      </w:r>
    </w:p>
    <w:p w:rsidR="00346315" w:rsidRPr="00346315" w:rsidRDefault="00346315" w:rsidP="00346315">
      <w:pPr>
        <w:jc w:val="both"/>
        <w:rPr>
          <w:rFonts w:ascii="Verdana" w:hAnsi="Verdana"/>
          <w:bCs/>
          <w:sz w:val="20"/>
        </w:rPr>
      </w:pPr>
      <w:r w:rsidRPr="00346315">
        <w:rPr>
          <w:rFonts w:ascii="Verdana" w:hAnsi="Verdana"/>
          <w:bCs/>
          <w:sz w:val="20"/>
        </w:rPr>
        <w:t>LXVII.     Subcuenta de Ahorro para el Retiro, a la prevista en el artículo 90 BIS-C de la Ley del Instituto de Seguridad y Servicios Sociales de los Trabajadores del Estado vigente hasta el 31 de marzo de 2007, que se integra con las aportaciones realizadas bajo el sistema de ahorro para el retiro vigente a partir del primer bimestre de 1992, hasta el 31 de marzo de 2007, y los rendimientos que éstas generen;</w:t>
      </w:r>
    </w:p>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lastRenderedPageBreak/>
        <w:t>LXVIII.    Subcuenta de Ahorro Solidario, a la prevista en el artículo 100 de la Ley del Instituto de Seguridad y Servicios Sociales de los Trabajadores del Estado, cuyos recursos están sujetos a las normas aplicables a la Subcuenta de RCV ISSSTE;</w:t>
      </w:r>
    </w:p>
    <w:p w:rsidR="00346315" w:rsidRPr="00346315" w:rsidRDefault="00346315" w:rsidP="00346315">
      <w:pPr>
        <w:jc w:val="both"/>
        <w:rPr>
          <w:rFonts w:ascii="Verdana" w:hAnsi="Verdana"/>
          <w:bCs/>
          <w:sz w:val="20"/>
        </w:rPr>
      </w:pPr>
      <w:r w:rsidRPr="00346315">
        <w:rPr>
          <w:rFonts w:ascii="Verdana" w:hAnsi="Verdana"/>
          <w:bCs/>
          <w:sz w:val="20"/>
        </w:rPr>
        <w:t>LXIX.      Subcuenta de RCV IMSS, a la subcuenta de retiro, cesantía en edad avanzada y vejez a que se refiere la fracción I del artículo 159 de la Ley del Seguro Social;</w:t>
      </w:r>
    </w:p>
    <w:p w:rsidR="00346315" w:rsidRPr="00346315" w:rsidRDefault="00346315" w:rsidP="00346315">
      <w:pPr>
        <w:jc w:val="both"/>
        <w:rPr>
          <w:rFonts w:ascii="Verdana" w:hAnsi="Verdana"/>
          <w:bCs/>
          <w:sz w:val="20"/>
        </w:rPr>
      </w:pPr>
      <w:r w:rsidRPr="00346315">
        <w:rPr>
          <w:rFonts w:ascii="Verdana" w:hAnsi="Verdana"/>
          <w:bCs/>
          <w:sz w:val="20"/>
        </w:rPr>
        <w:t>LXX.      Subcuenta de RCV ISSSTE, a la subcuenta del seguro de retiro, cesantía en edad avanzada y vejez a que se refiere el artículo 76 de la Ley del Instituto de Seguridad y Servicios Sociales de los Trabajadores del Estado;</w:t>
      </w:r>
    </w:p>
    <w:p w:rsidR="00346315" w:rsidRPr="00346315" w:rsidRDefault="00346315" w:rsidP="00346315">
      <w:pPr>
        <w:jc w:val="both"/>
        <w:rPr>
          <w:rFonts w:ascii="Verdana" w:hAnsi="Verdana"/>
          <w:bCs/>
          <w:sz w:val="20"/>
        </w:rPr>
      </w:pPr>
      <w:r w:rsidRPr="00346315">
        <w:rPr>
          <w:rFonts w:ascii="Verdana" w:hAnsi="Verdana"/>
          <w:bCs/>
          <w:sz w:val="20"/>
        </w:rPr>
        <w:t xml:space="preserve">LXXI.      Trabajadores, a los trabajadores titulares de una cuenta individual a que se refieren los artículos 74, 74 bis, 74 ter y 74 </w:t>
      </w:r>
      <w:proofErr w:type="spellStart"/>
      <w:r w:rsidRPr="00346315">
        <w:rPr>
          <w:rFonts w:ascii="Verdana" w:hAnsi="Verdana"/>
          <w:bCs/>
          <w:sz w:val="20"/>
        </w:rPr>
        <w:t>quinquies</w:t>
      </w:r>
      <w:proofErr w:type="spellEnd"/>
      <w:r w:rsidRPr="00346315">
        <w:rPr>
          <w:rFonts w:ascii="Verdana" w:hAnsi="Verdana"/>
          <w:bCs/>
          <w:sz w:val="20"/>
        </w:rPr>
        <w:t xml:space="preserve"> de la Ley;</w:t>
      </w:r>
    </w:p>
    <w:p w:rsidR="00346315" w:rsidRPr="00346315" w:rsidRDefault="00346315" w:rsidP="00346315">
      <w:pPr>
        <w:jc w:val="both"/>
        <w:rPr>
          <w:rFonts w:ascii="Verdana" w:hAnsi="Verdana"/>
          <w:bCs/>
          <w:sz w:val="20"/>
        </w:rPr>
      </w:pPr>
      <w:r w:rsidRPr="00346315">
        <w:rPr>
          <w:rFonts w:ascii="Verdana" w:hAnsi="Verdana"/>
          <w:bCs/>
          <w:sz w:val="20"/>
        </w:rPr>
        <w:t>LXXII.     Unidades de Inversión, a las unidades de cuenta cuyo valor publica el Banco de México en el Diario Oficial de la Federación, conforme a los artículos tercero del Decreto por el que se establecen las obligaciones que podrán denominarse en Unidades de Inversión y reforma y adiciona diversas disposiciones del Código Fiscal de la Federación y de la Ley del Impuesto sobre la Renta, publicado en el Diario Oficial de la Federación el 1o. de abril de 1995 y 20 ter del Código Fiscal de la Federación;</w:t>
      </w:r>
    </w:p>
    <w:p w:rsidR="00346315" w:rsidRPr="00346315" w:rsidRDefault="00346315" w:rsidP="00346315">
      <w:pPr>
        <w:jc w:val="both"/>
        <w:rPr>
          <w:rFonts w:ascii="Verdana" w:hAnsi="Verdana"/>
          <w:bCs/>
          <w:sz w:val="20"/>
        </w:rPr>
      </w:pPr>
      <w:r w:rsidRPr="00346315">
        <w:rPr>
          <w:rFonts w:ascii="Verdana" w:hAnsi="Verdana"/>
          <w:bCs/>
          <w:sz w:val="20"/>
        </w:rPr>
        <w:t>LXXIII.    Valor Compensado, a aquél que resulte de restar al valor de mercado de los Contratos Abiertos, el valor de mercado de las garantías recibidas para asegurar el cumplimiento de las operaciones con Derivados que celebren las Sociedades de Inversión;</w:t>
      </w:r>
    </w:p>
    <w:p w:rsidR="00346315" w:rsidRPr="00346315" w:rsidRDefault="00346315" w:rsidP="00346315">
      <w:pPr>
        <w:jc w:val="both"/>
        <w:rPr>
          <w:rFonts w:ascii="Verdana" w:hAnsi="Verdana"/>
          <w:bCs/>
          <w:sz w:val="20"/>
        </w:rPr>
      </w:pPr>
      <w:r w:rsidRPr="00346315">
        <w:rPr>
          <w:rFonts w:ascii="Verdana" w:hAnsi="Verdana"/>
          <w:bCs/>
          <w:sz w:val="20"/>
        </w:rPr>
        <w:t>LXXIV.    Valor en Riesgo, a la minusvalía o pérdida que puedan tener el Activo Administrado por la Sociedad de Inversión, dado un cierto nivel de confianza, en un periodo determinado;</w:t>
      </w:r>
    </w:p>
    <w:p w:rsidR="00346315" w:rsidRPr="00346315" w:rsidRDefault="00346315" w:rsidP="00346315">
      <w:pPr>
        <w:jc w:val="both"/>
        <w:rPr>
          <w:rFonts w:ascii="Verdana" w:hAnsi="Verdana"/>
          <w:bCs/>
          <w:sz w:val="20"/>
        </w:rPr>
      </w:pPr>
      <w:r w:rsidRPr="00346315">
        <w:rPr>
          <w:rFonts w:ascii="Verdana" w:hAnsi="Verdana"/>
          <w:bCs/>
          <w:sz w:val="20"/>
        </w:rPr>
        <w:t>LXXV.     Valor en Riesgo Condicional, al promedio simple de las minusvalías o pérdidas del Activo Administrado por la Sociedad de Inversión, condicionadas a que excedan el Valor en Riesgo; correspondiente al nivel de confianza dado, en un periodo determinado, de conformidad con la sección III, numeral 1 del Anexo L de las presentes disposiciones;</w:t>
      </w:r>
    </w:p>
    <w:p w:rsidR="00346315" w:rsidRPr="00346315" w:rsidRDefault="00346315" w:rsidP="00346315">
      <w:pPr>
        <w:jc w:val="both"/>
        <w:rPr>
          <w:rFonts w:ascii="Verdana" w:hAnsi="Verdana"/>
          <w:bCs/>
          <w:sz w:val="20"/>
        </w:rPr>
      </w:pPr>
      <w:r w:rsidRPr="00346315">
        <w:rPr>
          <w:rFonts w:ascii="Verdana" w:hAnsi="Verdana"/>
          <w:bCs/>
          <w:sz w:val="20"/>
        </w:rPr>
        <w:t>LXXVI.    Valores Extranjeros, a todos los Valores Extranjeros de Deuda y Valores Extranjeros de Renta Variable, las Estructuras Vinculadas a Subyacentes, los componentes de éstas referidos en la disposición Segunda fracción XXXIV, emitidos por Emisores Extranjeros, los Vehículos de Inversión Inmobiliaria, adquiridos directamente o a través de Vehículos, así como a los depósitos bancarios de dinero a la vista realizados en entidades financieras extranjeras autorizadas para tales fines y a los Derivados cuyo subyacente sean Valores Extranjeros de Renta Variable;</w:t>
      </w:r>
    </w:p>
    <w:p w:rsidR="00346315" w:rsidRPr="00346315" w:rsidRDefault="00346315" w:rsidP="00346315">
      <w:pPr>
        <w:jc w:val="both"/>
        <w:rPr>
          <w:rFonts w:ascii="Verdana" w:hAnsi="Verdana"/>
          <w:bCs/>
          <w:sz w:val="20"/>
        </w:rPr>
      </w:pPr>
      <w:r w:rsidRPr="00346315">
        <w:rPr>
          <w:rFonts w:ascii="Verdana" w:hAnsi="Verdana"/>
          <w:bCs/>
          <w:sz w:val="20"/>
        </w:rPr>
        <w:t xml:space="preserve">LXXVII.   Valores Extranjeros de Deuda, a los Activos Objeto de Inversión, cuya naturaleza corresponda a valores, títulos o documentos representativos de una deuda a cargo de un tercero, adquiridos directamente o a través de Vehículos, así como a los Instrumentos </w:t>
      </w:r>
      <w:proofErr w:type="spellStart"/>
      <w:r w:rsidRPr="00346315">
        <w:rPr>
          <w:rFonts w:ascii="Verdana" w:hAnsi="Verdana"/>
          <w:bCs/>
          <w:sz w:val="20"/>
        </w:rPr>
        <w:t>Bursatilizados</w:t>
      </w:r>
      <w:proofErr w:type="spellEnd"/>
      <w:r w:rsidRPr="00346315">
        <w:rPr>
          <w:rFonts w:ascii="Verdana" w:hAnsi="Verdana"/>
          <w:bCs/>
          <w:sz w:val="20"/>
        </w:rPr>
        <w:t>, emitidos por Emisores Extranjeros;</w:t>
      </w:r>
    </w:p>
    <w:p w:rsidR="00346315" w:rsidRPr="00346315" w:rsidRDefault="00346315" w:rsidP="00346315">
      <w:pPr>
        <w:jc w:val="both"/>
        <w:rPr>
          <w:rFonts w:ascii="Verdana" w:hAnsi="Verdana"/>
          <w:bCs/>
          <w:sz w:val="20"/>
        </w:rPr>
      </w:pPr>
      <w:r w:rsidRPr="00346315">
        <w:rPr>
          <w:rFonts w:ascii="Verdana" w:hAnsi="Verdana"/>
          <w:bCs/>
          <w:sz w:val="20"/>
        </w:rPr>
        <w:lastRenderedPageBreak/>
        <w:t>LXXVIII.  Valores Extranjeros de Renta Variable, a los Activos Objeto de Inversión listados en algún mercado accionario previsto en las presentes disposiciones supervisado por una autoridad de los Países Elegibles para Inversiones cuya naturaleza corresponda a capital, emitidos por Emisores Extranjeros, adquiridos directamente o a través de Vehículos;</w:t>
      </w:r>
    </w:p>
    <w:p w:rsidR="00346315" w:rsidRPr="00346315" w:rsidRDefault="00346315" w:rsidP="00346315">
      <w:pPr>
        <w:jc w:val="both"/>
        <w:rPr>
          <w:rFonts w:ascii="Verdana" w:hAnsi="Verdana"/>
          <w:bCs/>
          <w:sz w:val="20"/>
        </w:rPr>
      </w:pPr>
      <w:r w:rsidRPr="00346315">
        <w:rPr>
          <w:rFonts w:ascii="Verdana" w:hAnsi="Verdana"/>
          <w:bCs/>
          <w:sz w:val="20"/>
        </w:rPr>
        <w:t>LXXIX.    Vehículos, a las sociedades o fondos de inversión, Fondos Mutuos, fideicomisos de inversión u otros análogos a los anteriores que, cualquiera que sea su denominación, confieran derechos, directa o indirectamente, respecto de los Activos Objeto de Inversión, y</w:t>
      </w:r>
    </w:p>
    <w:p w:rsidR="00346315" w:rsidRPr="00346315" w:rsidRDefault="00346315" w:rsidP="00346315">
      <w:pPr>
        <w:jc w:val="both"/>
        <w:rPr>
          <w:rFonts w:ascii="Verdana" w:hAnsi="Verdana"/>
          <w:bCs/>
          <w:sz w:val="20"/>
        </w:rPr>
      </w:pPr>
      <w:r w:rsidRPr="00346315">
        <w:rPr>
          <w:rFonts w:ascii="Verdana" w:hAnsi="Verdana"/>
          <w:bCs/>
          <w:sz w:val="20"/>
        </w:rPr>
        <w:t xml:space="preserve">LXXX.     Vehículos de Inversión Inmobiliaria, a los valores, distintos a las FIBRAS, listados en mercados de Países Elegibles para Inversiones, emitidos por fideicomisos, empresas o mecanismos autorizados para tales fines en la jurisdicción correspondiente, referidas en algunas de dichas jurisdicciones como Real Estate </w:t>
      </w:r>
      <w:proofErr w:type="spellStart"/>
      <w:r w:rsidRPr="00346315">
        <w:rPr>
          <w:rFonts w:ascii="Verdana" w:hAnsi="Verdana"/>
          <w:bCs/>
          <w:sz w:val="20"/>
        </w:rPr>
        <w:t>Investment</w:t>
      </w:r>
      <w:proofErr w:type="spellEnd"/>
      <w:r w:rsidRPr="00346315">
        <w:rPr>
          <w:rFonts w:ascii="Verdana" w:hAnsi="Verdana"/>
          <w:bCs/>
          <w:sz w:val="20"/>
        </w:rPr>
        <w:t xml:space="preserve"> Trust o </w:t>
      </w:r>
      <w:proofErr w:type="spellStart"/>
      <w:r w:rsidRPr="00346315">
        <w:rPr>
          <w:rFonts w:ascii="Verdana" w:hAnsi="Verdana"/>
          <w:bCs/>
          <w:sz w:val="20"/>
        </w:rPr>
        <w:t>REITs</w:t>
      </w:r>
      <w:proofErr w:type="spellEnd"/>
      <w:r w:rsidRPr="00346315">
        <w:rPr>
          <w:rFonts w:ascii="Verdana" w:hAnsi="Verdana"/>
          <w:bCs/>
          <w:sz w:val="20"/>
        </w:rPr>
        <w:t>, que se dediquen a la adquisición o construcción de bienes inmuebles que se destinen al arrendamiento o a la adquisición del derecho a percibir ingresos provenientes del arrendamiento de dichos bienes, así como a otorgar financiamiento para esos fines.</w:t>
      </w:r>
    </w:p>
    <w:p w:rsidR="00346315" w:rsidRPr="00346315" w:rsidRDefault="00346315" w:rsidP="00346315">
      <w:pPr>
        <w:jc w:val="both"/>
        <w:rPr>
          <w:rFonts w:ascii="Verdana" w:hAnsi="Verdana"/>
          <w:bCs/>
          <w:sz w:val="20"/>
        </w:rPr>
      </w:pPr>
      <w:r w:rsidRPr="00346315">
        <w:rPr>
          <w:rFonts w:ascii="Verdana" w:hAnsi="Verdana"/>
          <w:b/>
          <w:bCs/>
          <w:sz w:val="20"/>
        </w:rPr>
        <w:t>TERCERA.-</w:t>
      </w:r>
      <w:r w:rsidRPr="00346315">
        <w:rPr>
          <w:rFonts w:ascii="Verdana" w:hAnsi="Verdana"/>
          <w:bCs/>
          <w:sz w:val="20"/>
        </w:rPr>
        <w:t> Las Sociedades de Inversión podrán celebrar con Contrapartes operaciones de reporto y de préstamo de valores sobre los Instrumentos, salvo Instrumentos Estructurados, Mercancías, Estructuras Vinculadas a Subyacentes y sobre Valores Extranjeros que integren su activo, actuando las primeras únicamente como reportadoras o prestamistas, respectivamente, de conformidad con lo previsto en la Ley y en las Disposiciones del Banco de México.</w:t>
      </w:r>
    </w:p>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
          <w:bCs/>
          <w:sz w:val="20"/>
        </w:rPr>
        <w:t>Sección II</w:t>
      </w:r>
    </w:p>
    <w:p w:rsidR="00346315" w:rsidRPr="00346315" w:rsidRDefault="00346315" w:rsidP="00346315">
      <w:pPr>
        <w:jc w:val="both"/>
        <w:rPr>
          <w:rFonts w:ascii="Verdana" w:hAnsi="Verdana"/>
          <w:bCs/>
          <w:sz w:val="20"/>
        </w:rPr>
      </w:pPr>
      <w:r w:rsidRPr="00346315">
        <w:rPr>
          <w:rFonts w:ascii="Verdana" w:hAnsi="Verdana"/>
          <w:b/>
          <w:bCs/>
          <w:sz w:val="20"/>
        </w:rPr>
        <w:t>De la Calidad Crediticia</w:t>
      </w:r>
    </w:p>
    <w:p w:rsidR="00346315" w:rsidRPr="00346315" w:rsidRDefault="00346315" w:rsidP="00346315">
      <w:pPr>
        <w:jc w:val="both"/>
        <w:rPr>
          <w:rFonts w:ascii="Verdana" w:hAnsi="Verdana"/>
          <w:bCs/>
          <w:sz w:val="20"/>
        </w:rPr>
      </w:pPr>
      <w:r w:rsidRPr="00346315">
        <w:rPr>
          <w:rFonts w:ascii="Verdana" w:hAnsi="Verdana"/>
          <w:b/>
          <w:bCs/>
          <w:sz w:val="20"/>
        </w:rPr>
        <w:t>CUARTA.-</w:t>
      </w:r>
      <w:r w:rsidRPr="00346315">
        <w:rPr>
          <w:rFonts w:ascii="Verdana" w:hAnsi="Verdana"/>
          <w:bCs/>
          <w:sz w:val="20"/>
        </w:rPr>
        <w:t xml:space="preserve"> Los Instrumentos de Deuda denominados en moneda nacional y Unidades de Inversión que adquieran las Sociedades de Inversión, deberán alcanzar las calificaciones mínimas establecidas en los Anexos A, B, C, D o E de las presentes disposiciones. Tratándose de Instrumentos de Deuda denominados en Divisas, colocados en mercados nacionales o extranjeros, deberán alcanzar las calificaciones mínimas establecidas en los Anexos F, G, H o I de las presentes disposiciones. Lo anterior no es aplicable a los Instrumentos de Deuda emitidos o avalados por el Gobierno Federal ni a los emitidos por el Banco de </w:t>
      </w:r>
      <w:proofErr w:type="spellStart"/>
      <w:r w:rsidRPr="00346315">
        <w:rPr>
          <w:rFonts w:ascii="Verdana" w:hAnsi="Verdana"/>
          <w:bCs/>
          <w:sz w:val="20"/>
        </w:rPr>
        <w:t>México.La</w:t>
      </w:r>
      <w:proofErr w:type="spellEnd"/>
      <w:r w:rsidRPr="00346315">
        <w:rPr>
          <w:rFonts w:ascii="Verdana" w:hAnsi="Verdana"/>
          <w:bCs/>
          <w:sz w:val="20"/>
        </w:rPr>
        <w:t xml:space="preserve"> Inversión Neutra deberá alcanzar las calificaciones establecidas en los Anexos A, J o K de las presentes disposiciones, según corresponda, y los Valores Extranjeros de Deuda, deberán alcanzar las calificaciones mínimas establecidas en el Anexo J o K de las presentes disposiciones, según corresponda. Sin menoscabo de lo anterior, las Sociedades de Inversión podrán adquirir Instrumentos de Deuda que ostenten las calificaciones que determine el Comité de Análisis de Riesgos.</w:t>
      </w:r>
    </w:p>
    <w:p w:rsidR="00346315" w:rsidRPr="00346315" w:rsidRDefault="00346315" w:rsidP="00346315">
      <w:pPr>
        <w:jc w:val="both"/>
        <w:rPr>
          <w:rFonts w:ascii="Verdana" w:hAnsi="Verdana"/>
          <w:bCs/>
          <w:sz w:val="20"/>
        </w:rPr>
      </w:pPr>
      <w:r w:rsidRPr="00346315">
        <w:rPr>
          <w:rFonts w:ascii="Verdana" w:hAnsi="Verdana"/>
          <w:bCs/>
          <w:sz w:val="20"/>
        </w:rPr>
        <w:lastRenderedPageBreak/>
        <w:t>En caso de las Estructuras Vinculadas a Subyacentes emitidas en México al amparo de la regulación de la Comisión Nacional Bancaria y de Valores, los requisitos de calificación crediticia definidos en la presente disposición serán aplicables al emisor del instrumento en comento o en su caso al emisor del bono cupón cero o de la estructura de pagos, referidas en la disposición Segunda fracción XXXIV incisos b) o c) y a la Contraparte del inversionista con los Derivados asociados a la estructura.</w:t>
      </w:r>
    </w:p>
    <w:p w:rsidR="00346315" w:rsidRPr="00346315" w:rsidRDefault="00346315" w:rsidP="00346315">
      <w:pPr>
        <w:jc w:val="both"/>
        <w:rPr>
          <w:rFonts w:ascii="Verdana" w:hAnsi="Verdana"/>
          <w:bCs/>
          <w:sz w:val="20"/>
        </w:rPr>
      </w:pPr>
      <w:r w:rsidRPr="00346315">
        <w:rPr>
          <w:rFonts w:ascii="Verdana" w:hAnsi="Verdana"/>
          <w:bCs/>
          <w:sz w:val="20"/>
        </w:rPr>
        <w:t>En caso de las Estructuras Vinculadas a Subyacentes emitidas en el extranjero, les serán aplicables los requisitos de calificación crediticia definidos en las presentes disposiciones.</w:t>
      </w:r>
    </w:p>
    <w:p w:rsidR="00346315" w:rsidRPr="00346315" w:rsidRDefault="00346315" w:rsidP="00346315">
      <w:pPr>
        <w:jc w:val="both"/>
        <w:rPr>
          <w:rFonts w:ascii="Verdana" w:hAnsi="Verdana"/>
          <w:bCs/>
          <w:sz w:val="20"/>
        </w:rPr>
      </w:pPr>
      <w:r w:rsidRPr="00346315">
        <w:rPr>
          <w:rFonts w:ascii="Verdana" w:hAnsi="Verdana"/>
          <w:bCs/>
          <w:sz w:val="20"/>
        </w:rPr>
        <w:t>Las Estructuras Vinculadas a Subyacentes emitidas por Emisores Extranjeros, los Emisores Extranjeros y las Contrapartes extranjeras de los componentes vinculados a éstas referidos en la disposición Segunda fracción XXXIV incisos b) y c), deberán alcanzar las calificaciones mínimas establecidas en el Anexo J o K de las presentes disposiciones, según corresponda.</w:t>
      </w:r>
    </w:p>
    <w:p w:rsidR="00346315" w:rsidRPr="00346315" w:rsidRDefault="00346315" w:rsidP="00346315">
      <w:pPr>
        <w:jc w:val="both"/>
        <w:rPr>
          <w:rFonts w:ascii="Verdana" w:hAnsi="Verdana"/>
          <w:bCs/>
          <w:sz w:val="20"/>
        </w:rPr>
      </w:pPr>
      <w:r w:rsidRPr="00346315">
        <w:rPr>
          <w:rFonts w:ascii="Verdana" w:hAnsi="Verdana"/>
          <w:bCs/>
          <w:sz w:val="20"/>
        </w:rPr>
        <w:t>Los Emisores Nacionales y las Contrapartes nacionales de los componentes de las Estructuras Vinculadas a Subyacentes referidos en la disposición Segunda fracción XXXIV incisos b) y c), deberán alcanzar las calificaciones mínimas establecidas los Anexos A, B, C o D de las presentes disposiciones. Cuando los citados componentes de las estructuras sean denominados en Divisas, colocados en mercados nacionales o extranjeros, los Emisores Nacionales y las Contrapartes nacionales referidas en el presente párrafo deberán alcanzar las calificaciones mínimas establecidas en los Anexos F, G o H de las presentes disposiciones.</w:t>
      </w:r>
    </w:p>
    <w:p w:rsidR="00346315" w:rsidRPr="00346315" w:rsidRDefault="00346315" w:rsidP="00346315">
      <w:pPr>
        <w:jc w:val="both"/>
        <w:rPr>
          <w:rFonts w:ascii="Verdana" w:hAnsi="Verdana"/>
          <w:bCs/>
          <w:sz w:val="20"/>
        </w:rPr>
      </w:pPr>
      <w:r w:rsidRPr="00346315">
        <w:rPr>
          <w:rFonts w:ascii="Verdana" w:hAnsi="Verdana"/>
          <w:bCs/>
          <w:sz w:val="20"/>
        </w:rPr>
        <w:t>Las calificaciones mencionadas deberán ser otorgadas cuando menos por dos instituciones calificadoras de valores autorizadas y todas las calificaciones con que cuente un Instrumento de Deuda, Valor Extranjero de Deuda, en su caso, las emisiones de Estructuras Vinculadas a Subyacentes o bien los emisores de dichas estructuras, deberán ser públicas. Cuando las calificaciones de un mismo Instrumento de Deuda o Valor Extranjero de Deuda correspondan a diferentes Anexos, dicho Instrumento de Deuda o Valor Extranjero de Deuda, se sujetará para efectos de las presentes disposiciones a la calificación más baja con que cuente.</w:t>
      </w:r>
    </w:p>
    <w:p w:rsidR="00346315" w:rsidRPr="00346315" w:rsidRDefault="00346315" w:rsidP="00346315">
      <w:pPr>
        <w:jc w:val="both"/>
        <w:rPr>
          <w:rFonts w:ascii="Verdana" w:hAnsi="Verdana"/>
          <w:bCs/>
          <w:sz w:val="20"/>
        </w:rPr>
      </w:pPr>
      <w:r w:rsidRPr="00346315">
        <w:rPr>
          <w:rFonts w:ascii="Verdana" w:hAnsi="Verdana"/>
          <w:bCs/>
          <w:sz w:val="20"/>
        </w:rPr>
        <w:t xml:space="preserve">Sin perjuicio de lo anterior, tratándose de Emisores Nacionales que emitan Instrumentos de Deuda denominados en Divisas, colocados en mercados nacionales o extranjeros, que a su vez cuenten con calificaciones establecidas en los Anexos A </w:t>
      </w:r>
      <w:proofErr w:type="spellStart"/>
      <w:r w:rsidRPr="00346315">
        <w:rPr>
          <w:rFonts w:ascii="Verdana" w:hAnsi="Verdana"/>
          <w:bCs/>
          <w:sz w:val="20"/>
        </w:rPr>
        <w:t>a</w:t>
      </w:r>
      <w:proofErr w:type="spellEnd"/>
      <w:r w:rsidRPr="00346315">
        <w:rPr>
          <w:rFonts w:ascii="Verdana" w:hAnsi="Verdana"/>
          <w:bCs/>
          <w:sz w:val="20"/>
        </w:rPr>
        <w:t xml:space="preserve"> I, podrán considerarse estas calificaciones para efectos del cómputo de la calificación más baja a que se refiere el párrafo anterior.</w:t>
      </w:r>
    </w:p>
    <w:p w:rsidR="00346315" w:rsidRPr="00346315" w:rsidRDefault="00346315" w:rsidP="00346315">
      <w:pPr>
        <w:jc w:val="both"/>
        <w:rPr>
          <w:rFonts w:ascii="Verdana" w:hAnsi="Verdana"/>
          <w:bCs/>
          <w:sz w:val="20"/>
        </w:rPr>
      </w:pPr>
      <w:r w:rsidRPr="00346315">
        <w:rPr>
          <w:rFonts w:ascii="Verdana" w:hAnsi="Verdana"/>
          <w:bCs/>
          <w:sz w:val="20"/>
        </w:rPr>
        <w:t>Los requisitos de las calificaciones previstos en la presente disposición serán aplicables a las Contrapartes de los depósitos bancarios de dinero a la vista.</w:t>
      </w:r>
    </w:p>
    <w:p w:rsidR="00346315" w:rsidRPr="00346315" w:rsidRDefault="00346315" w:rsidP="00346315">
      <w:pPr>
        <w:jc w:val="both"/>
        <w:rPr>
          <w:rFonts w:ascii="Verdana" w:hAnsi="Verdana"/>
          <w:bCs/>
          <w:sz w:val="20"/>
        </w:rPr>
      </w:pPr>
      <w:r w:rsidRPr="00346315">
        <w:rPr>
          <w:rFonts w:ascii="Verdana" w:hAnsi="Verdana"/>
          <w:b/>
          <w:bCs/>
          <w:sz w:val="20"/>
        </w:rPr>
        <w:t>QUINTA.-</w:t>
      </w:r>
      <w:r w:rsidRPr="00346315">
        <w:rPr>
          <w:rFonts w:ascii="Verdana" w:hAnsi="Verdana"/>
          <w:bCs/>
          <w:sz w:val="20"/>
        </w:rPr>
        <w:t xml:space="preserve"> Las Contrapartes nacionales con las que las Sociedades de Inversión celebren operaciones de reporto, préstamo de valores o Derivados, o bien, las Instituciones de Crédito en las que dichas Sociedades de Inversión realicen depósitos bancarios deberán contar con las Calificaciones de Contraparte mínimas establecidas </w:t>
      </w:r>
      <w:r w:rsidRPr="00346315">
        <w:rPr>
          <w:rFonts w:ascii="Verdana" w:hAnsi="Verdana"/>
          <w:bCs/>
          <w:sz w:val="20"/>
        </w:rPr>
        <w:lastRenderedPageBreak/>
        <w:t>en los Anexos A, B, C o D, de las presentes disposiciones. En el caso de Contrapartes extranjeras, éstas deberán contar con las Calificaciones de Contraparte mínimas establecidas en el Anexo J o K de las presentes disposiciones. Lo anterior, sin perjuicio de cumplir con las Disposiciones del Banco de México.</w:t>
      </w:r>
    </w:p>
    <w:p w:rsidR="00346315" w:rsidRPr="00346315" w:rsidRDefault="00346315" w:rsidP="00346315">
      <w:pPr>
        <w:jc w:val="both"/>
        <w:rPr>
          <w:rFonts w:ascii="Verdana" w:hAnsi="Verdana"/>
          <w:bCs/>
          <w:sz w:val="20"/>
        </w:rPr>
      </w:pPr>
      <w:r w:rsidRPr="00346315">
        <w:rPr>
          <w:rFonts w:ascii="Verdana" w:hAnsi="Verdana"/>
          <w:bCs/>
          <w:sz w:val="20"/>
        </w:rPr>
        <w:t>Las Calificaciones con que cuente una Contraparte deberán ser públicas y otorgadas cuando menos por dos instituciones calificadoras de valores autorizadas. Cuando una Contraparte cuente con Calificaciones de Contraparte que correspondan a diferentes grados, dicha Contraparte quedará sujeta para efectos de estas disposiciones a la Calificación de Contraparte más baja con que cuente.</w:t>
      </w:r>
    </w:p>
    <w:p w:rsidR="00346315" w:rsidRPr="00346315" w:rsidRDefault="00346315" w:rsidP="00346315">
      <w:pPr>
        <w:jc w:val="both"/>
        <w:rPr>
          <w:rFonts w:ascii="Verdana" w:hAnsi="Verdana"/>
          <w:bCs/>
          <w:sz w:val="20"/>
        </w:rPr>
      </w:pPr>
      <w:r w:rsidRPr="00346315">
        <w:rPr>
          <w:rFonts w:ascii="Verdana" w:hAnsi="Verdana"/>
          <w:b/>
          <w:bCs/>
          <w:sz w:val="20"/>
        </w:rPr>
        <w:t>SEXTA.-</w:t>
      </w:r>
      <w:r w:rsidRPr="00346315">
        <w:rPr>
          <w:rFonts w:ascii="Verdana" w:hAnsi="Verdana"/>
          <w:bCs/>
          <w:sz w:val="20"/>
        </w:rPr>
        <w:t> En el caso de que las instituciones calificadoras de valores autorizadas modifiquen la denominación de sus calificaciones o se autoricen por la autoridad competente instituciones calificadoras de valores autorizadas no previstas en los Anexos antes referidos, el Comité de Análisis de Riesgos deberá analizar las nuevas escalas de calificación y determinará las modificaciones que deban realizarse a los Anexos antes mencionados. Asimismo, el Comité de Análisis de Riesgos podrá determinar la equivalencia de las calificaciones que otorguen las distintas instituciones calificadoras de valores autorizadas. La Comisión publicará en el Diario Oficial de la Federación la actualización de los Anexos determinada por el Comité de Análisis de Riesgos e informará de la modificación al Comité Consultivo y de Vigilancia y a la Junta de Gobierno de la Comisión en la primera sesión que estos órganos realicen con posterioridad a la publicación.</w:t>
      </w:r>
    </w:p>
    <w:p w:rsidR="00346315" w:rsidRPr="00346315" w:rsidRDefault="00346315" w:rsidP="00346315">
      <w:pPr>
        <w:jc w:val="both"/>
        <w:rPr>
          <w:rFonts w:ascii="Verdana" w:hAnsi="Verdana"/>
          <w:bCs/>
          <w:sz w:val="20"/>
        </w:rPr>
      </w:pPr>
      <w:r w:rsidRPr="00346315">
        <w:rPr>
          <w:rFonts w:ascii="Verdana" w:hAnsi="Verdana"/>
          <w:b/>
          <w:bCs/>
          <w:sz w:val="20"/>
        </w:rPr>
        <w:t>SÉPTIMA.- </w:t>
      </w:r>
      <w:r w:rsidRPr="00346315">
        <w:rPr>
          <w:rFonts w:ascii="Verdana" w:hAnsi="Verdana"/>
          <w:bCs/>
          <w:sz w:val="20"/>
        </w:rPr>
        <w:t>En el evento de que algunos de los Instrumentos de Deuda o Valores Extranjeros de Deuda que integren la cartera de una Sociedad de Inversión, o la Contraparte con la que una Sociedad de Inversión celebre operaciones de reporto, préstamo de valores o Derivados, o bien, en la que realice depósitos bancarios, las Estructuras Vinculadas a Subyacentes, en su caso los emisores y las Contrapartes vinculadas a los componentes de dichas estructuras, sufran cambios en su calificación que ocasionen que dejen de cumplir con lo señalado por las disposiciones Cuarta y Quinta anteriores, la Sociedad de Inversión deberá sujetarse a lo dispuesto en las disposiciones de carácter general en materia financiera de los Sistemas de Ahorro para el Retiro en lo relativo a la recomposición de cartera de las Sociedades de Inversión, expedidas por la Comisión.</w:t>
      </w:r>
    </w:p>
    <w:p w:rsidR="00346315" w:rsidRPr="00346315" w:rsidRDefault="00346315" w:rsidP="00346315">
      <w:pPr>
        <w:jc w:val="both"/>
        <w:rPr>
          <w:rFonts w:ascii="Verdana" w:hAnsi="Verdana"/>
          <w:bCs/>
          <w:sz w:val="20"/>
        </w:rPr>
      </w:pPr>
      <w:r w:rsidRPr="00346315">
        <w:rPr>
          <w:rFonts w:ascii="Verdana" w:hAnsi="Verdana"/>
          <w:b/>
          <w:bCs/>
          <w:sz w:val="20"/>
        </w:rPr>
        <w:t>OCTAVA.-</w:t>
      </w:r>
      <w:r w:rsidRPr="00346315">
        <w:rPr>
          <w:rFonts w:ascii="Verdana" w:hAnsi="Verdana"/>
          <w:bCs/>
          <w:sz w:val="20"/>
        </w:rPr>
        <w:t> Las Sociedades de Inversión sólo podrán celebrar operaciones de Derivados, reportos y préstamo de valores, o invertir en Estructuras Vinculadas a Subyacentes en las que el valor se determine mediante Derivados, con Contrapartes.</w:t>
      </w:r>
    </w:p>
    <w:p w:rsidR="00346315" w:rsidRPr="00346315" w:rsidRDefault="00346315" w:rsidP="00346315">
      <w:pPr>
        <w:jc w:val="both"/>
        <w:rPr>
          <w:rFonts w:ascii="Verdana" w:hAnsi="Verdana"/>
          <w:bCs/>
          <w:sz w:val="20"/>
        </w:rPr>
      </w:pPr>
      <w:r w:rsidRPr="00346315">
        <w:rPr>
          <w:rFonts w:ascii="Verdana" w:hAnsi="Verdana"/>
          <w:b/>
          <w:bCs/>
          <w:sz w:val="20"/>
        </w:rPr>
        <w:t>Sección III</w:t>
      </w:r>
    </w:p>
    <w:p w:rsidR="00346315" w:rsidRPr="00346315" w:rsidRDefault="00346315" w:rsidP="00346315">
      <w:pPr>
        <w:jc w:val="both"/>
        <w:rPr>
          <w:rFonts w:ascii="Verdana" w:hAnsi="Verdana"/>
          <w:bCs/>
          <w:sz w:val="20"/>
        </w:rPr>
      </w:pPr>
      <w:r w:rsidRPr="00346315">
        <w:rPr>
          <w:rFonts w:ascii="Verdana" w:hAnsi="Verdana"/>
          <w:b/>
          <w:bCs/>
          <w:sz w:val="20"/>
        </w:rPr>
        <w:t>De los Vehículos</w:t>
      </w:r>
    </w:p>
    <w:p w:rsidR="00346315" w:rsidRPr="00346315" w:rsidRDefault="00346315" w:rsidP="00346315">
      <w:pPr>
        <w:jc w:val="both"/>
        <w:rPr>
          <w:rFonts w:ascii="Verdana" w:hAnsi="Verdana"/>
          <w:bCs/>
          <w:sz w:val="20"/>
        </w:rPr>
      </w:pPr>
      <w:r w:rsidRPr="00346315">
        <w:rPr>
          <w:rFonts w:ascii="Verdana" w:hAnsi="Verdana"/>
          <w:b/>
          <w:bCs/>
          <w:sz w:val="20"/>
        </w:rPr>
        <w:t>NOVENA.-</w:t>
      </w:r>
      <w:r w:rsidRPr="00346315">
        <w:rPr>
          <w:rFonts w:ascii="Verdana" w:hAnsi="Verdana"/>
          <w:bCs/>
          <w:sz w:val="20"/>
        </w:rPr>
        <w:t xml:space="preserve"> El Comité de Análisis de Riesgos determinará los criterios para autorizar los Vehículos, los Índices Accionarios de Países Elegibles para Inversiones, los Índices Inmobiliarios de Países Elegibles para Inversiones y los Índices de Deuda de Países Elegibles para Inversiones que podrán ser objeto de inversión por parte de las </w:t>
      </w:r>
      <w:r w:rsidRPr="00346315">
        <w:rPr>
          <w:rFonts w:ascii="Verdana" w:hAnsi="Verdana"/>
          <w:bCs/>
          <w:sz w:val="20"/>
        </w:rPr>
        <w:lastRenderedPageBreak/>
        <w:t>Sociedades de Inversión, velando en todo momento por la protección de los intereses de los Trabajadores.</w:t>
      </w:r>
    </w:p>
    <w:p w:rsidR="00346315" w:rsidRPr="00346315" w:rsidRDefault="00346315" w:rsidP="00346315">
      <w:pPr>
        <w:jc w:val="both"/>
        <w:rPr>
          <w:rFonts w:ascii="Verdana" w:hAnsi="Verdana"/>
          <w:bCs/>
          <w:sz w:val="20"/>
        </w:rPr>
      </w:pPr>
      <w:r w:rsidRPr="00346315">
        <w:rPr>
          <w:rFonts w:ascii="Verdana" w:hAnsi="Verdana"/>
          <w:bCs/>
          <w:sz w:val="20"/>
        </w:rPr>
        <w:t xml:space="preserve">Las Administradoras podrán dar evidencia del cumplimiento de los requisitos referidos en el párrafo anterior contando con el dictamen de un experto independiente, siempre que éste satisfaga los requisitos previstos en las disposiciones de carácter general en materia financiera de los Sistemas de Ahorro para el Retiro emitidas por la Comisión. Asimismo, las Administradoras, y en su caso a quien éstas autoricen deberán reportar a la Comisión con la frecuencia establecida en las disposiciones de carácter general en materia financiera de los Sistemas de Ahorro para el Retiro y las reglas generales a las que deberá sujetarse </w:t>
      </w:r>
      <w:proofErr w:type="spellStart"/>
      <w:r w:rsidRPr="00346315">
        <w:rPr>
          <w:rFonts w:ascii="Verdana" w:hAnsi="Verdana"/>
          <w:bCs/>
          <w:sz w:val="20"/>
        </w:rPr>
        <w:t>lainformación</w:t>
      </w:r>
      <w:proofErr w:type="spellEnd"/>
      <w:r w:rsidRPr="00346315">
        <w:rPr>
          <w:rFonts w:ascii="Verdana" w:hAnsi="Verdana"/>
          <w:bCs/>
          <w:sz w:val="20"/>
        </w:rPr>
        <w:t xml:space="preserve"> que las administradoras de fondos para el retiro, las sociedades de inversión especializadas de fondos para el retiro, las entidades receptoras y las empresas operadoras de la Base de Datos Nacional SAR, entreguen a la Comisión Nacional del Sistema de Ahorro para el Retiro, la información de los dictámenes, índices y Vehículos referidos en la presente disposición.</w:t>
      </w:r>
    </w:p>
    <w:p w:rsidR="00346315" w:rsidRPr="00346315" w:rsidRDefault="00346315" w:rsidP="00346315">
      <w:pPr>
        <w:jc w:val="both"/>
        <w:rPr>
          <w:rFonts w:ascii="Verdana" w:hAnsi="Verdana"/>
          <w:bCs/>
          <w:sz w:val="20"/>
        </w:rPr>
      </w:pPr>
      <w:r w:rsidRPr="00346315">
        <w:rPr>
          <w:rFonts w:ascii="Verdana" w:hAnsi="Verdana"/>
          <w:bCs/>
          <w:sz w:val="20"/>
        </w:rPr>
        <w:t>La Comisión, y en su caso a quien las Administradoras autoricen, podrá dar a conocer la relación de índices y Vehículos conforme a los criterios que emita el Comité de Análisis de Riesgos de acuerdo con lo previsto en la presente disposición.</w:t>
      </w:r>
    </w:p>
    <w:p w:rsidR="00346315" w:rsidRPr="00346315" w:rsidRDefault="00346315" w:rsidP="00346315">
      <w:pPr>
        <w:jc w:val="both"/>
        <w:rPr>
          <w:rFonts w:ascii="Verdana" w:hAnsi="Verdana"/>
          <w:bCs/>
          <w:sz w:val="20"/>
        </w:rPr>
      </w:pPr>
      <w:r w:rsidRPr="00346315">
        <w:rPr>
          <w:rFonts w:ascii="Verdana" w:hAnsi="Verdana"/>
          <w:b/>
          <w:bCs/>
          <w:sz w:val="20"/>
        </w:rPr>
        <w:t>Sección IV</w:t>
      </w:r>
    </w:p>
    <w:p w:rsidR="00346315" w:rsidRPr="00346315" w:rsidRDefault="00346315" w:rsidP="00346315">
      <w:pPr>
        <w:jc w:val="both"/>
        <w:rPr>
          <w:rFonts w:ascii="Verdana" w:hAnsi="Verdana"/>
          <w:bCs/>
          <w:sz w:val="20"/>
        </w:rPr>
      </w:pPr>
      <w:r w:rsidRPr="00346315">
        <w:rPr>
          <w:rFonts w:ascii="Verdana" w:hAnsi="Verdana"/>
          <w:b/>
          <w:bCs/>
          <w:sz w:val="20"/>
        </w:rPr>
        <w:t>Cumplimiento del Régimen de Inversión y del Prospecto</w:t>
      </w:r>
    </w:p>
    <w:p w:rsidR="00346315" w:rsidRPr="00346315" w:rsidRDefault="00346315" w:rsidP="00346315">
      <w:pPr>
        <w:jc w:val="both"/>
        <w:rPr>
          <w:rFonts w:ascii="Verdana" w:hAnsi="Verdana"/>
          <w:bCs/>
          <w:sz w:val="20"/>
        </w:rPr>
      </w:pPr>
      <w:r w:rsidRPr="00346315">
        <w:rPr>
          <w:rFonts w:ascii="Verdana" w:hAnsi="Verdana"/>
          <w:b/>
          <w:bCs/>
          <w:sz w:val="20"/>
        </w:rPr>
        <w:t>DÉCIMA.-</w:t>
      </w:r>
      <w:r w:rsidRPr="00346315">
        <w:rPr>
          <w:rFonts w:ascii="Verdana" w:hAnsi="Verdana"/>
          <w:bCs/>
          <w:sz w:val="20"/>
        </w:rPr>
        <w:t> Cada Sociedad de Inversión determinará el régimen de inversión con el que operará conforme a los límites previstos en las presentes disposiciones, el cual será dado a conocer en el prospecto de información respectivo. El régimen de inversión previsto en dicho prospecto, deberá ser observado diariamente por la misma.</w:t>
      </w:r>
    </w:p>
    <w:p w:rsidR="00346315" w:rsidRPr="00346315" w:rsidRDefault="00346315" w:rsidP="00346315">
      <w:pPr>
        <w:jc w:val="both"/>
        <w:rPr>
          <w:rFonts w:ascii="Verdana" w:hAnsi="Verdana"/>
          <w:bCs/>
          <w:sz w:val="20"/>
        </w:rPr>
      </w:pPr>
      <w:r w:rsidRPr="00346315">
        <w:rPr>
          <w:rFonts w:ascii="Verdana" w:hAnsi="Verdana"/>
          <w:bCs/>
          <w:sz w:val="20"/>
        </w:rPr>
        <w:t>El Comité de Inversión de cada Sociedad de Inversión seleccionará los Activos Objetos de Inversión que serán adquiridos y vendidos por la misma de conformidad con el régimen de inversión previsto en las presentes disposiciones y en el prospecto de información de cada Sociedad de Inversión, observando los límites y parámetros establecidos por su Comité de Riesgos Financieros. En la operación del régimen de inversión, las Sociedades de Inversión deberán observar las Mejores Prácticas.</w:t>
      </w:r>
    </w:p>
    <w:p w:rsidR="00346315" w:rsidRPr="00346315" w:rsidRDefault="00346315" w:rsidP="00346315">
      <w:pPr>
        <w:jc w:val="both"/>
        <w:rPr>
          <w:rFonts w:ascii="Verdana" w:hAnsi="Verdana"/>
          <w:bCs/>
          <w:sz w:val="20"/>
        </w:rPr>
      </w:pPr>
      <w:r w:rsidRPr="00346315">
        <w:rPr>
          <w:rFonts w:ascii="Verdana" w:hAnsi="Verdana"/>
          <w:bCs/>
          <w:sz w:val="20"/>
        </w:rPr>
        <w:t>Las Sociedades de Inversión darán a conocer en el prospecto de información una descripción general de las actividades de inversión que en su caso realizarán por cuenta de éstas los Mandatarios que hubieren contratado.</w:t>
      </w:r>
    </w:p>
    <w:p w:rsidR="00346315" w:rsidRPr="00346315" w:rsidRDefault="00346315" w:rsidP="00346315">
      <w:pPr>
        <w:jc w:val="both"/>
        <w:rPr>
          <w:rFonts w:ascii="Verdana" w:hAnsi="Verdana"/>
          <w:bCs/>
          <w:sz w:val="20"/>
        </w:rPr>
      </w:pPr>
      <w:r w:rsidRPr="00346315">
        <w:rPr>
          <w:rFonts w:ascii="Verdana" w:hAnsi="Verdana"/>
          <w:bCs/>
          <w:sz w:val="20"/>
        </w:rPr>
        <w:t xml:space="preserve">Las Sociedades de Inversión deberán definir en los contratos que celebren con los Mandatarios las reglas de inversión a las que los Mandatarios se sujetarán, las cuales deberán observar los límites, parámetros y criterios establecidos en las presentes disposiciones y deberán ser determinadas de conformidad con las disposiciones de carácter general en materia financiera de los Sistemas de Ahorro para el Retiro emitidas por la Comisión. Las Sociedades de Inversión deberán prever en los contratos citados que los Mandatarios se apeguen a lo establecido en las reglas generales a las que deberá sujetarse la información que </w:t>
      </w:r>
      <w:proofErr w:type="spellStart"/>
      <w:r w:rsidRPr="00346315">
        <w:rPr>
          <w:rFonts w:ascii="Verdana" w:hAnsi="Verdana"/>
          <w:bCs/>
          <w:sz w:val="20"/>
        </w:rPr>
        <w:t>lasadministradoras</w:t>
      </w:r>
      <w:proofErr w:type="spellEnd"/>
      <w:r w:rsidRPr="00346315">
        <w:rPr>
          <w:rFonts w:ascii="Verdana" w:hAnsi="Verdana"/>
          <w:bCs/>
          <w:sz w:val="20"/>
        </w:rPr>
        <w:t xml:space="preserve"> de fondos para el retiro, </w:t>
      </w:r>
      <w:r w:rsidRPr="00346315">
        <w:rPr>
          <w:rFonts w:ascii="Verdana" w:hAnsi="Verdana"/>
          <w:bCs/>
          <w:sz w:val="20"/>
        </w:rPr>
        <w:lastRenderedPageBreak/>
        <w:t>las sociedades de inversión especializadas de fondos para el retiro, las entidades receptoras y las empresas operadoras de la Base de Datos Nacional SAR, entreguen a la Comisión Nacional del Sistema de Ahorro para el Retiro.</w:t>
      </w:r>
    </w:p>
    <w:p w:rsidR="00346315" w:rsidRPr="00346315" w:rsidRDefault="00346315" w:rsidP="00346315">
      <w:pPr>
        <w:jc w:val="both"/>
        <w:rPr>
          <w:rFonts w:ascii="Verdana" w:hAnsi="Verdana"/>
          <w:bCs/>
          <w:sz w:val="20"/>
        </w:rPr>
      </w:pPr>
      <w:r w:rsidRPr="00346315">
        <w:rPr>
          <w:rFonts w:ascii="Verdana" w:hAnsi="Verdana"/>
          <w:bCs/>
          <w:sz w:val="20"/>
        </w:rPr>
        <w:t>Las Sociedades de Inversión Básicas, con excepción de las Sociedades de Inversión Básicas de Pensiones, deberán definir un portafolio de referencia, acorde a las características de cada Sociedad de Inversión, mismo que deberá especificar la clase de Activos Objeto de Inversión, de Divisas, liquidez, reglas de rebalanceo, gobernanza, la desviación máxima permitida de la cartera de inversión respecto de dicho portafolio, y la información que será revelada al público, así como con las demás obligaciones que se establezcan en las disposiciones de carácter general en materia financiera de los Sistemas de Ahorro para el Retiro emitidas por la Comisión.</w:t>
      </w:r>
    </w:p>
    <w:p w:rsidR="00346315" w:rsidRPr="00346315" w:rsidRDefault="00346315" w:rsidP="00346315">
      <w:pPr>
        <w:jc w:val="both"/>
        <w:rPr>
          <w:rFonts w:ascii="Verdana" w:hAnsi="Verdana"/>
          <w:bCs/>
          <w:sz w:val="20"/>
        </w:rPr>
      </w:pPr>
      <w:r w:rsidRPr="00346315">
        <w:rPr>
          <w:rFonts w:ascii="Verdana" w:hAnsi="Verdana"/>
          <w:bCs/>
          <w:sz w:val="20"/>
        </w:rPr>
        <w:t>Las Sociedades de Inversión Básicas podrán actualizar sus portafolios de referencia siempre que haya transcurrido al menos un año desde su definición, contado a partir de la no objeción de la Comisión. Para actualizar los referidos portafolios con una mayor frecuencia, las Sociedades de Inversión Básicas deberán informar a la Comisión previo a la actualización, adjuntando los proyectos de los manuales de inversión y de políticas y procedimientos para el control de riesgos financieros que incorporen los ajustes correspondientes.</w:t>
      </w:r>
    </w:p>
    <w:p w:rsidR="00346315" w:rsidRPr="00346315" w:rsidRDefault="00346315" w:rsidP="00346315">
      <w:pPr>
        <w:jc w:val="both"/>
        <w:rPr>
          <w:rFonts w:ascii="Verdana" w:hAnsi="Verdana"/>
          <w:bCs/>
          <w:sz w:val="20"/>
        </w:rPr>
      </w:pPr>
      <w:r w:rsidRPr="00346315">
        <w:rPr>
          <w:rFonts w:ascii="Verdana" w:hAnsi="Verdana"/>
          <w:b/>
          <w:bCs/>
          <w:sz w:val="20"/>
        </w:rPr>
        <w:t>DÉCIMA PRIMERA.-</w:t>
      </w:r>
      <w:r w:rsidRPr="00346315">
        <w:rPr>
          <w:rFonts w:ascii="Verdana" w:hAnsi="Verdana"/>
          <w:bCs/>
          <w:sz w:val="20"/>
        </w:rPr>
        <w:t xml:space="preserve"> Cuando las Sociedades de Inversión incumplan el régimen de inversión autorizado por causas que les sean imputables o en su caso a los Mandatarios que hubieren contratado, o bien, por causa de entradas o salidas de recursos, y como consecuencia de ello se cause una minusvalía o pérdida en el Activo Total de la Sociedad de Inversión, en el Activo Administrado por la Sociedad de Inversión o en el Activo Administrado por el Mandatario que ésta hubiere contratado y/o en algún Activo Objeto de Inversión, la Administradora que opere la Sociedad de Inversión de que se trate, deberá resarcir la minusvalía </w:t>
      </w:r>
      <w:proofErr w:type="spellStart"/>
      <w:r w:rsidRPr="00346315">
        <w:rPr>
          <w:rFonts w:ascii="Verdana" w:hAnsi="Verdana"/>
          <w:bCs/>
          <w:sz w:val="20"/>
        </w:rPr>
        <w:t>deconformidad</w:t>
      </w:r>
      <w:proofErr w:type="spellEnd"/>
      <w:r w:rsidRPr="00346315">
        <w:rPr>
          <w:rFonts w:ascii="Verdana" w:hAnsi="Verdana"/>
          <w:bCs/>
          <w:sz w:val="20"/>
        </w:rPr>
        <w:t xml:space="preserve"> con la fórmula prevista en el Anexo O de las presentes disposiciones.</w:t>
      </w:r>
    </w:p>
    <w:p w:rsidR="00346315" w:rsidRPr="00346315" w:rsidRDefault="00346315" w:rsidP="00346315">
      <w:pPr>
        <w:jc w:val="both"/>
        <w:rPr>
          <w:rFonts w:ascii="Verdana" w:hAnsi="Verdana"/>
          <w:bCs/>
          <w:sz w:val="20"/>
        </w:rPr>
      </w:pPr>
      <w:r w:rsidRPr="00346315">
        <w:rPr>
          <w:rFonts w:ascii="Verdana" w:hAnsi="Verdana"/>
          <w:bCs/>
          <w:sz w:val="20"/>
        </w:rPr>
        <w:t>No se considerará como incumplimiento al régimen de inversión autorizado imputable a las Sociedades de Inversión o en su caso a los Mandatarios que hubieren contratado, aquellas causas previstas en las disposiciones de carácter general en materia financiera de los Sistemas de Ahorro para el Retiro en lo relativo a la recomposición de cartera, emitidas por la Comisión en que así se señale.</w:t>
      </w:r>
    </w:p>
    <w:p w:rsidR="00346315" w:rsidRPr="00346315" w:rsidRDefault="00346315" w:rsidP="00346315">
      <w:pPr>
        <w:jc w:val="both"/>
        <w:rPr>
          <w:rFonts w:ascii="Verdana" w:hAnsi="Verdana"/>
          <w:bCs/>
          <w:sz w:val="20"/>
        </w:rPr>
      </w:pPr>
      <w:r w:rsidRPr="00346315">
        <w:rPr>
          <w:rFonts w:ascii="Verdana" w:hAnsi="Verdana"/>
          <w:bCs/>
          <w:sz w:val="20"/>
        </w:rPr>
        <w:t>Tampoco se considerarán como incumplimiento al régimen de inversión autorizado imputable a las Sociedades de Inversión aquéllos originados por inversiones en Vehículos o replicación de Índices Accionarios de Países Elegibles para Inversiones, Índices Inmobiliarios de Países Elegibles para Inversiones o Índices de Deuda de Países Elegibles para Inversiones, que hayan sido dictaminados por el experto independiente previsto en la disposición Novena de las presentes disposiciones y que cuenten con un dictamen aprobatorio vigente respecto del cumplimiento a los criterios que determine el Comité de Análisis de Riesgos para autorizar los Vehículos, los Índices Accionarios de Países Elegibles para Inversiones, los Índices Inmobiliarios de Países Elegibles para Inversiones y los Índices de Deuda de Países Elegibles para Inversiones que podrán ser objeto de inversión por parte de las Sociedades de Inversión.</w:t>
      </w:r>
    </w:p>
    <w:p w:rsidR="00346315" w:rsidRPr="00346315" w:rsidRDefault="00346315" w:rsidP="00346315">
      <w:pPr>
        <w:jc w:val="both"/>
        <w:rPr>
          <w:rFonts w:ascii="Verdana" w:hAnsi="Verdana"/>
          <w:bCs/>
          <w:sz w:val="20"/>
        </w:rPr>
      </w:pPr>
      <w:r w:rsidRPr="00346315">
        <w:rPr>
          <w:rFonts w:ascii="Verdana" w:hAnsi="Verdana"/>
          <w:bCs/>
          <w:sz w:val="20"/>
        </w:rPr>
        <w:lastRenderedPageBreak/>
        <w:t>Para efectos del último párrafo del artículo 44 de la Ley, se entenderá que existe minusvalía en el Activo Total Administrado por la Sociedad de Inversión cuando el precio de la acción de la Sociedad de Inversión al cierre de un día (</w:t>
      </w:r>
      <w:r w:rsidRPr="00346315">
        <w:rPr>
          <w:rFonts w:ascii="Verdana" w:hAnsi="Verdana"/>
          <w:bCs/>
          <w:i/>
          <w:iCs/>
          <w:sz w:val="20"/>
        </w:rPr>
        <w:t>PS1</w:t>
      </w:r>
      <w:r w:rsidRPr="00346315">
        <w:rPr>
          <w:rFonts w:ascii="Verdana" w:hAnsi="Verdana"/>
          <w:bCs/>
          <w:sz w:val="20"/>
        </w:rPr>
        <w:t>) sea menor que el precio correspondiente a dicha acción el día hábil anterior (</w:t>
      </w:r>
      <w:r w:rsidRPr="00346315">
        <w:rPr>
          <w:rFonts w:ascii="Verdana" w:hAnsi="Verdana"/>
          <w:bCs/>
          <w:i/>
          <w:iCs/>
          <w:sz w:val="20"/>
        </w:rPr>
        <w:t>PS0</w:t>
      </w:r>
      <w:r w:rsidRPr="00346315">
        <w:rPr>
          <w:rFonts w:ascii="Verdana" w:hAnsi="Verdana"/>
          <w:bCs/>
          <w:sz w:val="20"/>
        </w:rPr>
        <w:t>). Se entenderá que existe minusvalía en el Activo Administrado por la Sociedad de Inversión cuando el valor de mercado de la cartera directamente gestionada por la Sociedad de Inversión al cierre de un día, ajustado por entradas y salidas de recursos, sea menor que el valor correspondiente a dicha valuación el día hábil anterior. Se entenderá que existe minusvalía en el Activo Administrado por el Mandatario de que se trate, cuando el valor de mercado de la cartera directamente gestionada por éste al cierre de un día, ajustada por entradas y salidas de recursos, sea menor que el valor correspondiente a dicha valuación el día hábil anterior. La Comisión establecerá a través de las disposiciones de carácter general en materia financiera los criterios aplicables a las Sociedades de Inversión para verificar el cumplimiento de las presentes disposiciones ya sea por éstas o por los Mandatarios que contraten.</w:t>
      </w:r>
    </w:p>
    <w:p w:rsidR="00346315" w:rsidRPr="00346315" w:rsidRDefault="00346315" w:rsidP="00346315">
      <w:pPr>
        <w:jc w:val="both"/>
        <w:rPr>
          <w:rFonts w:ascii="Verdana" w:hAnsi="Verdana"/>
          <w:bCs/>
          <w:sz w:val="20"/>
        </w:rPr>
      </w:pPr>
      <w:r w:rsidRPr="00346315">
        <w:rPr>
          <w:rFonts w:ascii="Verdana" w:hAnsi="Verdana"/>
          <w:bCs/>
          <w:sz w:val="20"/>
        </w:rPr>
        <w:t>Se entenderá que existe minusvalía en un Activo Objeto de Inversión cuando el precio de dicho activo al cierre de un día (</w:t>
      </w:r>
      <w:r w:rsidRPr="00346315">
        <w:rPr>
          <w:rFonts w:ascii="Verdana" w:hAnsi="Verdana"/>
          <w:bCs/>
          <w:i/>
          <w:iCs/>
          <w:sz w:val="20"/>
        </w:rPr>
        <w:t>PA1</w:t>
      </w:r>
      <w:r w:rsidRPr="00346315">
        <w:rPr>
          <w:rFonts w:ascii="Verdana" w:hAnsi="Verdana"/>
          <w:bCs/>
          <w:sz w:val="20"/>
        </w:rPr>
        <w:t>) sea menor que el precio correspondiente a ese activo el día hábil anterior o, en su caso, que el precio de adquisición, (</w:t>
      </w:r>
      <w:r w:rsidRPr="00346315">
        <w:rPr>
          <w:rFonts w:ascii="Verdana" w:hAnsi="Verdana"/>
          <w:bCs/>
          <w:i/>
          <w:iCs/>
          <w:sz w:val="20"/>
        </w:rPr>
        <w:t>PA0</w:t>
      </w:r>
      <w:r w:rsidRPr="00346315">
        <w:rPr>
          <w:rFonts w:ascii="Verdana" w:hAnsi="Verdana"/>
          <w:bCs/>
          <w:sz w:val="20"/>
        </w:rPr>
        <w:t>). Lo anterior será aplicable a los activos que conformen los Vehículos y Vehículos de Inversión Inmobiliaria en los que invierta la Sociedad de Inversión. Tratándose de Activos Objeto de Inversión administrados por Mandatarios, la periodicidad antes referida se sujetará a lo establecido en las disposiciones de carácter general en materia financiera emitidas por la Comisión.</w:t>
      </w:r>
    </w:p>
    <w:p w:rsidR="00346315" w:rsidRPr="00346315" w:rsidRDefault="00346315" w:rsidP="00346315">
      <w:pPr>
        <w:jc w:val="both"/>
        <w:rPr>
          <w:rFonts w:ascii="Verdana" w:hAnsi="Verdana"/>
          <w:bCs/>
          <w:sz w:val="20"/>
        </w:rPr>
      </w:pPr>
      <w:r w:rsidRPr="00346315">
        <w:rPr>
          <w:rFonts w:ascii="Verdana" w:hAnsi="Verdana"/>
          <w:bCs/>
          <w:sz w:val="20"/>
        </w:rPr>
        <w:t>Para determinar qué Activo Objeto de Inversión o conjunto de Activos Objeto de Inversión causan el incumplimiento del régimen de inversión autorizado, se tomarán en cuenta aquellos Activos Objeto de Inversión que hayan sido negociados el día del incumplimiento o bien para el caso de las inversiones realizadas en FIBRAS o Instrumentos Estructurados, directamente por la Sociedad de Inversión o a través de Mandatarios, se considerarán las inversiones realizadas en los proyectos que incumplan con lo previsto en la disposición Décima Sexta, fracción I, inciso f), e inciso g), respectivamente, y demás previstas en las presentes disposiciones aplicables a FIBRAS o Instrumentos Estructurados, respectivamente.</w:t>
      </w:r>
    </w:p>
    <w:p w:rsidR="00346315" w:rsidRPr="00346315" w:rsidRDefault="00346315" w:rsidP="00346315">
      <w:pPr>
        <w:jc w:val="both"/>
        <w:rPr>
          <w:rFonts w:ascii="Verdana" w:hAnsi="Verdana"/>
          <w:bCs/>
          <w:sz w:val="20"/>
        </w:rPr>
      </w:pPr>
      <w:r w:rsidRPr="00346315">
        <w:rPr>
          <w:rFonts w:ascii="Verdana" w:hAnsi="Verdana"/>
          <w:bCs/>
          <w:sz w:val="20"/>
        </w:rPr>
        <w:t>Tratándose de los límites mínimos aplicables a que se refiere la disposición Décima Quinta siguiente, se utilizará el precio de venta aplicable para determinar que existe minusvalía. En este caso se considerará que se causa una pérdida a la Sociedad de Inversión ocasionada por el incumplimiento de los límites regulatorios, cuando mantenga un déficit con respecto a dichos límites y el precio de cierre del activo negociado sea mayor que el precio de valuación de la fecha correspondiente a la periodicidad establecida en las disposiciones de carácter general en materia financiera emitidas por la Comisión, o en su caso, que el precio de venta.</w:t>
      </w:r>
    </w:p>
    <w:p w:rsidR="00346315" w:rsidRPr="00346315" w:rsidRDefault="00346315" w:rsidP="00346315">
      <w:pPr>
        <w:jc w:val="both"/>
        <w:rPr>
          <w:rFonts w:ascii="Verdana" w:hAnsi="Verdana"/>
          <w:bCs/>
          <w:sz w:val="20"/>
        </w:rPr>
      </w:pPr>
      <w:r w:rsidRPr="00346315">
        <w:rPr>
          <w:rFonts w:ascii="Verdana" w:hAnsi="Verdana"/>
          <w:bCs/>
          <w:sz w:val="20"/>
        </w:rPr>
        <w:t xml:space="preserve">Los precios de adquisición o de venta referidos en la presente disposición se determinarán de conformidad con los criterios que establezca el Comité de Valuación y </w:t>
      </w:r>
      <w:r w:rsidRPr="00346315">
        <w:rPr>
          <w:rFonts w:ascii="Verdana" w:hAnsi="Verdana"/>
          <w:bCs/>
          <w:sz w:val="20"/>
        </w:rPr>
        <w:lastRenderedPageBreak/>
        <w:t>los criterios descritos en las disposiciones de carácter general en materia financiera de los Sistemas de Ahorro para el Retiro emitidas por la Comisión.</w:t>
      </w:r>
    </w:p>
    <w:p w:rsidR="00346315" w:rsidRPr="00346315" w:rsidRDefault="00346315" w:rsidP="00346315">
      <w:pPr>
        <w:jc w:val="both"/>
        <w:rPr>
          <w:rFonts w:ascii="Verdana" w:hAnsi="Verdana"/>
          <w:bCs/>
          <w:sz w:val="20"/>
        </w:rPr>
      </w:pPr>
      <w:r w:rsidRPr="00346315">
        <w:rPr>
          <w:rFonts w:ascii="Verdana" w:hAnsi="Verdana"/>
          <w:bCs/>
          <w:sz w:val="20"/>
        </w:rPr>
        <w:t>Los montos de las minusvalías ocasionadas al Activo Total de la Sociedad de Inversión, al Activo Administrado por la Sociedad de Inversión, o en su caso al Activo Administrado por el Mandatario, y los montos de las minusvalías de un Activo Objeto de Inversión con el que se incumpla el régimen de inversión autorizado, serán determinados de conformidad con el procedimiento previsto en esta disposición y en el Anexo O de las presentes disposiciones.</w:t>
      </w:r>
    </w:p>
    <w:p w:rsidR="00346315" w:rsidRPr="00346315" w:rsidRDefault="00346315" w:rsidP="00346315">
      <w:pPr>
        <w:jc w:val="both"/>
        <w:rPr>
          <w:rFonts w:ascii="Verdana" w:hAnsi="Verdana"/>
          <w:bCs/>
          <w:sz w:val="20"/>
        </w:rPr>
      </w:pPr>
      <w:r w:rsidRPr="00346315">
        <w:rPr>
          <w:rFonts w:ascii="Verdana" w:hAnsi="Verdana"/>
          <w:bCs/>
          <w:sz w:val="20"/>
        </w:rPr>
        <w:t>La minusvalía la cubrirá la Administradora que opere la Sociedad de Inversión con cargo a la reserva especial constituida en los términos previstos en la Ley y, en caso de que ésta resulte insuficiente, lo deberá hacer con cargo a su capital social.</w:t>
      </w:r>
    </w:p>
    <w:p w:rsidR="00346315" w:rsidRPr="00346315" w:rsidRDefault="00346315" w:rsidP="00346315">
      <w:pPr>
        <w:jc w:val="both"/>
        <w:rPr>
          <w:rFonts w:ascii="Verdana" w:hAnsi="Verdana"/>
          <w:bCs/>
          <w:sz w:val="20"/>
        </w:rPr>
      </w:pPr>
      <w:r w:rsidRPr="00346315">
        <w:rPr>
          <w:rFonts w:ascii="Verdana" w:hAnsi="Verdana"/>
          <w:b/>
          <w:bCs/>
          <w:sz w:val="20"/>
        </w:rPr>
        <w:t>DÉCIMA SEGUNDA.-</w:t>
      </w:r>
      <w:r w:rsidRPr="00346315">
        <w:rPr>
          <w:rFonts w:ascii="Verdana" w:hAnsi="Verdana"/>
          <w:bCs/>
          <w:sz w:val="20"/>
        </w:rPr>
        <w:t> A efecto de resarcir la minusvalía a que se refiere la disposición anterior, las Administradoras deberán cancelar de su posición el número de acciones de capital variable que resulte de dividir el monto de la minusvalía, entre el precio de valuación de la acción de la Sociedad de Inversión de que se trate conforme a lo dispuesto en las disposiciones de carácter general en materia financiera de los Sistemas de Ahorro para el Retiro en lo relativo a la recomposición de cartera de las Sociedades de Inversión, expedidas por la Comisión. Lo anterior, sin perjuicio de que estén obligadas a reconstituir la reserva especial y, en su caso, el capital social de conformidad con lo dispuesto por la Ley.</w:t>
      </w:r>
    </w:p>
    <w:p w:rsidR="00346315" w:rsidRPr="00346315" w:rsidRDefault="00346315" w:rsidP="00346315">
      <w:pPr>
        <w:jc w:val="both"/>
        <w:rPr>
          <w:rFonts w:ascii="Verdana" w:hAnsi="Verdana"/>
          <w:bCs/>
          <w:sz w:val="20"/>
        </w:rPr>
      </w:pPr>
      <w:r w:rsidRPr="00346315">
        <w:rPr>
          <w:rFonts w:ascii="Verdana" w:hAnsi="Verdana"/>
          <w:b/>
          <w:bCs/>
          <w:sz w:val="20"/>
        </w:rPr>
        <w:t>CAPÍTULO II</w:t>
      </w:r>
    </w:p>
    <w:p w:rsidR="00346315" w:rsidRPr="00346315" w:rsidRDefault="00346315" w:rsidP="00346315">
      <w:pPr>
        <w:jc w:val="both"/>
        <w:rPr>
          <w:rFonts w:ascii="Verdana" w:hAnsi="Verdana"/>
          <w:bCs/>
          <w:sz w:val="20"/>
        </w:rPr>
      </w:pPr>
      <w:r w:rsidRPr="00346315">
        <w:rPr>
          <w:rFonts w:ascii="Verdana" w:hAnsi="Verdana"/>
          <w:b/>
          <w:bCs/>
          <w:sz w:val="20"/>
        </w:rPr>
        <w:t>DEL RÉGIMEN DE INVERSIÓN DE LAS SOCIEDADES DE INVERSIÓN</w:t>
      </w:r>
    </w:p>
    <w:p w:rsidR="00346315" w:rsidRPr="00346315" w:rsidRDefault="00346315" w:rsidP="00346315">
      <w:pPr>
        <w:jc w:val="both"/>
        <w:rPr>
          <w:rFonts w:ascii="Verdana" w:hAnsi="Verdana"/>
          <w:bCs/>
          <w:sz w:val="20"/>
        </w:rPr>
      </w:pPr>
      <w:r w:rsidRPr="00346315">
        <w:rPr>
          <w:rFonts w:ascii="Verdana" w:hAnsi="Verdana"/>
          <w:b/>
          <w:bCs/>
          <w:sz w:val="20"/>
        </w:rPr>
        <w:t>Sección I</w:t>
      </w:r>
    </w:p>
    <w:p w:rsidR="00346315" w:rsidRPr="00346315" w:rsidRDefault="00346315" w:rsidP="00346315">
      <w:pPr>
        <w:jc w:val="both"/>
        <w:rPr>
          <w:rFonts w:ascii="Verdana" w:hAnsi="Verdana"/>
          <w:bCs/>
          <w:sz w:val="20"/>
        </w:rPr>
      </w:pPr>
      <w:r w:rsidRPr="00346315">
        <w:rPr>
          <w:rFonts w:ascii="Verdana" w:hAnsi="Verdana"/>
          <w:b/>
          <w:bCs/>
          <w:sz w:val="20"/>
        </w:rPr>
        <w:t>De las Sociedades de Inversión Básicas</w:t>
      </w:r>
    </w:p>
    <w:p w:rsidR="00346315" w:rsidRPr="00346315" w:rsidRDefault="00346315" w:rsidP="00346315">
      <w:pPr>
        <w:jc w:val="both"/>
        <w:rPr>
          <w:rFonts w:ascii="Verdana" w:hAnsi="Verdana"/>
          <w:bCs/>
          <w:sz w:val="20"/>
        </w:rPr>
      </w:pPr>
      <w:r w:rsidRPr="00346315">
        <w:rPr>
          <w:rFonts w:ascii="Verdana" w:hAnsi="Verdana"/>
          <w:b/>
          <w:bCs/>
          <w:sz w:val="20"/>
        </w:rPr>
        <w:t>DÉCIMA TERCERA.-</w:t>
      </w:r>
      <w:r w:rsidRPr="00346315">
        <w:rPr>
          <w:rFonts w:ascii="Verdana" w:hAnsi="Verdana"/>
          <w:bCs/>
          <w:sz w:val="20"/>
        </w:rPr>
        <w:t> Las Administradoras deberán invertir conjuntamente los recursos de la Subcuenta de RCV IMSS, de la Subcuenta de RCV ISSSTE y, en su caso, de la Subcuenta de Ahorro Solidario, de la Subcuenta del Seguro de Retiro y de la Subcuenta de Ahorro para el Retiro, en la Sociedad de Inversión Básica que corresponda de acuerdo con lo siguiente:</w:t>
      </w:r>
    </w:p>
    <w:p w:rsidR="00346315" w:rsidRPr="00346315" w:rsidRDefault="00346315" w:rsidP="00346315">
      <w:pPr>
        <w:jc w:val="both"/>
        <w:rPr>
          <w:rFonts w:ascii="Verdana" w:hAnsi="Verdana"/>
          <w:bCs/>
          <w:sz w:val="20"/>
        </w:rPr>
      </w:pPr>
      <w:r w:rsidRPr="00346315">
        <w:rPr>
          <w:rFonts w:ascii="Verdana" w:hAnsi="Verdana"/>
          <w:bCs/>
          <w:sz w:val="20"/>
        </w:rPr>
        <w:t>I.     La Sociedad de Inversión Básica de Pensiones, deberá invertir los recursos de:</w:t>
      </w:r>
    </w:p>
    <w:p w:rsidR="00346315" w:rsidRPr="00346315" w:rsidRDefault="00346315" w:rsidP="00346315">
      <w:pPr>
        <w:jc w:val="both"/>
        <w:rPr>
          <w:rFonts w:ascii="Verdana" w:hAnsi="Verdana"/>
          <w:bCs/>
          <w:sz w:val="20"/>
        </w:rPr>
      </w:pPr>
      <w:r w:rsidRPr="00346315">
        <w:rPr>
          <w:rFonts w:ascii="Verdana" w:hAnsi="Verdana"/>
          <w:bCs/>
          <w:sz w:val="20"/>
        </w:rPr>
        <w:t xml:space="preserve">a)   Los Trabajadores que tengan 60 años de edad o más, que considerando la información de su periodo de cotización, no tengan derecho al esquema de pensiones establecido en la Ley del Seguro Social publicada en el Diario Oficial de la Federación el 12 de marzo de 1973 o al régimen de pensiones previsto en la Ley del Instituto de Seguridad y Servicios Sociales de los Trabajadores del Estado publicada en el referido Diario el 27 de diciembre de 1983 con </w:t>
      </w:r>
      <w:proofErr w:type="spellStart"/>
      <w:r w:rsidRPr="00346315">
        <w:rPr>
          <w:rFonts w:ascii="Verdana" w:hAnsi="Verdana"/>
          <w:bCs/>
          <w:sz w:val="20"/>
        </w:rPr>
        <w:t>susreformas</w:t>
      </w:r>
      <w:proofErr w:type="spellEnd"/>
      <w:r w:rsidRPr="00346315">
        <w:rPr>
          <w:rFonts w:ascii="Verdana" w:hAnsi="Verdana"/>
          <w:bCs/>
          <w:sz w:val="20"/>
        </w:rPr>
        <w:t xml:space="preserve"> y adiciones;</w:t>
      </w:r>
    </w:p>
    <w:p w:rsidR="00346315" w:rsidRPr="00346315" w:rsidRDefault="00346315" w:rsidP="00346315">
      <w:pPr>
        <w:jc w:val="both"/>
        <w:rPr>
          <w:rFonts w:ascii="Verdana" w:hAnsi="Verdana"/>
          <w:bCs/>
          <w:sz w:val="20"/>
        </w:rPr>
      </w:pPr>
      <w:r w:rsidRPr="00346315">
        <w:rPr>
          <w:rFonts w:ascii="Verdana" w:hAnsi="Verdana"/>
          <w:bCs/>
          <w:sz w:val="20"/>
        </w:rPr>
        <w:lastRenderedPageBreak/>
        <w:t>b)   Los Trabajadores que tengan 60 años de edad o más que no se encuentren en una administradora prestadora de servicio en términos de la Ley y que considerando la información de su periodo de cotización:</w:t>
      </w:r>
    </w:p>
    <w:p w:rsidR="00346315" w:rsidRPr="00346315" w:rsidRDefault="00346315" w:rsidP="00346315">
      <w:pPr>
        <w:jc w:val="both"/>
        <w:rPr>
          <w:rFonts w:ascii="Verdana" w:hAnsi="Verdana"/>
          <w:bCs/>
          <w:sz w:val="20"/>
        </w:rPr>
      </w:pPr>
      <w:r w:rsidRPr="00346315">
        <w:rPr>
          <w:rFonts w:ascii="Verdana" w:hAnsi="Verdana"/>
          <w:bCs/>
          <w:sz w:val="20"/>
        </w:rPr>
        <w:t>i.      No tengan derecho a una pensión de cesantía en edad avanzada o vejez conforme a la Ley del Seguro Social o la Ley del Instituto de Seguridad y Servicios Sociales de los Trabajadores del Estado, o</w:t>
      </w:r>
    </w:p>
    <w:p w:rsidR="00346315" w:rsidRPr="00346315" w:rsidRDefault="00346315" w:rsidP="00346315">
      <w:pPr>
        <w:jc w:val="both"/>
        <w:rPr>
          <w:rFonts w:ascii="Verdana" w:hAnsi="Verdana"/>
          <w:bCs/>
          <w:sz w:val="20"/>
        </w:rPr>
      </w:pPr>
      <w:r w:rsidRPr="00346315">
        <w:rPr>
          <w:rFonts w:ascii="Verdana" w:hAnsi="Verdana"/>
          <w:bCs/>
          <w:sz w:val="20"/>
        </w:rPr>
        <w:t>ii.     No se encuentren dentro del período de conservación de derechos previsto en la Ley del Seguro Social;</w:t>
      </w:r>
    </w:p>
    <w:p w:rsidR="00346315" w:rsidRPr="00346315" w:rsidRDefault="00346315" w:rsidP="00346315">
      <w:pPr>
        <w:jc w:val="both"/>
        <w:rPr>
          <w:rFonts w:ascii="Verdana" w:hAnsi="Verdana"/>
          <w:bCs/>
          <w:sz w:val="20"/>
        </w:rPr>
      </w:pPr>
      <w:r w:rsidRPr="00346315">
        <w:rPr>
          <w:rFonts w:ascii="Verdana" w:hAnsi="Verdana"/>
          <w:bCs/>
          <w:sz w:val="20"/>
        </w:rPr>
        <w:t>c)   Los Trabajadores con bonos de pensión redimidos que tengan 63 años o más y que tengan derecho a una pensión de cesantía en edad avanzada o vejez conforme a la Ley del Instituto de Seguridad y Servicios Sociales de los Trabajadores del Estado;</w:t>
      </w:r>
    </w:p>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d)   A solicitud de los Trabajadores:</w:t>
      </w:r>
    </w:p>
    <w:p w:rsidR="00346315" w:rsidRPr="00346315" w:rsidRDefault="00346315" w:rsidP="00346315">
      <w:pPr>
        <w:jc w:val="both"/>
        <w:rPr>
          <w:rFonts w:ascii="Verdana" w:hAnsi="Verdana"/>
          <w:bCs/>
          <w:sz w:val="20"/>
        </w:rPr>
      </w:pPr>
      <w:r w:rsidRPr="00346315">
        <w:rPr>
          <w:rFonts w:ascii="Verdana" w:hAnsi="Verdana"/>
          <w:bCs/>
          <w:sz w:val="20"/>
        </w:rPr>
        <w:t>i.      La Subcuenta del Seguro de Retiro de los Trabajadores que tengan 60 años de edad o más con derecho a una pensión de cesantía en edad avanzada o vejez conforme a la Ley del Seguro Social promulgada en 1973, y</w:t>
      </w:r>
    </w:p>
    <w:p w:rsidR="00346315" w:rsidRPr="00346315" w:rsidRDefault="00346315" w:rsidP="00346315">
      <w:pPr>
        <w:jc w:val="both"/>
        <w:rPr>
          <w:rFonts w:ascii="Verdana" w:hAnsi="Verdana"/>
          <w:bCs/>
          <w:sz w:val="20"/>
        </w:rPr>
      </w:pPr>
      <w:r w:rsidRPr="00346315">
        <w:rPr>
          <w:rFonts w:ascii="Verdana" w:hAnsi="Verdana"/>
          <w:bCs/>
          <w:sz w:val="20"/>
        </w:rPr>
        <w:t>ii.     La Subcuenta de Ahorro para el Retiro de los Trabajadores que tengan 60 años de edad o más con derecho a una pensión de cesantía en edad avanzada o vejez conforme a la Ley del Instituto de Seguridad y Servicios Sociales de los Trabajadores del Estado promulgada en 1983.</w:t>
      </w:r>
    </w:p>
    <w:p w:rsidR="00346315" w:rsidRPr="00346315" w:rsidRDefault="00346315" w:rsidP="00346315">
      <w:pPr>
        <w:jc w:val="both"/>
        <w:rPr>
          <w:rFonts w:ascii="Verdana" w:hAnsi="Verdana"/>
          <w:bCs/>
          <w:sz w:val="20"/>
        </w:rPr>
      </w:pPr>
      <w:r w:rsidRPr="00346315">
        <w:rPr>
          <w:rFonts w:ascii="Verdana" w:hAnsi="Verdana"/>
          <w:bCs/>
          <w:sz w:val="20"/>
        </w:rPr>
        <w:t>       Lo anterior, de conformidad con los lineamientos que la Comisión establezca, atendiendo a los estudios que se efectúen para proteger los recursos de los Trabajadores.</w:t>
      </w:r>
    </w:p>
    <w:p w:rsidR="00346315" w:rsidRPr="00346315" w:rsidRDefault="00346315" w:rsidP="00346315">
      <w:pPr>
        <w:jc w:val="both"/>
        <w:rPr>
          <w:rFonts w:ascii="Verdana" w:hAnsi="Verdana"/>
          <w:bCs/>
          <w:sz w:val="20"/>
        </w:rPr>
      </w:pPr>
      <w:r w:rsidRPr="00346315">
        <w:rPr>
          <w:rFonts w:ascii="Verdana" w:hAnsi="Verdana"/>
          <w:bCs/>
          <w:sz w:val="20"/>
        </w:rPr>
        <w:t>II.     La Sociedad de Inversión Básica 1, deberá invertir los recursos de Trabajadores que tengan 60 años de edad o más que no les corresponda invertir sus recursos en la Sociedad de Inversión Básica de Pensiones y los recursos de los pensionados bajo la modalidad de retiros programados;</w:t>
      </w:r>
    </w:p>
    <w:p w:rsidR="00346315" w:rsidRPr="00346315" w:rsidRDefault="00346315" w:rsidP="00346315">
      <w:pPr>
        <w:jc w:val="both"/>
        <w:rPr>
          <w:rFonts w:ascii="Verdana" w:hAnsi="Verdana"/>
          <w:bCs/>
          <w:sz w:val="20"/>
        </w:rPr>
      </w:pPr>
      <w:r w:rsidRPr="00346315">
        <w:rPr>
          <w:rFonts w:ascii="Verdana" w:hAnsi="Verdana"/>
          <w:bCs/>
          <w:sz w:val="20"/>
        </w:rPr>
        <w:t>III.    La Sociedad de Inversión Básica 2, deberá invertir los recursos de Trabajadores que tengan entre 46 y 59 años de edad;</w:t>
      </w:r>
    </w:p>
    <w:p w:rsidR="00346315" w:rsidRPr="00346315" w:rsidRDefault="00346315" w:rsidP="00346315">
      <w:pPr>
        <w:jc w:val="both"/>
        <w:rPr>
          <w:rFonts w:ascii="Verdana" w:hAnsi="Verdana"/>
          <w:bCs/>
          <w:sz w:val="20"/>
        </w:rPr>
      </w:pPr>
      <w:r w:rsidRPr="00346315">
        <w:rPr>
          <w:rFonts w:ascii="Verdana" w:hAnsi="Verdana"/>
          <w:bCs/>
          <w:sz w:val="20"/>
        </w:rPr>
        <w:t>IV.   La Sociedad de Inversión Básica 3, deberá invertir los recursos de Trabajadores que tengan entre 37 y 45 años de edad, y</w:t>
      </w:r>
    </w:p>
    <w:p w:rsidR="00346315" w:rsidRPr="00346315" w:rsidRDefault="00346315" w:rsidP="00346315">
      <w:pPr>
        <w:jc w:val="both"/>
        <w:rPr>
          <w:rFonts w:ascii="Verdana" w:hAnsi="Verdana"/>
          <w:bCs/>
          <w:sz w:val="20"/>
        </w:rPr>
      </w:pPr>
      <w:r w:rsidRPr="00346315">
        <w:rPr>
          <w:rFonts w:ascii="Verdana" w:hAnsi="Verdana"/>
          <w:bCs/>
          <w:sz w:val="20"/>
        </w:rPr>
        <w:t>V.    La Sociedad de Inversión Básica 4, deberá invertir los recursos de Trabajadores que tengan 36 o menos años de edad.</w:t>
      </w:r>
    </w:p>
    <w:p w:rsidR="00346315" w:rsidRPr="00346315" w:rsidRDefault="00346315" w:rsidP="00346315">
      <w:pPr>
        <w:jc w:val="both"/>
        <w:rPr>
          <w:rFonts w:ascii="Verdana" w:hAnsi="Verdana"/>
          <w:bCs/>
          <w:sz w:val="20"/>
        </w:rPr>
      </w:pPr>
      <w:r w:rsidRPr="00346315">
        <w:rPr>
          <w:rFonts w:ascii="Verdana" w:hAnsi="Verdana"/>
          <w:b/>
          <w:bCs/>
          <w:sz w:val="20"/>
        </w:rPr>
        <w:t>DÉCIMA CUARTA.-</w:t>
      </w:r>
      <w:r w:rsidRPr="00346315">
        <w:rPr>
          <w:rFonts w:ascii="Verdana" w:hAnsi="Verdana"/>
          <w:bCs/>
          <w:sz w:val="20"/>
        </w:rPr>
        <w:t xml:space="preserve"> Sin perjuicio de lo previsto en la disposición anterior, los Trabajadores podrán solicitar en cualquier tiempo la transferencia de sus recursos de una Sociedad de Inversión Básica a otra de su elección distinta de la que les </w:t>
      </w:r>
      <w:r w:rsidRPr="00346315">
        <w:rPr>
          <w:rFonts w:ascii="Verdana" w:hAnsi="Verdana"/>
          <w:bCs/>
          <w:sz w:val="20"/>
        </w:rPr>
        <w:lastRenderedPageBreak/>
        <w:t>corresponda por edad, en términos de lo que se prevea en las disposiciones de carácter general en materia de operaciones de los sistemas de ahorro para el retiro.</w:t>
      </w:r>
    </w:p>
    <w:p w:rsidR="00346315" w:rsidRPr="00346315" w:rsidRDefault="00346315" w:rsidP="00346315">
      <w:pPr>
        <w:jc w:val="both"/>
        <w:rPr>
          <w:rFonts w:ascii="Verdana" w:hAnsi="Verdana"/>
          <w:bCs/>
          <w:sz w:val="20"/>
        </w:rPr>
      </w:pPr>
      <w:r w:rsidRPr="00346315">
        <w:rPr>
          <w:rFonts w:ascii="Verdana" w:hAnsi="Verdana"/>
          <w:bCs/>
          <w:sz w:val="20"/>
        </w:rPr>
        <w:t>Los Trabajadores que hayan invertido los recursos de su cuenta individual conforme a lo previsto en el párrafo anterior, podrán decidir que la inversión de sus recursos se realice en la Sociedad de Inversión que les corresponda por edad. A efecto de que los Trabajadores ejerzan los derechos previstos en el presente párrafo deberán sujetarse a lo que se establezca en las disposiciones de carácter general en materia de operaciones de los sistemas de ahorro para el retiro.</w:t>
      </w:r>
    </w:p>
    <w:p w:rsidR="00346315" w:rsidRPr="00346315" w:rsidRDefault="00346315" w:rsidP="00346315">
      <w:pPr>
        <w:jc w:val="both"/>
        <w:rPr>
          <w:rFonts w:ascii="Verdana" w:hAnsi="Verdana"/>
          <w:bCs/>
          <w:sz w:val="20"/>
        </w:rPr>
      </w:pPr>
      <w:r w:rsidRPr="00346315">
        <w:rPr>
          <w:rFonts w:ascii="Verdana" w:hAnsi="Verdana"/>
          <w:b/>
          <w:bCs/>
          <w:sz w:val="20"/>
        </w:rPr>
        <w:t>Sección II</w:t>
      </w:r>
    </w:p>
    <w:p w:rsidR="00346315" w:rsidRPr="00346315" w:rsidRDefault="00346315" w:rsidP="00346315">
      <w:pPr>
        <w:jc w:val="both"/>
        <w:rPr>
          <w:rFonts w:ascii="Verdana" w:hAnsi="Verdana"/>
          <w:bCs/>
          <w:sz w:val="20"/>
        </w:rPr>
      </w:pPr>
      <w:r w:rsidRPr="00346315">
        <w:rPr>
          <w:rFonts w:ascii="Verdana" w:hAnsi="Verdana"/>
          <w:b/>
          <w:bCs/>
          <w:sz w:val="20"/>
        </w:rPr>
        <w:t>Instrumentos y Operaciones Permitidas y Prohibidas</w:t>
      </w:r>
    </w:p>
    <w:p w:rsidR="00346315" w:rsidRPr="00346315" w:rsidRDefault="00346315" w:rsidP="00346315">
      <w:pPr>
        <w:jc w:val="both"/>
        <w:rPr>
          <w:rFonts w:ascii="Verdana" w:hAnsi="Verdana"/>
          <w:bCs/>
          <w:sz w:val="20"/>
        </w:rPr>
      </w:pPr>
      <w:r w:rsidRPr="00346315">
        <w:rPr>
          <w:rFonts w:ascii="Verdana" w:hAnsi="Verdana"/>
          <w:b/>
          <w:bCs/>
          <w:sz w:val="20"/>
        </w:rPr>
        <w:t>DÉCIMA QUINTA.-</w:t>
      </w:r>
      <w:r w:rsidRPr="00346315">
        <w:rPr>
          <w:rFonts w:ascii="Verdana" w:hAnsi="Verdana"/>
          <w:bCs/>
          <w:sz w:val="20"/>
        </w:rPr>
        <w:t> Las Sociedades de Inversión Básicas 1 mantendrán cuando menos el 51% del Activo Total de la Sociedad de Inversión en Instrumentos de Deuda o Valores Extranjeros de Deuda que estén denominados en Unidades de Inversión o moneda nacional, cuyos intereses garanticen un rendimiento igual o mayor a la variación de la Unidad de Inversión o del índice nacional de precios al consumidor.</w:t>
      </w:r>
    </w:p>
    <w:p w:rsidR="00346315" w:rsidRPr="00346315" w:rsidRDefault="00346315" w:rsidP="00346315">
      <w:pPr>
        <w:jc w:val="both"/>
        <w:rPr>
          <w:rFonts w:ascii="Verdana" w:hAnsi="Verdana"/>
          <w:bCs/>
          <w:sz w:val="20"/>
        </w:rPr>
      </w:pPr>
      <w:r w:rsidRPr="00346315">
        <w:rPr>
          <w:rFonts w:ascii="Verdana" w:hAnsi="Verdana"/>
          <w:bCs/>
          <w:sz w:val="20"/>
        </w:rPr>
        <w:t>Dentro del límite a que se refiere la presente disposición deberá computarse el valor a mercado de los Contratos Abiertos con Derivados que celebren las Sociedades de Inversión con subyacente en Unidades de Inversión o referidos al índice nacional de precios al consumidor.</w:t>
      </w:r>
    </w:p>
    <w:p w:rsidR="00346315" w:rsidRPr="00346315" w:rsidRDefault="00346315" w:rsidP="00346315">
      <w:pPr>
        <w:jc w:val="both"/>
        <w:rPr>
          <w:rFonts w:ascii="Verdana" w:hAnsi="Verdana"/>
          <w:bCs/>
          <w:sz w:val="20"/>
        </w:rPr>
      </w:pPr>
      <w:r w:rsidRPr="00346315">
        <w:rPr>
          <w:rFonts w:ascii="Verdana" w:hAnsi="Verdana"/>
          <w:bCs/>
          <w:sz w:val="20"/>
        </w:rPr>
        <w:t>La exposición a Derivados cuyos subyacentes estén denominados en Unidades de Inversión o sus intereses garanticen un rendimiento igual o mayor a la Unidad de Inversión o al índice nacional de precios al consumidor se computará conforme a las disposiciones de carácter general en materia financiera de los Sistemas de Ahorro para el Retiro emitidas por la Comisión.</w:t>
      </w:r>
    </w:p>
    <w:p w:rsidR="00346315" w:rsidRPr="00346315" w:rsidRDefault="00346315" w:rsidP="00346315">
      <w:pPr>
        <w:jc w:val="both"/>
        <w:rPr>
          <w:rFonts w:ascii="Verdana" w:hAnsi="Verdana"/>
          <w:bCs/>
          <w:sz w:val="20"/>
        </w:rPr>
      </w:pPr>
      <w:r w:rsidRPr="00346315">
        <w:rPr>
          <w:rFonts w:ascii="Verdana" w:hAnsi="Verdana"/>
          <w:b/>
          <w:bCs/>
          <w:sz w:val="20"/>
        </w:rPr>
        <w:t>DÉCIMA SEXTA.-</w:t>
      </w:r>
      <w:r w:rsidRPr="00346315">
        <w:rPr>
          <w:rFonts w:ascii="Verdana" w:hAnsi="Verdana"/>
          <w:bCs/>
          <w:sz w:val="20"/>
        </w:rPr>
        <w:t> Las Sociedades de Inversión Básicas podrán invertir en lo siguiente:</w:t>
      </w:r>
    </w:p>
    <w:p w:rsidR="00346315" w:rsidRPr="00346315" w:rsidRDefault="00346315" w:rsidP="00346315">
      <w:pPr>
        <w:jc w:val="both"/>
        <w:rPr>
          <w:rFonts w:ascii="Verdana" w:hAnsi="Verdana"/>
          <w:bCs/>
          <w:sz w:val="20"/>
        </w:rPr>
      </w:pPr>
      <w:r w:rsidRPr="00346315">
        <w:rPr>
          <w:rFonts w:ascii="Verdana" w:hAnsi="Verdana"/>
          <w:bCs/>
          <w:sz w:val="20"/>
        </w:rPr>
        <w:t>I.     Las Sociedades de Inversión Básicas 1 a 4:</w:t>
      </w:r>
    </w:p>
    <w:p w:rsidR="00346315" w:rsidRPr="00346315" w:rsidRDefault="00346315" w:rsidP="00346315">
      <w:pPr>
        <w:jc w:val="both"/>
        <w:rPr>
          <w:rFonts w:ascii="Verdana" w:hAnsi="Verdana"/>
          <w:bCs/>
          <w:sz w:val="20"/>
        </w:rPr>
      </w:pPr>
      <w:r w:rsidRPr="00346315">
        <w:rPr>
          <w:rFonts w:ascii="Verdana" w:hAnsi="Verdana"/>
          <w:bCs/>
          <w:sz w:val="20"/>
        </w:rPr>
        <w:t>a)   Hasta el 100% del Activo Total de la Sociedad de Inversión en:</w:t>
      </w:r>
    </w:p>
    <w:p w:rsidR="00346315" w:rsidRPr="00346315" w:rsidRDefault="00346315" w:rsidP="00346315">
      <w:pPr>
        <w:jc w:val="both"/>
        <w:rPr>
          <w:rFonts w:ascii="Verdana" w:hAnsi="Verdana"/>
          <w:bCs/>
          <w:sz w:val="20"/>
        </w:rPr>
      </w:pPr>
      <w:r w:rsidRPr="00346315">
        <w:rPr>
          <w:rFonts w:ascii="Verdana" w:hAnsi="Verdana"/>
          <w:bCs/>
          <w:sz w:val="20"/>
        </w:rPr>
        <w:t>i.    Instrumentos de Deuda emitidos o avalados por el Gobierno Federal, o en Instrumentos de Deuda emitidos por el Banco de México. La inversión a que se refiere el presente párrafo, no incluye a los Instrumentos de Deuda emitidos, avalados o aceptados por las instituciones de banca de desarrollo, salvo cuando en éstos conste en forma expresa el aval del Gobierno Federal, y</w:t>
      </w:r>
    </w:p>
    <w:p w:rsidR="00346315" w:rsidRPr="00346315" w:rsidRDefault="00346315" w:rsidP="00346315">
      <w:pPr>
        <w:jc w:val="both"/>
        <w:rPr>
          <w:rFonts w:ascii="Verdana" w:hAnsi="Verdana"/>
          <w:bCs/>
          <w:sz w:val="20"/>
        </w:rPr>
      </w:pPr>
      <w:r w:rsidRPr="00346315">
        <w:rPr>
          <w:rFonts w:ascii="Verdana" w:hAnsi="Verdana"/>
          <w:bCs/>
          <w:sz w:val="20"/>
        </w:rPr>
        <w:t xml:space="preserve">ii.    Instrumentos de Deuda que tengan Grado de Inversión conforme a los Anexos A </w:t>
      </w:r>
      <w:proofErr w:type="spellStart"/>
      <w:r w:rsidRPr="00346315">
        <w:rPr>
          <w:rFonts w:ascii="Verdana" w:hAnsi="Verdana"/>
          <w:bCs/>
          <w:sz w:val="20"/>
        </w:rPr>
        <w:t>a</w:t>
      </w:r>
      <w:proofErr w:type="spellEnd"/>
      <w:r w:rsidRPr="00346315">
        <w:rPr>
          <w:rFonts w:ascii="Verdana" w:hAnsi="Verdana"/>
          <w:bCs/>
          <w:sz w:val="20"/>
        </w:rPr>
        <w:t xml:space="preserve"> I de las presentes disposiciones.</w:t>
      </w:r>
    </w:p>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b)   En depósitos de dinero a la vista en Bancos;</w:t>
      </w:r>
    </w:p>
    <w:p w:rsidR="00346315" w:rsidRPr="00346315" w:rsidRDefault="00346315" w:rsidP="00346315">
      <w:pPr>
        <w:jc w:val="both"/>
        <w:rPr>
          <w:rFonts w:ascii="Verdana" w:hAnsi="Verdana"/>
          <w:bCs/>
          <w:sz w:val="20"/>
        </w:rPr>
      </w:pPr>
      <w:r w:rsidRPr="00346315">
        <w:rPr>
          <w:rFonts w:ascii="Verdana" w:hAnsi="Verdana"/>
          <w:bCs/>
          <w:sz w:val="20"/>
        </w:rPr>
        <w:lastRenderedPageBreak/>
        <w:t>c)   En las operaciones autorizadas para garantizar Derivados a que se refieren las Disposiciones del Banco de México. Tratándose de Contrapartes extranjeras, las Sociedades de Inversión que realicen las operaciones referidas en el presente inciso deberán acreditar previamente ante la Comisión el cumplimiento de los requisitos que se establezcan al efecto en las disposiciones de carácter general en materia financiera de los Sistemas de Ahorro para el Retiro cuando dichas Contrapartes ostenten las calificaciones referidas en el Anexo K de las presentes disposiciones.</w:t>
      </w:r>
    </w:p>
    <w:p w:rsidR="00346315" w:rsidRPr="00346315" w:rsidRDefault="00346315" w:rsidP="00346315">
      <w:pPr>
        <w:jc w:val="both"/>
        <w:rPr>
          <w:rFonts w:ascii="Verdana" w:hAnsi="Verdana"/>
          <w:bCs/>
          <w:sz w:val="20"/>
        </w:rPr>
      </w:pPr>
      <w:r w:rsidRPr="00346315">
        <w:rPr>
          <w:rFonts w:ascii="Verdana" w:hAnsi="Verdana"/>
          <w:bCs/>
          <w:sz w:val="20"/>
        </w:rPr>
        <w:t>      Para efectos de lo establecido en los incisos b) y c) anteriores se estará a lo establecido en los criterios de diversificación establecidos en la disposición Vigésima Cuarta de las presentes disposiciones y a las disposiciones prudenciales establecidas en las disposiciones de carácter general en materia financiera de los Sistemas de Ahorro para el Retiro.</w:t>
      </w:r>
    </w:p>
    <w:p w:rsidR="00346315" w:rsidRPr="00346315" w:rsidRDefault="00346315" w:rsidP="00346315">
      <w:pPr>
        <w:jc w:val="both"/>
        <w:rPr>
          <w:rFonts w:ascii="Verdana" w:hAnsi="Verdana"/>
          <w:bCs/>
          <w:sz w:val="20"/>
        </w:rPr>
      </w:pPr>
      <w:r w:rsidRPr="00346315">
        <w:rPr>
          <w:rFonts w:ascii="Verdana" w:hAnsi="Verdana"/>
          <w:bCs/>
          <w:sz w:val="20"/>
        </w:rPr>
        <w:t>d)   Hasta el 20% del Activo Total de la Sociedad de Inversión, en Valores Extranjeros y Certificados Bursátiles Fiduciarios de Proyectos de Inversión que se destinen a la inversión o al financiamiento de actividades o proyectos fuera del territorio nacional. Las inversiones en Valores Extranjeros de Deuda y las Contrapartes extranjeras deberán tener Grado de Inversión conforme a los Anexos J o K de las presentes disposiciones.</w:t>
      </w:r>
    </w:p>
    <w:p w:rsidR="00346315" w:rsidRPr="00346315" w:rsidRDefault="00346315" w:rsidP="00346315">
      <w:pPr>
        <w:jc w:val="both"/>
        <w:rPr>
          <w:rFonts w:ascii="Verdana" w:hAnsi="Verdana"/>
          <w:bCs/>
          <w:sz w:val="20"/>
        </w:rPr>
      </w:pPr>
      <w:r w:rsidRPr="00346315">
        <w:rPr>
          <w:rFonts w:ascii="Verdana" w:hAnsi="Verdana"/>
          <w:bCs/>
          <w:sz w:val="20"/>
        </w:rPr>
        <w:t>      Para efectos de lo establecido en este inciso se estará a lo establecido en las disposiciones de carácter general en materia financiera de los Sistemas de Ahorro para el Retiro emitidas por la Comisión, y</w:t>
      </w:r>
    </w:p>
    <w:p w:rsidR="00346315" w:rsidRPr="00346315" w:rsidRDefault="00346315" w:rsidP="00346315">
      <w:pPr>
        <w:jc w:val="both"/>
        <w:rPr>
          <w:rFonts w:ascii="Verdana" w:hAnsi="Verdana"/>
          <w:bCs/>
          <w:sz w:val="20"/>
        </w:rPr>
      </w:pPr>
      <w:r w:rsidRPr="00346315">
        <w:rPr>
          <w:rFonts w:ascii="Verdana" w:hAnsi="Verdana"/>
          <w:bCs/>
          <w:sz w:val="20"/>
        </w:rPr>
        <w:t>e)   En Componentes de Renta Variable. La suma de la exposición o en su caso valor a mercado de las inversiones en Componentes de Renta Variable deberá ser:</w:t>
      </w:r>
    </w:p>
    <w:p w:rsidR="00346315" w:rsidRPr="00346315" w:rsidRDefault="00346315" w:rsidP="00346315">
      <w:pPr>
        <w:jc w:val="both"/>
        <w:rPr>
          <w:rFonts w:ascii="Verdana" w:hAnsi="Verdana"/>
          <w:bCs/>
          <w:sz w:val="20"/>
        </w:rPr>
      </w:pPr>
      <w:r w:rsidRPr="00346315">
        <w:rPr>
          <w:rFonts w:ascii="Verdana" w:hAnsi="Verdana"/>
          <w:bCs/>
          <w:sz w:val="20"/>
        </w:rPr>
        <w:t>i.    Hasta del 10% del Activo Total de la Sociedad de Inversión, a los subyacentes accionarios autorizados para las Sociedades de Inversión Básicas 1;</w:t>
      </w:r>
    </w:p>
    <w:p w:rsidR="00346315" w:rsidRPr="00346315" w:rsidRDefault="00346315" w:rsidP="00346315">
      <w:pPr>
        <w:jc w:val="both"/>
        <w:rPr>
          <w:rFonts w:ascii="Verdana" w:hAnsi="Verdana"/>
          <w:bCs/>
          <w:sz w:val="20"/>
        </w:rPr>
      </w:pPr>
      <w:r w:rsidRPr="00346315">
        <w:rPr>
          <w:rFonts w:ascii="Verdana" w:hAnsi="Verdana"/>
          <w:bCs/>
          <w:sz w:val="20"/>
        </w:rPr>
        <w:t>ii.    Hasta del 30% del Activo Total de la Sociedad de Inversión, a los subyacentes accionarios autorizados para las Sociedades de Inversión Básicas 2;</w:t>
      </w:r>
    </w:p>
    <w:p w:rsidR="00346315" w:rsidRPr="00346315" w:rsidRDefault="00346315" w:rsidP="00346315">
      <w:pPr>
        <w:jc w:val="both"/>
        <w:rPr>
          <w:rFonts w:ascii="Verdana" w:hAnsi="Verdana"/>
          <w:bCs/>
          <w:sz w:val="20"/>
        </w:rPr>
      </w:pPr>
      <w:r w:rsidRPr="00346315">
        <w:rPr>
          <w:rFonts w:ascii="Verdana" w:hAnsi="Verdana"/>
          <w:bCs/>
          <w:sz w:val="20"/>
        </w:rPr>
        <w:t>iii.   Hasta del 35% del Activo Total de la Sociedad de Inversión, a los subyacentes accionarios autorizados para las Sociedades de Inversión Básicas 3, y</w:t>
      </w:r>
    </w:p>
    <w:p w:rsidR="00346315" w:rsidRPr="00346315" w:rsidRDefault="00346315" w:rsidP="00346315">
      <w:pPr>
        <w:jc w:val="both"/>
        <w:rPr>
          <w:rFonts w:ascii="Verdana" w:hAnsi="Verdana"/>
          <w:bCs/>
          <w:sz w:val="20"/>
        </w:rPr>
      </w:pPr>
      <w:r w:rsidRPr="00346315">
        <w:rPr>
          <w:rFonts w:ascii="Verdana" w:hAnsi="Verdana"/>
          <w:bCs/>
          <w:sz w:val="20"/>
        </w:rPr>
        <w:t>iv.   Hasta del 45% del Activo Total de la Sociedad de Inversión, a los subyacentes accionarios autorizados para las Sociedades de Inversión Básicas 4.</w:t>
      </w:r>
    </w:p>
    <w:p w:rsidR="00346315" w:rsidRPr="00346315" w:rsidRDefault="00346315" w:rsidP="00346315">
      <w:pPr>
        <w:jc w:val="both"/>
        <w:rPr>
          <w:rFonts w:ascii="Verdana" w:hAnsi="Verdana"/>
          <w:bCs/>
          <w:sz w:val="20"/>
        </w:rPr>
      </w:pPr>
      <w:r w:rsidRPr="00346315">
        <w:rPr>
          <w:rFonts w:ascii="Verdana" w:hAnsi="Verdana"/>
          <w:bCs/>
          <w:sz w:val="20"/>
        </w:rPr>
        <w:t>      Para efectos de lo establecido en el inciso e) de la presente fracción se estará a lo establecido en el Anexo N de las presentes disposiciones.</w:t>
      </w:r>
    </w:p>
    <w:p w:rsidR="00346315" w:rsidRPr="00346315" w:rsidRDefault="00346315" w:rsidP="00346315">
      <w:pPr>
        <w:jc w:val="both"/>
        <w:rPr>
          <w:rFonts w:ascii="Verdana" w:hAnsi="Verdana"/>
          <w:bCs/>
          <w:sz w:val="20"/>
        </w:rPr>
      </w:pPr>
      <w:r w:rsidRPr="00346315">
        <w:rPr>
          <w:rFonts w:ascii="Verdana" w:hAnsi="Verdana"/>
          <w:bCs/>
          <w:sz w:val="20"/>
        </w:rPr>
        <w:t>f)    En FIBRAS y Vehículos de Inversión Inmobiliaria, de conformidad con lo siguiente:</w:t>
      </w:r>
    </w:p>
    <w:p w:rsidR="00346315" w:rsidRPr="00346315" w:rsidRDefault="00346315" w:rsidP="00346315">
      <w:pPr>
        <w:jc w:val="both"/>
        <w:rPr>
          <w:rFonts w:ascii="Verdana" w:hAnsi="Verdana"/>
          <w:bCs/>
          <w:sz w:val="20"/>
        </w:rPr>
      </w:pPr>
      <w:r w:rsidRPr="00346315">
        <w:rPr>
          <w:rFonts w:ascii="Verdana" w:hAnsi="Verdana"/>
          <w:bCs/>
          <w:sz w:val="20"/>
        </w:rPr>
        <w:t>i.    Hasta un 5% del Activo Total de la Sociedad de Inversión, para las Sociedades de Inversión Básicas 1, y</w:t>
      </w:r>
    </w:p>
    <w:p w:rsidR="00346315" w:rsidRPr="00346315" w:rsidRDefault="00346315" w:rsidP="00346315">
      <w:pPr>
        <w:jc w:val="both"/>
        <w:rPr>
          <w:rFonts w:ascii="Verdana" w:hAnsi="Verdana"/>
          <w:bCs/>
          <w:sz w:val="20"/>
        </w:rPr>
      </w:pPr>
      <w:r w:rsidRPr="00346315">
        <w:rPr>
          <w:rFonts w:ascii="Verdana" w:hAnsi="Verdana"/>
          <w:bCs/>
          <w:sz w:val="20"/>
        </w:rPr>
        <w:t>ii.    Hasta un 10% del Activo Total de la Sociedad de Inversión, para las Sociedades de Inversión Básicas 2 a 4.</w:t>
      </w:r>
    </w:p>
    <w:p w:rsidR="00346315" w:rsidRPr="00346315" w:rsidRDefault="00346315" w:rsidP="00346315">
      <w:pPr>
        <w:jc w:val="both"/>
        <w:rPr>
          <w:rFonts w:ascii="Verdana" w:hAnsi="Verdana"/>
          <w:bCs/>
          <w:sz w:val="20"/>
        </w:rPr>
      </w:pPr>
      <w:r w:rsidRPr="00346315">
        <w:rPr>
          <w:rFonts w:ascii="Verdana" w:hAnsi="Verdana"/>
          <w:bCs/>
          <w:sz w:val="20"/>
        </w:rPr>
        <w:lastRenderedPageBreak/>
        <w:t>Con independencia de lo anterior, las Sociedades de Inversión deberán verificar que los mismos cumplan con los criterios que al efecto establezca la Comisión mediante las disposiciones de carácter general en materia financiera de los Sistemas de Ahorro para el Retiro.</w:t>
      </w:r>
    </w:p>
    <w:p w:rsidR="00346315" w:rsidRPr="00346315" w:rsidRDefault="00346315" w:rsidP="00346315">
      <w:pPr>
        <w:jc w:val="both"/>
        <w:rPr>
          <w:rFonts w:ascii="Verdana" w:hAnsi="Verdana"/>
          <w:bCs/>
          <w:sz w:val="20"/>
        </w:rPr>
      </w:pPr>
      <w:r w:rsidRPr="00346315">
        <w:rPr>
          <w:rFonts w:ascii="Verdana" w:hAnsi="Verdana"/>
          <w:bCs/>
          <w:sz w:val="20"/>
        </w:rPr>
        <w:t>Las Sociedades de Inversión Básicas únicamente podrán adquirir exposición a Vehículos de Inversión Inmobiliaria cuando estos formen parte de Instrumentos cuyos valores correspondan a algún índice previsto por lo dispuesto en el Anexo M de las presentes disposiciones.</w:t>
      </w:r>
    </w:p>
    <w:p w:rsidR="00346315" w:rsidRPr="00346315" w:rsidRDefault="00346315" w:rsidP="00346315">
      <w:pPr>
        <w:jc w:val="both"/>
        <w:rPr>
          <w:rFonts w:ascii="Verdana" w:hAnsi="Verdana"/>
          <w:bCs/>
          <w:sz w:val="20"/>
        </w:rPr>
      </w:pPr>
      <w:r w:rsidRPr="00346315">
        <w:rPr>
          <w:rFonts w:ascii="Verdana" w:hAnsi="Verdana"/>
          <w:bCs/>
          <w:sz w:val="20"/>
        </w:rPr>
        <w:t>Como excepción a lo dispuesto en el párrafo anterior, los Mandatarios podrán adquirir individualmente Vehículos de Inversión Inmobiliaria. La inversión en dichos Vehículos a través de Mandatarios, podrá ser hasta el porcentaje del Activo Total de la Sociedad de Inversión que determine el Comité de Análisis de Riesgos, con base en el desarrollo de los mercados financieros de que se trate, porcentaje que no podrá exceder de los límites máximos previstos en el inciso f) de la presente fracción.</w:t>
      </w:r>
    </w:p>
    <w:p w:rsidR="00346315" w:rsidRPr="00346315" w:rsidRDefault="00346315" w:rsidP="00346315">
      <w:pPr>
        <w:jc w:val="both"/>
        <w:rPr>
          <w:rFonts w:ascii="Verdana" w:hAnsi="Verdana"/>
          <w:bCs/>
          <w:sz w:val="20"/>
        </w:rPr>
      </w:pPr>
      <w:r w:rsidRPr="00346315">
        <w:rPr>
          <w:rFonts w:ascii="Verdana" w:hAnsi="Verdana"/>
          <w:bCs/>
          <w:sz w:val="20"/>
        </w:rPr>
        <w:t>Para efectos de lo establecido en el inciso f) de la presente fracción se estará a lo establecido en el Anexo N de las presentes disposiciones.</w:t>
      </w:r>
    </w:p>
    <w:p w:rsidR="00346315" w:rsidRPr="00346315" w:rsidRDefault="00346315" w:rsidP="00346315">
      <w:pPr>
        <w:jc w:val="both"/>
        <w:rPr>
          <w:rFonts w:ascii="Verdana" w:hAnsi="Verdana"/>
          <w:bCs/>
          <w:sz w:val="20"/>
        </w:rPr>
      </w:pPr>
      <w:r w:rsidRPr="00346315">
        <w:rPr>
          <w:rFonts w:ascii="Verdana" w:hAnsi="Verdana"/>
          <w:bCs/>
          <w:sz w:val="20"/>
        </w:rPr>
        <w:t>g)   En Instrumentos Estructurados, debiendo observar los criterios de diversificación previstos en las fracciones IV y V de la disposición Vigésima Cuarta siguiente. La inversión sólo podrá ser:</w:t>
      </w:r>
    </w:p>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i.    Hasta del 10% del Activo Total de la Sociedad de Inversión, para las Sociedades de Inversión Básicas 1;</w:t>
      </w:r>
    </w:p>
    <w:p w:rsidR="00346315" w:rsidRPr="00346315" w:rsidRDefault="00346315" w:rsidP="00346315">
      <w:pPr>
        <w:jc w:val="both"/>
        <w:rPr>
          <w:rFonts w:ascii="Verdana" w:hAnsi="Verdana"/>
          <w:bCs/>
          <w:sz w:val="20"/>
        </w:rPr>
      </w:pPr>
      <w:r w:rsidRPr="00346315">
        <w:rPr>
          <w:rFonts w:ascii="Verdana" w:hAnsi="Verdana"/>
          <w:bCs/>
          <w:sz w:val="20"/>
        </w:rPr>
        <w:t>ii.    Hasta del 15% del Activo Total de la Sociedad de Inversión, para las Sociedades de Inversión Básicas 2, y</w:t>
      </w:r>
    </w:p>
    <w:p w:rsidR="00346315" w:rsidRPr="00346315" w:rsidRDefault="00346315" w:rsidP="00346315">
      <w:pPr>
        <w:jc w:val="both"/>
        <w:rPr>
          <w:rFonts w:ascii="Verdana" w:hAnsi="Verdana"/>
          <w:bCs/>
          <w:sz w:val="20"/>
        </w:rPr>
      </w:pPr>
      <w:r w:rsidRPr="00346315">
        <w:rPr>
          <w:rFonts w:ascii="Verdana" w:hAnsi="Verdana"/>
          <w:bCs/>
          <w:sz w:val="20"/>
        </w:rPr>
        <w:t>iii.   Hasta del 20% del Activo Total de la Sociedad de Inversión, para las Sociedades de Inversión Básicas 3 y 4.</w:t>
      </w:r>
    </w:p>
    <w:p w:rsidR="00346315" w:rsidRPr="00346315" w:rsidRDefault="00346315" w:rsidP="00346315">
      <w:pPr>
        <w:jc w:val="both"/>
        <w:rPr>
          <w:rFonts w:ascii="Verdana" w:hAnsi="Verdana"/>
          <w:bCs/>
          <w:sz w:val="20"/>
        </w:rPr>
      </w:pPr>
      <w:r w:rsidRPr="00346315">
        <w:rPr>
          <w:rFonts w:ascii="Verdana" w:hAnsi="Verdana"/>
          <w:bCs/>
          <w:sz w:val="20"/>
        </w:rPr>
        <w:t xml:space="preserve">      Las Sociedades de Inversión podrán adquirir Instrumentos Estructurados que inviertan o financien la adquisición de capital social de sociedades mexicanas cuyas acciones se encuentren cotizadas en una Bolsa de Valores autorizada para organizarse y operar en términos de la Ley del Mercado de Valores, siempre que estas últimas hubieran sido objeto de financiamiento a través de un Instrumento Estructurado previo a su listado en </w:t>
      </w:r>
      <w:proofErr w:type="spellStart"/>
      <w:r w:rsidRPr="00346315">
        <w:rPr>
          <w:rFonts w:ascii="Verdana" w:hAnsi="Verdana"/>
          <w:bCs/>
          <w:sz w:val="20"/>
        </w:rPr>
        <w:t>dichomercado</w:t>
      </w:r>
      <w:proofErr w:type="spellEnd"/>
      <w:r w:rsidRPr="00346315">
        <w:rPr>
          <w:rFonts w:ascii="Verdana" w:hAnsi="Verdana"/>
          <w:bCs/>
          <w:sz w:val="20"/>
        </w:rPr>
        <w:t xml:space="preserve"> de capitales o bien cuando las citadas sociedades objeto del financiamiento sean elegibles de conformidad con el prospecto de emisión del Instrumento Estructurado en cuyo caso dicho Instrumento Estructurado no podrá adquirir más del 51% del total del capital social que haya sido objeto de oferta pública en los mercados de valores regulados por autoridades de Países Elegibles para Inversiones. La inversión en los Instrumentos Estructurados referidos en el presente párrafo deberá sujetarse a lo establecido en los apartados i a iii del presente inciso. Los Instrumentos Estructurados no podrán adquirirse ni mantener exposición a través de Derivados.</w:t>
      </w:r>
    </w:p>
    <w:p w:rsidR="00346315" w:rsidRPr="00346315" w:rsidRDefault="00346315" w:rsidP="00346315">
      <w:pPr>
        <w:jc w:val="both"/>
        <w:rPr>
          <w:rFonts w:ascii="Verdana" w:hAnsi="Verdana"/>
          <w:bCs/>
          <w:sz w:val="20"/>
        </w:rPr>
      </w:pPr>
      <w:r w:rsidRPr="00346315">
        <w:rPr>
          <w:rFonts w:ascii="Verdana" w:hAnsi="Verdana"/>
          <w:bCs/>
          <w:sz w:val="20"/>
        </w:rPr>
        <w:lastRenderedPageBreak/>
        <w:t>II.     Las Sociedades de Inversión Básicas 2 a 4:</w:t>
      </w:r>
    </w:p>
    <w:p w:rsidR="00346315" w:rsidRPr="00346315" w:rsidRDefault="00346315" w:rsidP="00346315">
      <w:pPr>
        <w:jc w:val="both"/>
        <w:rPr>
          <w:rFonts w:ascii="Verdana" w:hAnsi="Verdana"/>
          <w:bCs/>
          <w:sz w:val="20"/>
        </w:rPr>
      </w:pPr>
      <w:r w:rsidRPr="00346315">
        <w:rPr>
          <w:rFonts w:ascii="Verdana" w:hAnsi="Verdana"/>
          <w:bCs/>
          <w:sz w:val="20"/>
        </w:rPr>
        <w:t>a)   En Mercancías:</w:t>
      </w:r>
    </w:p>
    <w:p w:rsidR="00346315" w:rsidRPr="00346315" w:rsidRDefault="00346315" w:rsidP="00346315">
      <w:pPr>
        <w:jc w:val="both"/>
        <w:rPr>
          <w:rFonts w:ascii="Verdana" w:hAnsi="Verdana"/>
          <w:bCs/>
          <w:sz w:val="20"/>
        </w:rPr>
      </w:pPr>
      <w:r w:rsidRPr="00346315">
        <w:rPr>
          <w:rFonts w:ascii="Verdana" w:hAnsi="Verdana"/>
          <w:bCs/>
          <w:sz w:val="20"/>
        </w:rPr>
        <w:t>i.    Hasta un 5% del Activo Total de la Sociedad de Inversión, para las Sociedades de Inversión Básicas 2, y</w:t>
      </w:r>
    </w:p>
    <w:p w:rsidR="00346315" w:rsidRPr="00346315" w:rsidRDefault="00346315" w:rsidP="00346315">
      <w:pPr>
        <w:jc w:val="both"/>
        <w:rPr>
          <w:rFonts w:ascii="Verdana" w:hAnsi="Verdana"/>
          <w:bCs/>
          <w:sz w:val="20"/>
        </w:rPr>
      </w:pPr>
      <w:r w:rsidRPr="00346315">
        <w:rPr>
          <w:rFonts w:ascii="Verdana" w:hAnsi="Verdana"/>
          <w:bCs/>
          <w:sz w:val="20"/>
        </w:rPr>
        <w:t>ii.    Hasta un 10% del Activo Total de la Sociedad de Inversión, para las Sociedades de Inversión Básicas 3 y 4.</w:t>
      </w:r>
    </w:p>
    <w:p w:rsidR="00346315" w:rsidRPr="00346315" w:rsidRDefault="00346315" w:rsidP="00346315">
      <w:pPr>
        <w:jc w:val="both"/>
        <w:rPr>
          <w:rFonts w:ascii="Verdana" w:hAnsi="Verdana"/>
          <w:bCs/>
          <w:sz w:val="20"/>
        </w:rPr>
      </w:pPr>
      <w:r w:rsidRPr="00346315">
        <w:rPr>
          <w:rFonts w:ascii="Verdana" w:hAnsi="Verdana"/>
          <w:bCs/>
          <w:sz w:val="20"/>
        </w:rPr>
        <w:t>      El Comité de Análisis de Riesgos determinará los criterios para autorizar índices de Mercancías que podrán ser objeto de inversión por parte de las Sociedades de Inversión, velando en todo momento por la protección de los intereses de los Trabajadores.</w:t>
      </w:r>
    </w:p>
    <w:p w:rsidR="00346315" w:rsidRPr="00346315" w:rsidRDefault="00346315" w:rsidP="00346315">
      <w:pPr>
        <w:jc w:val="both"/>
        <w:rPr>
          <w:rFonts w:ascii="Verdana" w:hAnsi="Verdana"/>
          <w:bCs/>
          <w:sz w:val="20"/>
        </w:rPr>
      </w:pPr>
      <w:r w:rsidRPr="00346315">
        <w:rPr>
          <w:rFonts w:ascii="Verdana" w:hAnsi="Verdana"/>
          <w:bCs/>
          <w:sz w:val="20"/>
        </w:rPr>
        <w:t>      Asimismo, en el caso de que existan modificaciones en la denominación de los índices de Mercancías autorizados, o bien por su conveniencia se pretenda modificar o incluir nuevos índices de Mercancías en la relación de índices de Mercancías publicados en la página de Internet de la Comisión, el Comité de Análisis de Riesgos deberá decidir si se realizan dichas modificaciones o adiciones y determinará los cambios que deban efectuarse en dicha relación.</w:t>
      </w:r>
    </w:p>
    <w:p w:rsidR="00346315" w:rsidRPr="00346315" w:rsidRDefault="00346315" w:rsidP="00346315">
      <w:pPr>
        <w:jc w:val="both"/>
        <w:rPr>
          <w:rFonts w:ascii="Verdana" w:hAnsi="Verdana"/>
          <w:bCs/>
          <w:sz w:val="20"/>
        </w:rPr>
      </w:pPr>
      <w:r w:rsidRPr="00346315">
        <w:rPr>
          <w:rFonts w:ascii="Verdana" w:hAnsi="Verdana"/>
          <w:bCs/>
          <w:sz w:val="20"/>
        </w:rPr>
        <w:t xml:space="preserve">      La Comisión deberá dar a conocer la relación de índices de Mercancías que autorice conforme a los criterios que emita el Comité de Análisis de Riesgos de acuerdo con lo previsto en el párrafo anterior e informará de las modificaciones y adiciones del conjunto de índices de Mercancías al Comité Consultivo y de Vigilancia y a la Junta de Gobierno de la Comisión en la primera sesión que estos órganos realicen con posterioridad a </w:t>
      </w:r>
      <w:proofErr w:type="spellStart"/>
      <w:r w:rsidRPr="00346315">
        <w:rPr>
          <w:rFonts w:ascii="Verdana" w:hAnsi="Verdana"/>
          <w:bCs/>
          <w:sz w:val="20"/>
        </w:rPr>
        <w:t>lapublicación</w:t>
      </w:r>
      <w:proofErr w:type="spellEnd"/>
      <w:r w:rsidRPr="00346315">
        <w:rPr>
          <w:rFonts w:ascii="Verdana" w:hAnsi="Verdana"/>
          <w:bCs/>
          <w:sz w:val="20"/>
        </w:rPr>
        <w:t>.</w:t>
      </w:r>
    </w:p>
    <w:p w:rsidR="00346315" w:rsidRPr="00346315" w:rsidRDefault="00346315" w:rsidP="00346315">
      <w:pPr>
        <w:jc w:val="both"/>
        <w:rPr>
          <w:rFonts w:ascii="Verdana" w:hAnsi="Verdana"/>
          <w:bCs/>
          <w:sz w:val="20"/>
        </w:rPr>
      </w:pPr>
      <w:r w:rsidRPr="00346315">
        <w:rPr>
          <w:rFonts w:ascii="Verdana" w:hAnsi="Verdana"/>
          <w:bCs/>
          <w:sz w:val="20"/>
        </w:rPr>
        <w:t>b)   En Valores Extranjeros de Deuda que reúnan las calificaciones mínimas referidas en el Anexo K.</w:t>
      </w:r>
    </w:p>
    <w:p w:rsidR="00346315" w:rsidRPr="00346315" w:rsidRDefault="00346315" w:rsidP="00346315">
      <w:pPr>
        <w:jc w:val="both"/>
        <w:rPr>
          <w:rFonts w:ascii="Verdana" w:hAnsi="Verdana"/>
          <w:bCs/>
          <w:sz w:val="20"/>
        </w:rPr>
      </w:pPr>
      <w:r w:rsidRPr="00346315">
        <w:rPr>
          <w:rFonts w:ascii="Verdana" w:hAnsi="Verdana"/>
          <w:bCs/>
          <w:sz w:val="20"/>
        </w:rPr>
        <w:t>      Las Sociedades de Inversión que inviertan en los Valores Extranjeros de Deuda a que se refiere el presente inciso deberán acreditar previamente ante la Comisión el cumplimiento de los requisitos que se establezcan al efecto en las disposiciones de carácter general en materia financiera de los Sistemas de Ahorro para el Retiro o en su defecto realizar la inversión a través de Mandatarios.</w:t>
      </w:r>
    </w:p>
    <w:p w:rsidR="00346315" w:rsidRPr="00346315" w:rsidRDefault="00346315" w:rsidP="00346315">
      <w:pPr>
        <w:jc w:val="both"/>
        <w:rPr>
          <w:rFonts w:ascii="Verdana" w:hAnsi="Verdana"/>
          <w:bCs/>
          <w:sz w:val="20"/>
        </w:rPr>
      </w:pPr>
      <w:r w:rsidRPr="00346315">
        <w:rPr>
          <w:rFonts w:ascii="Verdana" w:hAnsi="Verdana"/>
          <w:bCs/>
          <w:sz w:val="20"/>
        </w:rPr>
        <w:t>III.    Las Sociedades de Inversión Básicas de Pensiones, podrán invertir hasta el 100% del Activo Total de la Sociedad de Inversión únicamente en una combinación de los siguientes Activos Objeto de Inversión denominados en moneda nacional o Unidades de Inversión:</w:t>
      </w:r>
    </w:p>
    <w:p w:rsidR="00346315" w:rsidRPr="00346315" w:rsidRDefault="00346315" w:rsidP="00346315">
      <w:pPr>
        <w:jc w:val="both"/>
        <w:rPr>
          <w:rFonts w:ascii="Verdana" w:hAnsi="Verdana"/>
          <w:bCs/>
          <w:sz w:val="20"/>
        </w:rPr>
      </w:pPr>
      <w:r w:rsidRPr="00346315">
        <w:rPr>
          <w:rFonts w:ascii="Verdana" w:hAnsi="Verdana"/>
          <w:bCs/>
          <w:sz w:val="20"/>
        </w:rPr>
        <w:t xml:space="preserve">a)   En depósitos de dinero a la vista denominados en moneda nacional en Instituciones de Banca Múltiple, clasificadas con nivel I de capitalización de conformidad con lo previsto en las disposiciones de carácter general aplicables a las Instituciones de Crédito expedidas por la Comisión Nacional Bancaria y de Valores; publicadas en el boletín estadístico de banca múltiple de la aludida Comisión Nacional Bancaria y de Valores, y que cumplan con los requerimientos de liquidez establecidos </w:t>
      </w:r>
      <w:r w:rsidRPr="00346315">
        <w:rPr>
          <w:rFonts w:ascii="Verdana" w:hAnsi="Verdana"/>
          <w:bCs/>
          <w:sz w:val="20"/>
        </w:rPr>
        <w:lastRenderedPageBreak/>
        <w:t>por el Banco de México y la Comisión Nacional Bancaria y de Valores de conformidad con lo previsto en las disposiciones de carácter general a que se refiere el artículo 96 Bis 1 de la Ley de Instituciones de Crédito;</w:t>
      </w:r>
    </w:p>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b)   Instrumentos de Deuda emitidos o avalados por el Gobierno Federal, cuyo plazo por vencer sea menor o igual a 1 año;</w:t>
      </w:r>
    </w:p>
    <w:p w:rsidR="00346315" w:rsidRPr="00346315" w:rsidRDefault="00346315" w:rsidP="00346315">
      <w:pPr>
        <w:jc w:val="both"/>
        <w:rPr>
          <w:rFonts w:ascii="Verdana" w:hAnsi="Verdana"/>
          <w:bCs/>
          <w:sz w:val="20"/>
        </w:rPr>
      </w:pPr>
      <w:r w:rsidRPr="00346315">
        <w:rPr>
          <w:rFonts w:ascii="Verdana" w:hAnsi="Verdana"/>
          <w:bCs/>
          <w:sz w:val="20"/>
        </w:rPr>
        <w:t>c)   Hasta el 25% del Activo Neto de la Sociedad de Inversión en Instrumentos de Deuda, distintos de los emitidos por el Instituto para la Protección al Ahorro Bancario, emitidos o avalados por el Gobierno Federal con tasa revisable cuyo plazo por vencer sea mayor a 1 año;</w:t>
      </w:r>
    </w:p>
    <w:p w:rsidR="00346315" w:rsidRPr="00346315" w:rsidRDefault="00346315" w:rsidP="00346315">
      <w:pPr>
        <w:jc w:val="both"/>
        <w:rPr>
          <w:rFonts w:ascii="Verdana" w:hAnsi="Verdana"/>
          <w:bCs/>
          <w:sz w:val="20"/>
        </w:rPr>
      </w:pPr>
      <w:r w:rsidRPr="00346315">
        <w:rPr>
          <w:rFonts w:ascii="Verdana" w:hAnsi="Verdana"/>
          <w:bCs/>
          <w:sz w:val="20"/>
        </w:rPr>
        <w:t>d)   Hasta el 25% del Activo Neto de la Sociedad de Inversión en Instrumentos de Deuda emitidos por el Instituto para la Protección al Ahorro Bancario con tasa revisable cuyo plazo por vencer sea mayor a 1 año, y</w:t>
      </w:r>
    </w:p>
    <w:p w:rsidR="00346315" w:rsidRPr="00346315" w:rsidRDefault="00346315" w:rsidP="00346315">
      <w:pPr>
        <w:jc w:val="both"/>
        <w:rPr>
          <w:rFonts w:ascii="Verdana" w:hAnsi="Verdana"/>
          <w:bCs/>
          <w:sz w:val="20"/>
        </w:rPr>
      </w:pPr>
      <w:r w:rsidRPr="00346315">
        <w:rPr>
          <w:rFonts w:ascii="Verdana" w:hAnsi="Verdana"/>
          <w:bCs/>
          <w:sz w:val="20"/>
        </w:rPr>
        <w:t>e)   En operaciones de reporto y préstamo de valores cuyo plazo por vencer sea igual o inferior a un año con Contrapartes que cumplan con las calificaciones crediticias previstas en los Anexos A, B y C de las presentes disposiciones, en las cuáles actúen respectivamente como reportadoras y prestamistas, de conformidad con lo previsto en la Ley y en las Disposiciones del Banco de México.</w:t>
      </w:r>
    </w:p>
    <w:p w:rsidR="00346315" w:rsidRPr="00346315" w:rsidRDefault="00346315" w:rsidP="00346315">
      <w:pPr>
        <w:jc w:val="both"/>
        <w:rPr>
          <w:rFonts w:ascii="Verdana" w:hAnsi="Verdana"/>
          <w:bCs/>
          <w:sz w:val="20"/>
        </w:rPr>
      </w:pPr>
      <w:r w:rsidRPr="00346315">
        <w:rPr>
          <w:rFonts w:ascii="Verdana" w:hAnsi="Verdana"/>
          <w:bCs/>
          <w:sz w:val="20"/>
        </w:rPr>
        <w:t>Las Sociedades de Inversión Básicas 1 a 4, podrán adquirir los Activos Objeto de Inversión a que se refiere la presente disposición y la disposición Décima Octava, en forma directa, a través de Vehículos o en su caso Derivados o Mandatarios de conformidad con el régimen de inversión, salvo que se especifique lo contrario en los incisos de la presente disposición.</w:t>
      </w:r>
    </w:p>
    <w:p w:rsidR="00346315" w:rsidRPr="00346315" w:rsidRDefault="00346315" w:rsidP="00346315">
      <w:pPr>
        <w:jc w:val="both"/>
        <w:rPr>
          <w:rFonts w:ascii="Verdana" w:hAnsi="Verdana"/>
          <w:bCs/>
          <w:sz w:val="20"/>
        </w:rPr>
      </w:pPr>
      <w:r w:rsidRPr="00346315">
        <w:rPr>
          <w:rFonts w:ascii="Verdana" w:hAnsi="Verdana"/>
          <w:bCs/>
          <w:sz w:val="20"/>
        </w:rPr>
        <w:t>Las Sociedades de Inversión Básicas de Pensiones, para la adquisición de los Activos Objeto de Inversión a que se refiere la fracción III de la presente disposición deberán sujetarse a los parámetros de liquidez mínima referidos en la disposición Vigésima Sexta de las presentes disposiciones y no podrán adquirir Activos Objeto de Inversión a través de Vehículos, Derivados o Mandatarios.</w:t>
      </w:r>
    </w:p>
    <w:p w:rsidR="00346315" w:rsidRPr="00346315" w:rsidRDefault="00346315" w:rsidP="00346315">
      <w:pPr>
        <w:jc w:val="both"/>
        <w:rPr>
          <w:rFonts w:ascii="Verdana" w:hAnsi="Verdana"/>
          <w:bCs/>
          <w:sz w:val="20"/>
        </w:rPr>
      </w:pPr>
      <w:r w:rsidRPr="00346315">
        <w:rPr>
          <w:rFonts w:ascii="Verdana" w:hAnsi="Verdana"/>
          <w:bCs/>
          <w:sz w:val="20"/>
        </w:rPr>
        <w:t>Las Sociedades de Inversión podrán invertir en los Activos Objetos de Inversión, de conformidad el presente capítulo, en las formas de exposición antes mencionadas, una vez que cumplan con lo establecido en las presentes disposiciones, así como con los requisitos y certificaciones que se establezcan en las disposiciones de carácter general en materia financiera de los Sistemas de Ahorro para el Retiro.</w:t>
      </w:r>
    </w:p>
    <w:p w:rsidR="00346315" w:rsidRPr="00346315" w:rsidRDefault="00346315" w:rsidP="00346315">
      <w:pPr>
        <w:jc w:val="both"/>
        <w:rPr>
          <w:rFonts w:ascii="Verdana" w:hAnsi="Verdana"/>
          <w:bCs/>
          <w:sz w:val="20"/>
        </w:rPr>
      </w:pPr>
      <w:r w:rsidRPr="00346315">
        <w:rPr>
          <w:rFonts w:ascii="Verdana" w:hAnsi="Verdana"/>
          <w:bCs/>
          <w:sz w:val="20"/>
        </w:rPr>
        <w:t>Para efectos de la presente disposición, la Comisión, oyendo la opinión del Comité de Análisis de Riesgos, podrá prohibir la adquisición de Activos Objeto de Inversión cuando a su juicio representen riesgos excesivos para la cartera de las Sociedades de Inversión, a efecto de proteger los intereses de los Trabajadores.</w:t>
      </w:r>
    </w:p>
    <w:p w:rsidR="00346315" w:rsidRPr="00346315" w:rsidRDefault="00346315" w:rsidP="00346315">
      <w:pPr>
        <w:jc w:val="both"/>
        <w:rPr>
          <w:rFonts w:ascii="Verdana" w:hAnsi="Verdana"/>
          <w:bCs/>
          <w:sz w:val="20"/>
        </w:rPr>
      </w:pPr>
      <w:r w:rsidRPr="00346315">
        <w:rPr>
          <w:rFonts w:ascii="Verdana" w:hAnsi="Verdana"/>
          <w:b/>
          <w:bCs/>
          <w:sz w:val="20"/>
        </w:rPr>
        <w:t>DÉCIMA SÉPTIMA.-</w:t>
      </w:r>
      <w:r w:rsidRPr="00346315">
        <w:rPr>
          <w:rFonts w:ascii="Verdana" w:hAnsi="Verdana"/>
          <w:bCs/>
          <w:sz w:val="20"/>
        </w:rPr>
        <w:t> Las Sociedades de Inversión Básicas 1 a 4, podrán adquirir los Activos Objeto de Inversión a través de Mandatarios.</w:t>
      </w:r>
    </w:p>
    <w:p w:rsidR="00346315" w:rsidRPr="00346315" w:rsidRDefault="00346315" w:rsidP="00346315">
      <w:pPr>
        <w:jc w:val="both"/>
        <w:rPr>
          <w:rFonts w:ascii="Verdana" w:hAnsi="Verdana"/>
          <w:bCs/>
          <w:sz w:val="20"/>
        </w:rPr>
      </w:pPr>
      <w:r w:rsidRPr="00346315">
        <w:rPr>
          <w:rFonts w:ascii="Verdana" w:hAnsi="Verdana"/>
          <w:bCs/>
          <w:sz w:val="20"/>
        </w:rPr>
        <w:lastRenderedPageBreak/>
        <w:t>En los contratos que las Sociedades de Inversión celebren con los Mandatarios se deberá prever lo siguiente:</w:t>
      </w:r>
    </w:p>
    <w:p w:rsidR="00346315" w:rsidRPr="00346315" w:rsidRDefault="00346315" w:rsidP="00346315">
      <w:pPr>
        <w:jc w:val="both"/>
        <w:rPr>
          <w:rFonts w:ascii="Verdana" w:hAnsi="Verdana"/>
          <w:bCs/>
          <w:sz w:val="20"/>
        </w:rPr>
      </w:pPr>
      <w:r w:rsidRPr="00346315">
        <w:rPr>
          <w:rFonts w:ascii="Verdana" w:hAnsi="Verdana"/>
          <w:bCs/>
          <w:sz w:val="20"/>
        </w:rPr>
        <w:t>I.     Que la Sociedad de Inversión y el Mandatario deberán observar permanentemente todos los límites, parámetros, criterios de diversificación y obligaciones establecidas en las presentes disposiciones, en el prospecto de información de la Sociedad de Inversión de que se trate y en las disposiciones de carácter general en materia financiera emitidas por la Comisión. Para estos efectos, la Administradora deberá establecer en el contrato que celebre con cada Mandatario por cuenta de las Sociedades de Inversión que opere, los parámetros a que deberán sujetarse los Mandatarios de que se trate de conformidad con los objetivos de inversión de la Sociedad de Inversión;</w:t>
      </w:r>
    </w:p>
    <w:p w:rsidR="00346315" w:rsidRPr="00346315" w:rsidRDefault="00346315" w:rsidP="00346315">
      <w:pPr>
        <w:jc w:val="both"/>
        <w:rPr>
          <w:rFonts w:ascii="Verdana" w:hAnsi="Verdana"/>
          <w:bCs/>
          <w:sz w:val="20"/>
        </w:rPr>
      </w:pPr>
      <w:r w:rsidRPr="00346315">
        <w:rPr>
          <w:rFonts w:ascii="Verdana" w:hAnsi="Verdana"/>
          <w:bCs/>
          <w:sz w:val="20"/>
        </w:rPr>
        <w:t>II.     Que las inversiones realizadas en nombre y representación de las Sociedades de Inversión, se registren como inversiones por cuenta de terceros segregadas del patrimonio de la entidad que se contrate;</w:t>
      </w:r>
    </w:p>
    <w:p w:rsidR="00346315" w:rsidRPr="00346315" w:rsidRDefault="00346315" w:rsidP="00346315">
      <w:pPr>
        <w:jc w:val="both"/>
        <w:rPr>
          <w:rFonts w:ascii="Verdana" w:hAnsi="Verdana"/>
          <w:bCs/>
          <w:sz w:val="20"/>
        </w:rPr>
      </w:pPr>
      <w:r w:rsidRPr="00346315">
        <w:rPr>
          <w:rFonts w:ascii="Verdana" w:hAnsi="Verdana"/>
          <w:bCs/>
          <w:sz w:val="20"/>
        </w:rPr>
        <w:t>III.    La obligación del Mandatario de no celebrar las operaciones objeto del contrato con la Sociedad de Inversión con entidades con las que cualquiera de las partes tenga nexo patrimonial o conflicto de interés alguno;</w:t>
      </w:r>
    </w:p>
    <w:p w:rsidR="00346315" w:rsidRPr="00346315" w:rsidRDefault="00346315" w:rsidP="00346315">
      <w:pPr>
        <w:jc w:val="both"/>
        <w:rPr>
          <w:rFonts w:ascii="Verdana" w:hAnsi="Verdana"/>
          <w:bCs/>
          <w:sz w:val="20"/>
        </w:rPr>
      </w:pPr>
      <w:r w:rsidRPr="00346315">
        <w:rPr>
          <w:rFonts w:ascii="Verdana" w:hAnsi="Verdana"/>
          <w:bCs/>
          <w:sz w:val="20"/>
        </w:rPr>
        <w:t>IV.   Que la valuación de los Activos Objeto de Inversión y el reporte de las carteras de inversión se realicen conforme a las disposiciones de carácter general en materia financiera emitidas por la Comisión;</w:t>
      </w:r>
    </w:p>
    <w:p w:rsidR="00346315" w:rsidRPr="00346315" w:rsidRDefault="00346315" w:rsidP="00346315">
      <w:pPr>
        <w:jc w:val="both"/>
        <w:rPr>
          <w:rFonts w:ascii="Verdana" w:hAnsi="Verdana"/>
          <w:bCs/>
          <w:sz w:val="20"/>
        </w:rPr>
      </w:pPr>
      <w:r w:rsidRPr="00346315">
        <w:rPr>
          <w:rFonts w:ascii="Verdana" w:hAnsi="Verdana"/>
          <w:bCs/>
          <w:sz w:val="20"/>
        </w:rPr>
        <w:t>V.    Que los Mandatarios deberán reportar a las Sociedades de Inversión y a la Comisión con la periodicidad establecida en las Disposiciones de carácter general en materia financiera emitidas por la Comisión, los precios aplicables para determinar, en su caso, las minusvalías a que se refiere la disposición Décima Primera de las presentes disposiciones;</w:t>
      </w:r>
    </w:p>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VI.   La obligación del Mandatario de cumplir para las inversiones en Activos Objeto de Inversión materia del contrato de que se trate, con los criterios de diversificación previstos en la fracción IV de la disposición Vigésima Cuarta;</w:t>
      </w:r>
    </w:p>
    <w:p w:rsidR="00346315" w:rsidRPr="00346315" w:rsidRDefault="00346315" w:rsidP="00346315">
      <w:pPr>
        <w:jc w:val="both"/>
        <w:rPr>
          <w:rFonts w:ascii="Verdana" w:hAnsi="Verdana"/>
          <w:bCs/>
          <w:sz w:val="20"/>
        </w:rPr>
      </w:pPr>
      <w:r w:rsidRPr="00346315">
        <w:rPr>
          <w:rFonts w:ascii="Verdana" w:hAnsi="Verdana"/>
          <w:bCs/>
          <w:sz w:val="20"/>
        </w:rPr>
        <w:t>VII.   Que los costos que se generen con motivo de la administración del mandato serán considerados como parte de la comisión cobrada por el Mandatario, con excepción de los costos de corretaje establecidos en las disposiciones de carácter general en materia financiera de los Sistemas de Ahorro para el Retiro, emitidas por la Comisión, y</w:t>
      </w:r>
    </w:p>
    <w:p w:rsidR="00346315" w:rsidRPr="00346315" w:rsidRDefault="00346315" w:rsidP="00346315">
      <w:pPr>
        <w:jc w:val="both"/>
        <w:rPr>
          <w:rFonts w:ascii="Verdana" w:hAnsi="Verdana"/>
          <w:bCs/>
          <w:sz w:val="20"/>
        </w:rPr>
      </w:pPr>
      <w:r w:rsidRPr="00346315">
        <w:rPr>
          <w:rFonts w:ascii="Verdana" w:hAnsi="Verdana"/>
          <w:bCs/>
          <w:sz w:val="20"/>
        </w:rPr>
        <w:t>VIII.  Cumplir con los demás requisitos que determine el Comité de Análisis de Riesgos.</w:t>
      </w:r>
    </w:p>
    <w:p w:rsidR="00346315" w:rsidRPr="00346315" w:rsidRDefault="00346315" w:rsidP="00346315">
      <w:pPr>
        <w:jc w:val="both"/>
        <w:rPr>
          <w:rFonts w:ascii="Verdana" w:hAnsi="Verdana"/>
          <w:bCs/>
          <w:sz w:val="20"/>
        </w:rPr>
      </w:pPr>
      <w:r w:rsidRPr="00346315">
        <w:rPr>
          <w:rFonts w:ascii="Verdana" w:hAnsi="Verdana"/>
          <w:bCs/>
          <w:sz w:val="20"/>
        </w:rPr>
        <w:t>Los modelos de contrato a celebrarse entre las Sociedades de Inversión y los Mandatarios, así como con los asesores de inversión en Instrumentos Estructurados, deberán estar a disposición de la Comisión.</w:t>
      </w:r>
    </w:p>
    <w:p w:rsidR="00346315" w:rsidRPr="00346315" w:rsidRDefault="00346315" w:rsidP="00346315">
      <w:pPr>
        <w:jc w:val="both"/>
        <w:rPr>
          <w:rFonts w:ascii="Verdana" w:hAnsi="Verdana"/>
          <w:bCs/>
          <w:sz w:val="20"/>
        </w:rPr>
      </w:pPr>
      <w:r w:rsidRPr="00346315">
        <w:rPr>
          <w:rFonts w:ascii="Verdana" w:hAnsi="Verdana"/>
          <w:b/>
          <w:bCs/>
          <w:sz w:val="20"/>
        </w:rPr>
        <w:lastRenderedPageBreak/>
        <w:t>DÉCIMA OCTAVA.-</w:t>
      </w:r>
      <w:r w:rsidRPr="00346315">
        <w:rPr>
          <w:rFonts w:ascii="Verdana" w:hAnsi="Verdana"/>
          <w:bCs/>
          <w:sz w:val="20"/>
        </w:rPr>
        <w:t xml:space="preserve"> La inversión en Instrumentos </w:t>
      </w:r>
      <w:proofErr w:type="spellStart"/>
      <w:r w:rsidRPr="00346315">
        <w:rPr>
          <w:rFonts w:ascii="Verdana" w:hAnsi="Verdana"/>
          <w:bCs/>
          <w:sz w:val="20"/>
        </w:rPr>
        <w:t>Bursatilizados</w:t>
      </w:r>
      <w:proofErr w:type="spellEnd"/>
      <w:r w:rsidRPr="00346315">
        <w:rPr>
          <w:rFonts w:ascii="Verdana" w:hAnsi="Verdana"/>
          <w:bCs/>
          <w:sz w:val="20"/>
        </w:rPr>
        <w:t xml:space="preserve"> que satisfagan los requisitos establecidos en las disposiciones de carácter general en materia financiera de los Sistemas de Ahorro para el Retiro, deberá observar los criterios de diversificación previstos en las fracciones I, III y IV de la disposición Vigésima Cuarta siguiente y obedecer los siguientes límites:</w:t>
      </w:r>
    </w:p>
    <w:p w:rsidR="00346315" w:rsidRPr="00346315" w:rsidRDefault="00346315" w:rsidP="00346315">
      <w:pPr>
        <w:jc w:val="both"/>
        <w:rPr>
          <w:rFonts w:ascii="Verdana" w:hAnsi="Verdana"/>
          <w:bCs/>
          <w:sz w:val="20"/>
        </w:rPr>
      </w:pPr>
      <w:r w:rsidRPr="00346315">
        <w:rPr>
          <w:rFonts w:ascii="Verdana" w:hAnsi="Verdana"/>
          <w:bCs/>
          <w:sz w:val="20"/>
        </w:rPr>
        <w:t>I.     Hasta el 10% del Activo Total de la Sociedad de Inversión, para las Sociedades de Inversión Básicas 1;</w:t>
      </w:r>
    </w:p>
    <w:p w:rsidR="00346315" w:rsidRPr="00346315" w:rsidRDefault="00346315" w:rsidP="00346315">
      <w:pPr>
        <w:jc w:val="both"/>
        <w:rPr>
          <w:rFonts w:ascii="Verdana" w:hAnsi="Verdana"/>
          <w:bCs/>
          <w:sz w:val="20"/>
        </w:rPr>
      </w:pPr>
      <w:r w:rsidRPr="00346315">
        <w:rPr>
          <w:rFonts w:ascii="Verdana" w:hAnsi="Verdana"/>
          <w:bCs/>
          <w:sz w:val="20"/>
        </w:rPr>
        <w:t>II.     Hasta el 15% del Activo Total de la Sociedad de Inversión, para las Sociedades de Inversión Básicas 2;</w:t>
      </w:r>
    </w:p>
    <w:p w:rsidR="00346315" w:rsidRPr="00346315" w:rsidRDefault="00346315" w:rsidP="00346315">
      <w:pPr>
        <w:jc w:val="both"/>
        <w:rPr>
          <w:rFonts w:ascii="Verdana" w:hAnsi="Verdana"/>
          <w:bCs/>
          <w:sz w:val="20"/>
        </w:rPr>
      </w:pPr>
      <w:r w:rsidRPr="00346315">
        <w:rPr>
          <w:rFonts w:ascii="Verdana" w:hAnsi="Verdana"/>
          <w:bCs/>
          <w:sz w:val="20"/>
        </w:rPr>
        <w:t>III.    Hasta el 20% del Activo Total de la Sociedad de Inversión, para las Sociedades de Inversión Básicas 3, y</w:t>
      </w:r>
    </w:p>
    <w:p w:rsidR="00346315" w:rsidRPr="00346315" w:rsidRDefault="00346315" w:rsidP="00346315">
      <w:pPr>
        <w:jc w:val="both"/>
        <w:rPr>
          <w:rFonts w:ascii="Verdana" w:hAnsi="Verdana"/>
          <w:bCs/>
          <w:sz w:val="20"/>
        </w:rPr>
      </w:pPr>
      <w:r w:rsidRPr="00346315">
        <w:rPr>
          <w:rFonts w:ascii="Verdana" w:hAnsi="Verdana"/>
          <w:bCs/>
          <w:sz w:val="20"/>
        </w:rPr>
        <w:t>IV.   Hasta el 30% del Activo Total de la Sociedad de Inversión, para las Sociedades de Inversión Básicas 4.</w:t>
      </w:r>
    </w:p>
    <w:p w:rsidR="00346315" w:rsidRPr="00346315" w:rsidRDefault="00346315" w:rsidP="00346315">
      <w:pPr>
        <w:jc w:val="both"/>
        <w:rPr>
          <w:rFonts w:ascii="Verdana" w:hAnsi="Verdana"/>
          <w:bCs/>
          <w:sz w:val="20"/>
        </w:rPr>
      </w:pPr>
      <w:r w:rsidRPr="00346315">
        <w:rPr>
          <w:rFonts w:ascii="Verdana" w:hAnsi="Verdana"/>
          <w:b/>
          <w:bCs/>
          <w:sz w:val="20"/>
        </w:rPr>
        <w:t>DÉCIMA NOVENA.-</w:t>
      </w:r>
      <w:r w:rsidRPr="00346315">
        <w:rPr>
          <w:rFonts w:ascii="Verdana" w:hAnsi="Verdana"/>
          <w:bCs/>
          <w:sz w:val="20"/>
        </w:rPr>
        <w:t> Dentro de los límites a que se refiere la disposición Décima Sexta se deberá computar la suma de los Valores Compensados de las operaciones con Derivados que las Sociedades de Inversión Básicas celebren en mercados extrabursátiles de conformidad con las Disposiciones del Banco de México, siempre que la Sociedad de Inversión tenga el carácter de acreedor respecto de dichos Valores Compensados.</w:t>
      </w:r>
    </w:p>
    <w:p w:rsidR="00346315" w:rsidRPr="00346315" w:rsidRDefault="00346315" w:rsidP="00346315">
      <w:pPr>
        <w:jc w:val="both"/>
        <w:rPr>
          <w:rFonts w:ascii="Verdana" w:hAnsi="Verdana"/>
          <w:bCs/>
          <w:sz w:val="20"/>
        </w:rPr>
      </w:pPr>
      <w:r w:rsidRPr="00346315">
        <w:rPr>
          <w:rFonts w:ascii="Verdana" w:hAnsi="Verdana"/>
          <w:b/>
          <w:bCs/>
          <w:sz w:val="20"/>
        </w:rPr>
        <w:t>VIGÉSIMA.-</w:t>
      </w:r>
      <w:r w:rsidRPr="00346315">
        <w:rPr>
          <w:rFonts w:ascii="Verdana" w:hAnsi="Verdana"/>
          <w:bCs/>
          <w:sz w:val="20"/>
        </w:rPr>
        <w:t> Las Sociedades de Inversión Básicas 1 a 4 podrán adquirir Estructuras Vinculadas a Subyacentes. Las Sociedades de Inversión Básicas 1 no podrán invertir en estos activos cuando se vinculen a Mercancías.</w:t>
      </w:r>
    </w:p>
    <w:p w:rsidR="00346315" w:rsidRPr="00346315" w:rsidRDefault="00346315" w:rsidP="00346315">
      <w:pPr>
        <w:jc w:val="both"/>
        <w:rPr>
          <w:rFonts w:ascii="Verdana" w:hAnsi="Verdana"/>
          <w:bCs/>
          <w:sz w:val="20"/>
        </w:rPr>
      </w:pPr>
      <w:r w:rsidRPr="00346315">
        <w:rPr>
          <w:rFonts w:ascii="Verdana" w:hAnsi="Verdana"/>
          <w:b/>
          <w:bCs/>
          <w:sz w:val="20"/>
        </w:rPr>
        <w:t>VIGÉSIMA PRIMERA.-</w:t>
      </w:r>
      <w:r w:rsidRPr="00346315">
        <w:rPr>
          <w:rFonts w:ascii="Verdana" w:hAnsi="Verdana"/>
          <w:bCs/>
          <w:sz w:val="20"/>
        </w:rPr>
        <w:t> Estará prohibido para:</w:t>
      </w:r>
    </w:p>
    <w:p w:rsidR="00346315" w:rsidRPr="00346315" w:rsidRDefault="00346315" w:rsidP="00346315">
      <w:pPr>
        <w:jc w:val="both"/>
        <w:rPr>
          <w:rFonts w:ascii="Verdana" w:hAnsi="Verdana"/>
          <w:bCs/>
          <w:sz w:val="20"/>
        </w:rPr>
      </w:pPr>
      <w:r w:rsidRPr="00346315">
        <w:rPr>
          <w:rFonts w:ascii="Verdana" w:hAnsi="Verdana"/>
          <w:bCs/>
          <w:sz w:val="20"/>
        </w:rPr>
        <w:t>I.     Las Sociedades de Inversión Básicas, lo siguiente:</w:t>
      </w:r>
    </w:p>
    <w:p w:rsidR="00346315" w:rsidRPr="00346315" w:rsidRDefault="00346315" w:rsidP="00346315">
      <w:pPr>
        <w:jc w:val="both"/>
        <w:rPr>
          <w:rFonts w:ascii="Verdana" w:hAnsi="Verdana"/>
          <w:bCs/>
          <w:sz w:val="20"/>
        </w:rPr>
      </w:pPr>
      <w:r w:rsidRPr="00346315">
        <w:rPr>
          <w:rFonts w:ascii="Verdana" w:hAnsi="Verdana"/>
          <w:bCs/>
          <w:sz w:val="20"/>
        </w:rPr>
        <w:t>a)   Adquirir Activos Objeto de Inversión emitidos, aceptados o avalados por Entidades Financieras o casas de bolsa, que se encuentren sujetas a intervención administrativa o gerencial que haya sido declarada por la autoridad supervisora competente del sistema financiero o actos equivalentes ordenados en su caso, por alguna autoridad financiera perteneciente a los Países Elegibles para Inversiones;</w:t>
      </w:r>
    </w:p>
    <w:p w:rsidR="00346315" w:rsidRPr="00346315" w:rsidRDefault="00346315" w:rsidP="00346315">
      <w:pPr>
        <w:jc w:val="both"/>
        <w:rPr>
          <w:rFonts w:ascii="Verdana" w:hAnsi="Verdana"/>
          <w:bCs/>
          <w:sz w:val="20"/>
        </w:rPr>
      </w:pPr>
      <w:r w:rsidRPr="00346315">
        <w:rPr>
          <w:rFonts w:ascii="Verdana" w:hAnsi="Verdana"/>
          <w:bCs/>
          <w:sz w:val="20"/>
        </w:rPr>
        <w:t>b)   Adquirir Instrumentos de Deuda, Valores Extranjeros de Deuda, FIBRAS, Vehículos de Inversión Inmobiliaria emitidos, aceptados o avalados por Entidades Financieras o casas de bolsa con las que tengan Nexos Patrimoniales, así como invertir en Fondos Mutuos administrados por Entidades Financieras con las que tengan Nexos Patrimoniales;</w:t>
      </w:r>
    </w:p>
    <w:p w:rsidR="00346315" w:rsidRPr="00346315" w:rsidRDefault="00346315" w:rsidP="00346315">
      <w:pPr>
        <w:jc w:val="both"/>
        <w:rPr>
          <w:rFonts w:ascii="Verdana" w:hAnsi="Verdana"/>
          <w:bCs/>
          <w:sz w:val="20"/>
        </w:rPr>
      </w:pPr>
      <w:r w:rsidRPr="00346315">
        <w:rPr>
          <w:rFonts w:ascii="Verdana" w:hAnsi="Verdana"/>
          <w:bCs/>
          <w:sz w:val="20"/>
        </w:rPr>
        <w:t>c)   Adquirir Instrumentos de Deuda y Valores Extranjeros de Deuda subordinados, salvo las Sociedades de Inversión Básicas 1 a 4, cuando se trate de las obligaciones subordinadas a que se hace referencia en la fracción XLIX incisos c), d), e) y f), de la disposición Segunda anterior;</w:t>
      </w:r>
    </w:p>
    <w:p w:rsidR="00346315" w:rsidRPr="00346315" w:rsidRDefault="00346315" w:rsidP="00346315">
      <w:pPr>
        <w:jc w:val="both"/>
        <w:rPr>
          <w:rFonts w:ascii="Verdana" w:hAnsi="Verdana"/>
          <w:bCs/>
          <w:sz w:val="20"/>
        </w:rPr>
      </w:pPr>
      <w:r w:rsidRPr="00346315">
        <w:rPr>
          <w:rFonts w:ascii="Verdana" w:hAnsi="Verdana"/>
          <w:bCs/>
          <w:sz w:val="20"/>
        </w:rPr>
        <w:lastRenderedPageBreak/>
        <w:t>d)   Adquirir acciones, así como, Instrumentos de Deuda y Valores Extranjeros de Deuda, convertibles en acciones, salvo las Sociedades de Inversión Básicas 1 a 4, cuando se trate, de las acciones u obligaciones convertibles en acciones a que se hace referencia en las fracciones XLIX, inciso b) y LII, incisos a), b) y c) de la disposición Segunda anterior, o de los Valores Extranjeros de Renta Variable que se adquieran a través de Mandatarios;</w:t>
      </w:r>
    </w:p>
    <w:p w:rsidR="00346315" w:rsidRPr="00346315" w:rsidRDefault="00346315" w:rsidP="00346315">
      <w:pPr>
        <w:jc w:val="both"/>
        <w:rPr>
          <w:rFonts w:ascii="Verdana" w:hAnsi="Verdana"/>
          <w:bCs/>
          <w:sz w:val="20"/>
        </w:rPr>
      </w:pPr>
      <w:r w:rsidRPr="00346315">
        <w:rPr>
          <w:rFonts w:ascii="Verdana" w:hAnsi="Verdana"/>
          <w:bCs/>
          <w:sz w:val="20"/>
        </w:rPr>
        <w:t>e)   Adquirir Instrumentos y Valores Extranjeros que otorguen a sus tenedores derechos o rendimientos referidos, directa o indirectamente, a acciones individuales, a un conjunto de acciones, a variaciones en el precio de mercancías, activos, o instrumentos, que no se encuentren autorizados dentro del régimen de inversión de las Sociedades de Inversión Básicas que corresponda;</w:t>
      </w:r>
    </w:p>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f)    Realizar depósitos bancarios y celebrar operaciones de reporto, préstamo de valores, y Derivados con Entidades Financieras o casas de bolsa con las que tengan Nexos Patrimoniales;</w:t>
      </w:r>
    </w:p>
    <w:p w:rsidR="00346315" w:rsidRPr="00346315" w:rsidRDefault="00346315" w:rsidP="00346315">
      <w:pPr>
        <w:jc w:val="both"/>
        <w:rPr>
          <w:rFonts w:ascii="Verdana" w:hAnsi="Verdana"/>
          <w:bCs/>
          <w:sz w:val="20"/>
        </w:rPr>
      </w:pPr>
      <w:r w:rsidRPr="00346315">
        <w:rPr>
          <w:rFonts w:ascii="Verdana" w:hAnsi="Verdana"/>
          <w:bCs/>
          <w:sz w:val="20"/>
        </w:rPr>
        <w:t>g)   Adquirir Valores Extranjeros de Renta Variable, distintos a los Componentes de Renta Variable. Para tal efecto, no se entenderán prohibidos los activos a que se refiere el penúltimo párrafo de la disposición Décima Sexta anterior ni los Valores Extranjeros de Renta Variable que se adquieran a través de Mandatarios, y</w:t>
      </w:r>
    </w:p>
    <w:p w:rsidR="00346315" w:rsidRPr="00346315" w:rsidRDefault="00346315" w:rsidP="00346315">
      <w:pPr>
        <w:jc w:val="both"/>
        <w:rPr>
          <w:rFonts w:ascii="Verdana" w:hAnsi="Verdana"/>
          <w:bCs/>
          <w:sz w:val="20"/>
        </w:rPr>
      </w:pPr>
      <w:r w:rsidRPr="00346315">
        <w:rPr>
          <w:rFonts w:ascii="Verdana" w:hAnsi="Verdana"/>
          <w:bCs/>
          <w:sz w:val="20"/>
        </w:rPr>
        <w:t xml:space="preserve">h)   Adquirir FIBRAS, Vehículos de Inversión Inmobiliaria o Certificados Bursátiles Vinculados a Proyectos Reales en las que los bienes inmuebles o activos reales que formen parte del patrimonio </w:t>
      </w:r>
      <w:proofErr w:type="spellStart"/>
      <w:r w:rsidRPr="00346315">
        <w:rPr>
          <w:rFonts w:ascii="Verdana" w:hAnsi="Verdana"/>
          <w:bCs/>
          <w:sz w:val="20"/>
        </w:rPr>
        <w:t>fideicomitido</w:t>
      </w:r>
      <w:proofErr w:type="spellEnd"/>
      <w:r w:rsidRPr="00346315">
        <w:rPr>
          <w:rFonts w:ascii="Verdana" w:hAnsi="Verdana"/>
          <w:bCs/>
          <w:sz w:val="20"/>
        </w:rPr>
        <w:t>, hayan sido aportados por Empresas Privadas, instituciones financieras o casas de bolsa, con las que tengan Nexos Patrimoniales.</w:t>
      </w:r>
    </w:p>
    <w:p w:rsidR="00346315" w:rsidRPr="00346315" w:rsidRDefault="00346315" w:rsidP="00346315">
      <w:pPr>
        <w:jc w:val="both"/>
        <w:rPr>
          <w:rFonts w:ascii="Verdana" w:hAnsi="Verdana"/>
          <w:bCs/>
          <w:sz w:val="20"/>
        </w:rPr>
      </w:pPr>
      <w:r w:rsidRPr="00346315">
        <w:rPr>
          <w:rFonts w:ascii="Verdana" w:hAnsi="Verdana"/>
          <w:b/>
          <w:bCs/>
          <w:sz w:val="20"/>
        </w:rPr>
        <w:t>Sección III</w:t>
      </w:r>
    </w:p>
    <w:p w:rsidR="00346315" w:rsidRPr="00346315" w:rsidRDefault="00346315" w:rsidP="00346315">
      <w:pPr>
        <w:jc w:val="both"/>
        <w:rPr>
          <w:rFonts w:ascii="Verdana" w:hAnsi="Verdana"/>
          <w:bCs/>
          <w:sz w:val="20"/>
        </w:rPr>
      </w:pPr>
      <w:r w:rsidRPr="00346315">
        <w:rPr>
          <w:rFonts w:ascii="Verdana" w:hAnsi="Verdana"/>
          <w:b/>
          <w:bCs/>
          <w:sz w:val="20"/>
        </w:rPr>
        <w:t>Parámetros de Riesgo</w:t>
      </w:r>
    </w:p>
    <w:p w:rsidR="00346315" w:rsidRPr="00346315" w:rsidRDefault="00346315" w:rsidP="00346315">
      <w:pPr>
        <w:jc w:val="both"/>
        <w:rPr>
          <w:rFonts w:ascii="Verdana" w:hAnsi="Verdana"/>
          <w:bCs/>
          <w:sz w:val="20"/>
        </w:rPr>
      </w:pPr>
      <w:r w:rsidRPr="00346315">
        <w:rPr>
          <w:rFonts w:ascii="Verdana" w:hAnsi="Verdana"/>
          <w:b/>
          <w:bCs/>
          <w:sz w:val="20"/>
        </w:rPr>
        <w:t>VIGÉSIMA SEGUNDA.-</w:t>
      </w:r>
      <w:r w:rsidRPr="00346315">
        <w:rPr>
          <w:rFonts w:ascii="Verdana" w:hAnsi="Verdana"/>
          <w:bCs/>
          <w:sz w:val="20"/>
        </w:rPr>
        <w:t> Las Sociedades de Inversión Básicas de Pensiones y las Sociedades de Inversión Básicas 1 deberán mantener un límite máximo de Valor en Riesgo de 0.70% del Activo Administrado por dichas Sociedades de Inversión.</w:t>
      </w:r>
    </w:p>
    <w:p w:rsidR="00346315" w:rsidRPr="00346315" w:rsidRDefault="00346315" w:rsidP="00346315">
      <w:pPr>
        <w:jc w:val="both"/>
        <w:rPr>
          <w:rFonts w:ascii="Verdana" w:hAnsi="Verdana"/>
          <w:bCs/>
          <w:sz w:val="20"/>
        </w:rPr>
      </w:pPr>
      <w:r w:rsidRPr="00346315">
        <w:rPr>
          <w:rFonts w:ascii="Verdana" w:hAnsi="Verdana"/>
          <w:bCs/>
          <w:sz w:val="20"/>
        </w:rPr>
        <w:t>Para el cálculo del Valor en Riesgo, las Sociedades de Inversión Básicas de Pensiones y las Sociedades de Inversión Básicas 1 deberán sujetarse a la metodología prevista en las secciones I y II del Anexo L de las presentes disposiciones.</w:t>
      </w:r>
    </w:p>
    <w:p w:rsidR="00346315" w:rsidRPr="00346315" w:rsidRDefault="00346315" w:rsidP="00346315">
      <w:pPr>
        <w:jc w:val="both"/>
        <w:rPr>
          <w:rFonts w:ascii="Verdana" w:hAnsi="Verdana"/>
          <w:bCs/>
          <w:sz w:val="20"/>
        </w:rPr>
      </w:pPr>
      <w:r w:rsidRPr="00346315">
        <w:rPr>
          <w:rFonts w:ascii="Verdana" w:hAnsi="Verdana"/>
          <w:bCs/>
          <w:sz w:val="20"/>
        </w:rPr>
        <w:t xml:space="preserve">Las Sociedades de Inversión Básicas de Pensiones y las Sociedades de Inversión Básicas 1, en su operación, determinarán el límite de Valor en Riesgo, para los Activos Administrados por las Sociedades de Inversión, el cual no excederá el límite máximo establecido en el primer párrafo de la presente disposición. A efecto de lo anterior, las Sociedades de Inversión Básicas de Pensiones y las Sociedades de Inversión Básicas 1 utilizarán el parámetro de Valor en Riesgo, expresado porcentualmente respecto del valor de los Activos Administrados por la Sociedad de Inversión, que le sea </w:t>
      </w:r>
      <w:r w:rsidRPr="00346315">
        <w:rPr>
          <w:rFonts w:ascii="Verdana" w:hAnsi="Verdana"/>
          <w:bCs/>
          <w:sz w:val="20"/>
        </w:rPr>
        <w:lastRenderedPageBreak/>
        <w:t>proporcionado por la Administradora que las opere, o en su caso por la Sociedad Valuadora que les preste servicios.</w:t>
      </w:r>
    </w:p>
    <w:p w:rsidR="00346315" w:rsidRPr="00346315" w:rsidRDefault="00346315" w:rsidP="00346315">
      <w:pPr>
        <w:jc w:val="both"/>
        <w:rPr>
          <w:rFonts w:ascii="Verdana" w:hAnsi="Verdana"/>
          <w:bCs/>
          <w:sz w:val="20"/>
        </w:rPr>
      </w:pPr>
      <w:r w:rsidRPr="00346315">
        <w:rPr>
          <w:rFonts w:ascii="Verdana" w:hAnsi="Verdana"/>
          <w:bCs/>
          <w:sz w:val="20"/>
        </w:rPr>
        <w:t>Al efecto, utilizarán como insumo la matriz de diferencias en los precios, descrita en la sección I del citado Anexo L, la cual deberá cumplir con los criterios que para tal efecto se establezcan en las disposiciones de carácter general en materia financiera de los Sistemas de Ahorro para el Retiro, que proporcionará el Proveedor de Precios que tenga a su vez contratado cada Sociedad de Inversión.</w:t>
      </w:r>
    </w:p>
    <w:p w:rsidR="00346315" w:rsidRPr="00346315" w:rsidRDefault="00346315" w:rsidP="00346315">
      <w:pPr>
        <w:jc w:val="both"/>
        <w:rPr>
          <w:rFonts w:ascii="Verdana" w:hAnsi="Verdana"/>
          <w:bCs/>
          <w:sz w:val="20"/>
        </w:rPr>
      </w:pPr>
      <w:r w:rsidRPr="00346315">
        <w:rPr>
          <w:rFonts w:ascii="Verdana" w:hAnsi="Verdana"/>
          <w:b/>
          <w:bCs/>
          <w:sz w:val="20"/>
        </w:rPr>
        <w:t>VIGÉSIMA TERCERA.-</w:t>
      </w:r>
      <w:r w:rsidRPr="00346315">
        <w:rPr>
          <w:rFonts w:ascii="Verdana" w:hAnsi="Verdana"/>
          <w:bCs/>
          <w:sz w:val="20"/>
        </w:rPr>
        <w:t> Las Sociedades de Inversión deberán mantener un límite máximo del Diferencial del Valor en Riesgo Condicional sobre el Activo Administrado por la Sociedad de Inversión que será determinado por el Comité de Análisis de Riesgo con base en los siguientes parámetros:</w:t>
      </w:r>
    </w:p>
    <w:p w:rsidR="00346315" w:rsidRPr="00346315" w:rsidRDefault="00346315" w:rsidP="00346315">
      <w:pPr>
        <w:jc w:val="both"/>
        <w:rPr>
          <w:rFonts w:ascii="Verdana" w:hAnsi="Verdana"/>
          <w:bCs/>
          <w:sz w:val="20"/>
        </w:rPr>
      </w:pPr>
      <w:r w:rsidRPr="00346315">
        <w:rPr>
          <w:rFonts w:ascii="Verdana" w:hAnsi="Verdana"/>
          <w:bCs/>
          <w:sz w:val="20"/>
        </w:rPr>
        <w:t>I.     Hasta el 0.30% del Activo Administrado por la Sociedad de Inversión, para las Sociedades de Inversión Básicas 1;</w:t>
      </w:r>
    </w:p>
    <w:p w:rsidR="00346315" w:rsidRPr="00346315" w:rsidRDefault="00346315" w:rsidP="00346315">
      <w:pPr>
        <w:jc w:val="both"/>
        <w:rPr>
          <w:rFonts w:ascii="Verdana" w:hAnsi="Verdana"/>
          <w:bCs/>
          <w:sz w:val="20"/>
        </w:rPr>
      </w:pPr>
      <w:r w:rsidRPr="00346315">
        <w:rPr>
          <w:rFonts w:ascii="Verdana" w:hAnsi="Verdana"/>
          <w:bCs/>
          <w:sz w:val="20"/>
        </w:rPr>
        <w:t>II.     Hasta el 0.45% del Activo Administrado por la Sociedad de Inversión, para las Sociedades de Inversión Básicas 2;</w:t>
      </w:r>
    </w:p>
    <w:p w:rsidR="00346315" w:rsidRPr="00346315" w:rsidRDefault="00346315" w:rsidP="00346315">
      <w:pPr>
        <w:jc w:val="both"/>
        <w:rPr>
          <w:rFonts w:ascii="Verdana" w:hAnsi="Verdana"/>
          <w:bCs/>
          <w:sz w:val="20"/>
        </w:rPr>
      </w:pPr>
      <w:r w:rsidRPr="00346315">
        <w:rPr>
          <w:rFonts w:ascii="Verdana" w:hAnsi="Verdana"/>
          <w:bCs/>
          <w:sz w:val="20"/>
        </w:rPr>
        <w:t>III.    Hasta el 0.70% del Activo Administrado por la Sociedad de Inversión, para las Sociedades de Inversión Básicas 3, y</w:t>
      </w:r>
    </w:p>
    <w:p w:rsidR="00346315" w:rsidRPr="00346315" w:rsidRDefault="00346315" w:rsidP="00346315">
      <w:pPr>
        <w:jc w:val="both"/>
        <w:rPr>
          <w:rFonts w:ascii="Verdana" w:hAnsi="Verdana"/>
          <w:bCs/>
          <w:sz w:val="20"/>
        </w:rPr>
      </w:pPr>
      <w:r w:rsidRPr="00346315">
        <w:rPr>
          <w:rFonts w:ascii="Verdana" w:hAnsi="Verdana"/>
          <w:bCs/>
          <w:sz w:val="20"/>
        </w:rPr>
        <w:t>IV.   Hasta el 1.00% del Activo Administrado por la Sociedad de Inversión, para las Sociedades de Inversión Básicas 4.</w:t>
      </w:r>
    </w:p>
    <w:p w:rsidR="00346315" w:rsidRPr="00346315" w:rsidRDefault="00346315" w:rsidP="00346315">
      <w:pPr>
        <w:jc w:val="both"/>
        <w:rPr>
          <w:rFonts w:ascii="Verdana" w:hAnsi="Verdana"/>
          <w:bCs/>
          <w:sz w:val="20"/>
        </w:rPr>
      </w:pPr>
      <w:r w:rsidRPr="00346315">
        <w:rPr>
          <w:rFonts w:ascii="Verdana" w:hAnsi="Verdana"/>
          <w:bCs/>
          <w:sz w:val="20"/>
        </w:rPr>
        <w:t>Para tales efectos el Comité de Análisis de Riesgos determinará y actualizará anualmente, o bien cuando las condiciones de los mercados lo requieran, los límites para cada una de las Sociedades de Inversión referentes al Diferencial del Valor en Riesgo Condicional dentro de los parámetros establecidos en las fracciones anteriores y lo informará a las Administradoras, así como a la Junta de Gobierno de la Comisión en la primera sesión que realice este órgano.</w:t>
      </w:r>
    </w:p>
    <w:p w:rsidR="00346315" w:rsidRPr="00346315" w:rsidRDefault="00346315" w:rsidP="00346315">
      <w:pPr>
        <w:jc w:val="both"/>
        <w:rPr>
          <w:rFonts w:ascii="Verdana" w:hAnsi="Verdana"/>
          <w:bCs/>
          <w:sz w:val="20"/>
        </w:rPr>
      </w:pPr>
      <w:r w:rsidRPr="00346315">
        <w:rPr>
          <w:rFonts w:ascii="Verdana" w:hAnsi="Verdana"/>
          <w:bCs/>
          <w:sz w:val="20"/>
        </w:rPr>
        <w:t>Para el cálculo del Diferencial del Valor en Riesgo Condicional, las Sociedades de Inversión deberán sujetarse a la metodología prevista en las secciones I y III del Anexo L de las presentes disposiciones.</w:t>
      </w:r>
    </w:p>
    <w:p w:rsidR="00346315" w:rsidRPr="00346315" w:rsidRDefault="00346315" w:rsidP="00346315">
      <w:pPr>
        <w:jc w:val="both"/>
        <w:rPr>
          <w:rFonts w:ascii="Verdana" w:hAnsi="Verdana"/>
          <w:bCs/>
          <w:sz w:val="20"/>
        </w:rPr>
      </w:pPr>
      <w:r w:rsidRPr="00346315">
        <w:rPr>
          <w:rFonts w:ascii="Verdana" w:hAnsi="Verdana"/>
          <w:bCs/>
          <w:sz w:val="20"/>
        </w:rPr>
        <w:t>Las Sociedades de Inversión, en su operación, determinarán los límites del Diferencial del Valor en Riesgo Condicional, para los Activos Administrados por las Sociedades de Inversión, los cuales no excederán el límite máximo establecido al efecto por el Comité de Análisis de Riesgos. A efecto de lo anterior, las Sociedades de Inversión utilizarán el parámetro del Diferencial del Valor en Riesgo Condicional, expresado porcentualmente respecto al valor de los Activos Administrados por la Sociedad de Inversión, que le sea proporcionado por la Administradora que las opere, o en su caso por la Sociedad Valuadora que les preste servicios.</w:t>
      </w:r>
    </w:p>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lastRenderedPageBreak/>
        <w:t>Al efecto, utilizarán como insumo la matriz de diferencias en los precios, descritas en la sección I del citado Anexo L, la cual deberá cumplir con los criterios que para tal efecto se establezcan en las disposiciones de carácter general en materia financiera de los Sistemas de Ahorro para el Retiro, que proporcionará el Proveedor de Precios que tenga a su vez contratado cada Sociedad de Inversión para el cómputo del Valor en Riesgo Condicional y posteriormente calcularán el Diferencial del Valor en Riesgo Condicional.</w:t>
      </w:r>
    </w:p>
    <w:p w:rsidR="00346315" w:rsidRPr="00346315" w:rsidRDefault="00346315" w:rsidP="00346315">
      <w:pPr>
        <w:jc w:val="both"/>
        <w:rPr>
          <w:rFonts w:ascii="Verdana" w:hAnsi="Verdana"/>
          <w:bCs/>
          <w:sz w:val="20"/>
        </w:rPr>
      </w:pPr>
      <w:r w:rsidRPr="00346315">
        <w:rPr>
          <w:rFonts w:ascii="Verdana" w:hAnsi="Verdana"/>
          <w:b/>
          <w:bCs/>
          <w:sz w:val="20"/>
        </w:rPr>
        <w:t>VIGÉSIMA CUARTA.-</w:t>
      </w:r>
      <w:r w:rsidRPr="00346315">
        <w:rPr>
          <w:rFonts w:ascii="Verdana" w:hAnsi="Verdana"/>
          <w:bCs/>
          <w:sz w:val="20"/>
        </w:rPr>
        <w:t> Las Sociedades de Inversión Básicas deberán observar los siguientes criterios de diversificación:</w:t>
      </w:r>
    </w:p>
    <w:p w:rsidR="00346315" w:rsidRPr="00346315" w:rsidRDefault="00346315" w:rsidP="00346315">
      <w:pPr>
        <w:jc w:val="both"/>
        <w:rPr>
          <w:rFonts w:ascii="Verdana" w:hAnsi="Verdana"/>
          <w:bCs/>
          <w:sz w:val="20"/>
        </w:rPr>
      </w:pPr>
      <w:r w:rsidRPr="00346315">
        <w:rPr>
          <w:rFonts w:ascii="Verdana" w:hAnsi="Verdana"/>
          <w:bCs/>
          <w:sz w:val="20"/>
        </w:rPr>
        <w:t xml:space="preserve">I.     La inversión en Instrumentos de Deuda y Valores Extranjeros de Deuda emitidos, avalados o aceptados por un mismo emisor no podrá exceder del 5% del Activo Total de la Sociedad de Inversión y deberán ostentar las calificaciones previstas en los Anexos A, B, C, D, F, G, H, J o K de las presentes disposiciones, según corresponda con la nacionalidad del emisor y la Divisa en que se denomine. La inversión en Instrumentos de Deuda emitidos, avalados o aceptados por un mismo emisor de los referidos en la disposición Segunda fracción </w:t>
      </w:r>
      <w:proofErr w:type="spellStart"/>
      <w:r w:rsidRPr="00346315">
        <w:rPr>
          <w:rFonts w:ascii="Verdana" w:hAnsi="Verdana"/>
          <w:bCs/>
          <w:sz w:val="20"/>
        </w:rPr>
        <w:t>XXXa</w:t>
      </w:r>
      <w:proofErr w:type="spellEnd"/>
      <w:r w:rsidRPr="00346315">
        <w:rPr>
          <w:rFonts w:ascii="Verdana" w:hAnsi="Verdana"/>
          <w:bCs/>
          <w:sz w:val="20"/>
        </w:rPr>
        <w:t xml:space="preserve"> no podrá exceder del 10% del Activo Total de la Sociedad de Inversión y deberán ostentar las calificaciones previstas en los Anexos A, B, C, D, F, G o H de las presentes disposiciones, según corresponda.</w:t>
      </w:r>
    </w:p>
    <w:p w:rsidR="00346315" w:rsidRPr="00346315" w:rsidRDefault="00346315" w:rsidP="00346315">
      <w:pPr>
        <w:jc w:val="both"/>
        <w:rPr>
          <w:rFonts w:ascii="Verdana" w:hAnsi="Verdana"/>
          <w:bCs/>
          <w:sz w:val="20"/>
        </w:rPr>
      </w:pPr>
      <w:r w:rsidRPr="00346315">
        <w:rPr>
          <w:rFonts w:ascii="Verdana" w:hAnsi="Verdana"/>
          <w:bCs/>
          <w:sz w:val="20"/>
        </w:rPr>
        <w:t>       La inversión en Instrumentos de Deuda a que se refieren los incisos c), d) y e) de la fracción XLIX de la disposición Segunda de las presentes disposiciones, emitidos, avalados o aceptados por un mismo emisor no podrá exceder del 1% del Activo Total de la Sociedad de Inversión y deberán ostentar las calificaciones previstas en los Anexos E o I de las presentes disposiciones, según corresponda.</w:t>
      </w:r>
    </w:p>
    <w:p w:rsidR="00346315" w:rsidRPr="00346315" w:rsidRDefault="00346315" w:rsidP="00346315">
      <w:pPr>
        <w:jc w:val="both"/>
        <w:rPr>
          <w:rFonts w:ascii="Verdana" w:hAnsi="Verdana"/>
          <w:bCs/>
          <w:sz w:val="20"/>
        </w:rPr>
      </w:pPr>
      <w:r w:rsidRPr="00346315">
        <w:rPr>
          <w:rFonts w:ascii="Verdana" w:hAnsi="Verdana"/>
          <w:bCs/>
          <w:sz w:val="20"/>
        </w:rPr>
        <w:t>       La inversión en Instrumentos de Deuda Híbridos emitidos, avalados o aceptados por un mismo emisor no podrá exceder del 2% del Activo Total de la Sociedad de Inversión y deberán ostentar las calificaciones previstas en el Anexo D o H de las presentes disposiciones, según corresponda.</w:t>
      </w:r>
    </w:p>
    <w:p w:rsidR="00346315" w:rsidRPr="00346315" w:rsidRDefault="00346315" w:rsidP="00346315">
      <w:pPr>
        <w:jc w:val="both"/>
        <w:rPr>
          <w:rFonts w:ascii="Verdana" w:hAnsi="Verdana"/>
          <w:bCs/>
          <w:sz w:val="20"/>
        </w:rPr>
      </w:pPr>
      <w:r w:rsidRPr="00346315">
        <w:rPr>
          <w:rFonts w:ascii="Verdana" w:hAnsi="Verdana"/>
          <w:bCs/>
          <w:sz w:val="20"/>
        </w:rPr>
        <w:t>       Dentro de la inversión a que se refiere esta fracción se computarán las Estructuras Vinculadas a Subyacentes o en su caso los emisores de éstas o bien los emisores y las Contrapartes de los componentes de dichas estructuras referidas en la disposición Segunda fracción XXXIV incisos b) y c).</w:t>
      </w:r>
    </w:p>
    <w:p w:rsidR="00346315" w:rsidRPr="00346315" w:rsidRDefault="00346315" w:rsidP="00346315">
      <w:pPr>
        <w:jc w:val="both"/>
        <w:rPr>
          <w:rFonts w:ascii="Verdana" w:hAnsi="Verdana"/>
          <w:bCs/>
          <w:sz w:val="20"/>
        </w:rPr>
      </w:pPr>
      <w:r w:rsidRPr="00346315">
        <w:rPr>
          <w:rFonts w:ascii="Verdana" w:hAnsi="Verdana"/>
          <w:bCs/>
          <w:sz w:val="20"/>
        </w:rPr>
        <w:t>       Dentro de la inversión a que se refiere esta fracción, no se considerará la inversión indirecta en Componentes de Renta Variable o Mercancías que realicen las Sociedades de Inversión Básicas, a través de notas, Estructuras Vinculadas a Subyacentes u otros Vehículos autorizados de deuda que los pudieran contener, de conformidad con el régimen de inversión de la Sociedad de Inversión Básica de que se trate.</w:t>
      </w:r>
    </w:p>
    <w:p w:rsidR="00346315" w:rsidRPr="00346315" w:rsidRDefault="00346315" w:rsidP="00346315">
      <w:pPr>
        <w:jc w:val="both"/>
        <w:rPr>
          <w:rFonts w:ascii="Verdana" w:hAnsi="Verdana"/>
          <w:bCs/>
          <w:sz w:val="20"/>
        </w:rPr>
      </w:pPr>
      <w:r w:rsidRPr="00346315">
        <w:rPr>
          <w:rFonts w:ascii="Verdana" w:hAnsi="Verdana"/>
          <w:bCs/>
          <w:sz w:val="20"/>
        </w:rPr>
        <w:t>       Las inversiones de una Sociedad de Inversión Básica en Instrumentos de Deuda y/o Valores Extranjeros de Deuda emitidos por un mismo emisor no podrán exceder el porcentaje del Activo Total de la Sociedad de Inversión previsto en la presente fracción, debiéndose considerar, en su caso, si cuentan con un aval reconocido.</w:t>
      </w:r>
    </w:p>
    <w:p w:rsidR="00346315" w:rsidRPr="00346315" w:rsidRDefault="00346315" w:rsidP="00346315">
      <w:pPr>
        <w:jc w:val="both"/>
        <w:rPr>
          <w:rFonts w:ascii="Verdana" w:hAnsi="Verdana"/>
          <w:bCs/>
          <w:sz w:val="20"/>
        </w:rPr>
      </w:pPr>
      <w:r w:rsidRPr="00346315">
        <w:rPr>
          <w:rFonts w:ascii="Verdana" w:hAnsi="Verdana"/>
          <w:bCs/>
          <w:sz w:val="20"/>
        </w:rPr>
        <w:lastRenderedPageBreak/>
        <w:t>       Dentro del límite a que se refiere esta fracción deberá computarse el Valor Compensado de las operaciones con Derivados realizadas con una misma Contraparte, directamente o en su caso a través de Estructuras Vinculadas a Subyacentes, siempre que la Sociedad de Inversión tenga el carácter de acreedor respecto de dicho Valor Compensado.</w:t>
      </w:r>
    </w:p>
    <w:p w:rsidR="00346315" w:rsidRPr="00346315" w:rsidRDefault="00346315" w:rsidP="00346315">
      <w:pPr>
        <w:jc w:val="both"/>
        <w:rPr>
          <w:rFonts w:ascii="Verdana" w:hAnsi="Verdana"/>
          <w:bCs/>
          <w:sz w:val="20"/>
        </w:rPr>
      </w:pPr>
      <w:r w:rsidRPr="00346315">
        <w:rPr>
          <w:rFonts w:ascii="Verdana" w:hAnsi="Verdana"/>
          <w:bCs/>
          <w:sz w:val="20"/>
        </w:rPr>
        <w:t>       Los Derivados cuyo valor subyacente esté conformado por algún Instrumento de Deuda o Valor Extranjero de Deuda se considerarán para efectos del presente límite, debiendo las calificaciones de las Contrapartes satisfacer los requisitos previstos en las presentes disposiciones. Asimismo, deberán computarse dentro del límite a que se refiere esta fracción las operaciones de reporto y préstamo de valores, neto de las garantías que al efecto reciban. Los Instrumentos que constituyan el objeto directo de las operaciones de reporto y préstamo de valores que realice la Sociedad de Inversión Básica de que se trate, formarán parte de las garantías a que se refiere el presente párrafo. También quedarán comprendidos dentro del límite a que se refiere esta fracción los depósitos bancarios.</w:t>
      </w:r>
    </w:p>
    <w:p w:rsidR="00346315" w:rsidRPr="00346315" w:rsidRDefault="00346315" w:rsidP="00346315">
      <w:pPr>
        <w:jc w:val="both"/>
        <w:rPr>
          <w:rFonts w:ascii="Verdana" w:hAnsi="Verdana"/>
          <w:bCs/>
          <w:sz w:val="20"/>
        </w:rPr>
      </w:pPr>
      <w:r w:rsidRPr="00346315">
        <w:rPr>
          <w:rFonts w:ascii="Verdana" w:hAnsi="Verdana"/>
          <w:bCs/>
          <w:sz w:val="20"/>
        </w:rPr>
        <w:t xml:space="preserve">       Tratándose de Certificados Bursátiles fiduciarios o Certificados de Participación, el límite a que se refiere esta fracción se calculará considerando como emisor al fideicomitente y para los Vehículos de inversión de deuda se calculará considerando al emisor de cada Instrumento de Deuda o Valor Extranjero de Deuda que conforme el Vehículo. En el caso que el fideicomitente sea un Banco, una Contraparte, una casa de bolsa, una Entidad Financiera o una sociedad anónima y los bienes afectados en fideicomiso sean derechos de cobro, directa o indirectamente, a cargo de una o varias personas morales, el límite a que se refiere esta fracción se calcularán en la misma proporción en que participen en los bienes objeto del fideicomiso; con excepción de los Instrumentos </w:t>
      </w:r>
      <w:proofErr w:type="spellStart"/>
      <w:r w:rsidRPr="00346315">
        <w:rPr>
          <w:rFonts w:ascii="Verdana" w:hAnsi="Verdana"/>
          <w:bCs/>
          <w:sz w:val="20"/>
        </w:rPr>
        <w:t>Bursatilizados</w:t>
      </w:r>
      <w:proofErr w:type="spellEnd"/>
      <w:r w:rsidRPr="00346315">
        <w:rPr>
          <w:rFonts w:ascii="Verdana" w:hAnsi="Verdana"/>
          <w:bCs/>
          <w:sz w:val="20"/>
        </w:rPr>
        <w:t>.</w:t>
      </w:r>
    </w:p>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 xml:space="preserve">       Sin perjuicio de los demás límites que les resulten aplicables a los Instrumentos de Deuda y Valores Extranjeros de Deuda avalados, el límite a que se refiere esta fracción se calculará para los avalistas únicamente por el monto avalado. El monto del aval no deberá acumularse al monto emitido para efectos del cálculo del Activo Total de la Sociedad de Inversión. Si el aval no satisface los criterios referentes a las calificaciones crediticias de las presentes disposiciones, o bien, el Instrumento de Deuda o Valor Extranjero de Deuda cuenta con un garante o algún otro enaltecedor de crédito </w:t>
      </w:r>
      <w:proofErr w:type="spellStart"/>
      <w:r w:rsidRPr="00346315">
        <w:rPr>
          <w:rFonts w:ascii="Verdana" w:hAnsi="Verdana"/>
          <w:bCs/>
          <w:sz w:val="20"/>
        </w:rPr>
        <w:t>noconsiderado</w:t>
      </w:r>
      <w:proofErr w:type="spellEnd"/>
      <w:r w:rsidRPr="00346315">
        <w:rPr>
          <w:rFonts w:ascii="Verdana" w:hAnsi="Verdana"/>
          <w:bCs/>
          <w:sz w:val="20"/>
        </w:rPr>
        <w:t xml:space="preserve"> en estas disposiciones, se tomará en cuenta sólo la calificación del fideicomitente o personas morales que apliquen de acuerdo a lo señalado en el párrafo anterior. Las emisiones con aval computarán en el límite previsto en esta fracción de conformidad con la calificación crediticia de la emisión.</w:t>
      </w:r>
    </w:p>
    <w:p w:rsidR="00346315" w:rsidRPr="00346315" w:rsidRDefault="00346315" w:rsidP="00346315">
      <w:pPr>
        <w:jc w:val="both"/>
        <w:rPr>
          <w:rFonts w:ascii="Verdana" w:hAnsi="Verdana"/>
          <w:bCs/>
          <w:sz w:val="20"/>
        </w:rPr>
      </w:pPr>
      <w:r w:rsidRPr="00346315">
        <w:rPr>
          <w:rFonts w:ascii="Verdana" w:hAnsi="Verdana"/>
          <w:bCs/>
          <w:sz w:val="20"/>
        </w:rPr>
        <w:t xml:space="preserve">       Asimismo, las Sociedades de Inversión Básicas podrán considerar que un Instrumento </w:t>
      </w:r>
      <w:proofErr w:type="spellStart"/>
      <w:r w:rsidRPr="00346315">
        <w:rPr>
          <w:rFonts w:ascii="Verdana" w:hAnsi="Verdana"/>
          <w:bCs/>
          <w:sz w:val="20"/>
        </w:rPr>
        <w:t>Bursatilizado</w:t>
      </w:r>
      <w:proofErr w:type="spellEnd"/>
      <w:r w:rsidRPr="00346315">
        <w:rPr>
          <w:rFonts w:ascii="Verdana" w:hAnsi="Verdana"/>
          <w:bCs/>
          <w:sz w:val="20"/>
        </w:rPr>
        <w:t xml:space="preserve"> es colocado por un emisor independiente, cuando dichos instrumentos cumplan con los requisitos establecidos en las disposiciones de carácter general en materia financiera de los Sistemas de Ahorro para el Retiro. En este caso cada Instrumento </w:t>
      </w:r>
      <w:proofErr w:type="spellStart"/>
      <w:r w:rsidRPr="00346315">
        <w:rPr>
          <w:rFonts w:ascii="Verdana" w:hAnsi="Verdana"/>
          <w:bCs/>
          <w:sz w:val="20"/>
        </w:rPr>
        <w:t>Bursatilizado</w:t>
      </w:r>
      <w:proofErr w:type="spellEnd"/>
      <w:r w:rsidRPr="00346315">
        <w:rPr>
          <w:rFonts w:ascii="Verdana" w:hAnsi="Verdana"/>
          <w:bCs/>
          <w:sz w:val="20"/>
        </w:rPr>
        <w:t xml:space="preserve"> quedará sujeto al límite a que se refiere la presente fracción. En todo caso, la suma de todos los Instrumentos </w:t>
      </w:r>
      <w:proofErr w:type="spellStart"/>
      <w:r w:rsidRPr="00346315">
        <w:rPr>
          <w:rFonts w:ascii="Verdana" w:hAnsi="Verdana"/>
          <w:bCs/>
          <w:sz w:val="20"/>
        </w:rPr>
        <w:t>Bursatilizados</w:t>
      </w:r>
      <w:proofErr w:type="spellEnd"/>
      <w:r w:rsidRPr="00346315">
        <w:rPr>
          <w:rFonts w:ascii="Verdana" w:hAnsi="Verdana"/>
          <w:bCs/>
          <w:sz w:val="20"/>
        </w:rPr>
        <w:t xml:space="preserve">, que cumplan </w:t>
      </w:r>
      <w:r w:rsidRPr="00346315">
        <w:rPr>
          <w:rFonts w:ascii="Verdana" w:hAnsi="Verdana"/>
          <w:bCs/>
          <w:sz w:val="20"/>
        </w:rPr>
        <w:lastRenderedPageBreak/>
        <w:t>con lo establecido anteriormente, estará sujeta al límite establecido en la disposición Décima Octava anterior.</w:t>
      </w:r>
    </w:p>
    <w:p w:rsidR="00346315" w:rsidRPr="00346315" w:rsidRDefault="00346315" w:rsidP="00346315">
      <w:pPr>
        <w:jc w:val="both"/>
        <w:rPr>
          <w:rFonts w:ascii="Verdana" w:hAnsi="Verdana"/>
          <w:bCs/>
          <w:sz w:val="20"/>
        </w:rPr>
      </w:pPr>
      <w:r w:rsidRPr="00346315">
        <w:rPr>
          <w:rFonts w:ascii="Verdana" w:hAnsi="Verdana"/>
          <w:bCs/>
          <w:sz w:val="20"/>
        </w:rPr>
        <w:t>       Para efectos de computar el valor de las inversiones realizadas con cada Contraparte o emisor de acuerdo con la presente fracción, se estará a lo establecido en las disposiciones de carácter general en materia financiera de los Sistemas de Ahorro para el Retiro emitidas por la Comisión.</w:t>
      </w:r>
    </w:p>
    <w:p w:rsidR="00346315" w:rsidRPr="00346315" w:rsidRDefault="00346315" w:rsidP="00346315">
      <w:pPr>
        <w:jc w:val="both"/>
        <w:rPr>
          <w:rFonts w:ascii="Verdana" w:hAnsi="Verdana"/>
          <w:bCs/>
          <w:sz w:val="20"/>
        </w:rPr>
      </w:pPr>
      <w:r w:rsidRPr="00346315">
        <w:rPr>
          <w:rFonts w:ascii="Verdana" w:hAnsi="Verdana"/>
          <w:bCs/>
          <w:sz w:val="20"/>
        </w:rPr>
        <w:t xml:space="preserve">II.     La inversión en acciones de Emisores Nacionales listadas en una Bolsa de Valores autorizada para organizarse y operar en términos de la Ley del Mercado de Valores a que se refieren los incisos a) y b) de la fracción LII de la disposición Segunda anterior que pertenezcan a los índices nacionales previstos en las presentes disposiciones, podrá ser un porcentaje del límite máximo a que se refiere la fracción I inciso e) de la disposición Décima Sexta anterior, que será equivalente a la suma del valor del ponderador asignado a cada acción en el índice IPC </w:t>
      </w:r>
      <w:proofErr w:type="spellStart"/>
      <w:r w:rsidRPr="00346315">
        <w:rPr>
          <w:rFonts w:ascii="Verdana" w:hAnsi="Verdana"/>
          <w:bCs/>
          <w:sz w:val="20"/>
        </w:rPr>
        <w:t>CompMX</w:t>
      </w:r>
      <w:proofErr w:type="spellEnd"/>
      <w:r w:rsidRPr="00346315">
        <w:rPr>
          <w:rFonts w:ascii="Verdana" w:hAnsi="Verdana"/>
          <w:bCs/>
          <w:sz w:val="20"/>
        </w:rPr>
        <w:t xml:space="preserve">, o en su caso el índice más representativo de la Bolsa de Valores autorizada para organizarse y operar en términos de la Ley del Mercado de Valores que determine el Comité de Análisis de Riesgos, así como el rango de modificación por efectos de </w:t>
      </w:r>
      <w:proofErr w:type="spellStart"/>
      <w:r w:rsidRPr="00346315">
        <w:rPr>
          <w:rFonts w:ascii="Verdana" w:hAnsi="Verdana"/>
          <w:bCs/>
          <w:sz w:val="20"/>
        </w:rPr>
        <w:t>bursatilidad</w:t>
      </w:r>
      <w:proofErr w:type="spellEnd"/>
      <w:r w:rsidRPr="00346315">
        <w:rPr>
          <w:rFonts w:ascii="Verdana" w:hAnsi="Verdana"/>
          <w:bCs/>
          <w:sz w:val="20"/>
        </w:rPr>
        <w:t xml:space="preserve"> que determine el Comité de Análisis de Riesgos. En el caso de las acciones de Emisores Nacionales listadas en una Bolsa de Valores autorizada para organizarse y operar en términos de la Ley del Mercado de Valores que no formen parte del índice IPC </w:t>
      </w:r>
      <w:proofErr w:type="spellStart"/>
      <w:r w:rsidRPr="00346315">
        <w:rPr>
          <w:rFonts w:ascii="Verdana" w:hAnsi="Verdana"/>
          <w:bCs/>
          <w:sz w:val="20"/>
        </w:rPr>
        <w:t>CompMX</w:t>
      </w:r>
      <w:proofErr w:type="spellEnd"/>
      <w:r w:rsidRPr="00346315">
        <w:rPr>
          <w:rFonts w:ascii="Verdana" w:hAnsi="Verdana"/>
          <w:bCs/>
          <w:sz w:val="20"/>
        </w:rPr>
        <w:t xml:space="preserve"> o aquél que determine el Comité de Análisis de Riesgos, se podrá invertir hasta el 4% del límite a que se refiere la fracción I inciso e) de la disposición Décima Sexta anterior. Para el caso de las FIBRAS y los Vehículos de Inversión Inmobiliaria dicho límite no podrá exceder del 2% del Activo Total Administrado por la Sociedad de Inversión, y en su caso del límite que determine el Comité de Análisis de Riesgos.</w:t>
      </w:r>
    </w:p>
    <w:p w:rsidR="00346315" w:rsidRPr="00346315" w:rsidRDefault="00346315" w:rsidP="00346315">
      <w:pPr>
        <w:jc w:val="both"/>
        <w:rPr>
          <w:rFonts w:ascii="Verdana" w:hAnsi="Verdana"/>
          <w:bCs/>
          <w:sz w:val="20"/>
        </w:rPr>
      </w:pPr>
      <w:r w:rsidRPr="00346315">
        <w:rPr>
          <w:rFonts w:ascii="Verdana" w:hAnsi="Verdana"/>
          <w:bCs/>
          <w:sz w:val="20"/>
        </w:rPr>
        <w:t>       La inversión en Valores Extranjeros de Renta Variable adquiridos a través de Mandatarios, podrá ser hasta el porcentaje del Activo Total de la Sociedad de Inversión que determine el Comité de Análisis de Riesgos, con base en el desarrollo de los mercados financieros de que se trate, porcentaje que no podrá exceder de los límites máximos previstos en los incisos d) y e) de la fracción I de la disposición Décima Sexta anterior.</w:t>
      </w:r>
    </w:p>
    <w:p w:rsidR="00346315" w:rsidRPr="00346315" w:rsidRDefault="00346315" w:rsidP="00346315">
      <w:pPr>
        <w:jc w:val="both"/>
        <w:rPr>
          <w:rFonts w:ascii="Verdana" w:hAnsi="Verdana"/>
          <w:bCs/>
          <w:sz w:val="20"/>
        </w:rPr>
      </w:pPr>
      <w:r w:rsidRPr="00346315">
        <w:rPr>
          <w:rFonts w:ascii="Verdana" w:hAnsi="Verdana"/>
          <w:bCs/>
          <w:sz w:val="20"/>
        </w:rPr>
        <w:t>III.    La inversión en Activos Objeto de Inversión emitidos, avalados o aceptados por Sociedades Relacionadas Entre Sí, podrá ser hasta del 15% del Activo Total de la Sociedad de Inversión.</w:t>
      </w:r>
    </w:p>
    <w:p w:rsidR="00346315" w:rsidRPr="00346315" w:rsidRDefault="00346315" w:rsidP="00346315">
      <w:pPr>
        <w:jc w:val="both"/>
        <w:rPr>
          <w:rFonts w:ascii="Verdana" w:hAnsi="Verdana"/>
          <w:bCs/>
          <w:sz w:val="20"/>
        </w:rPr>
      </w:pPr>
      <w:r w:rsidRPr="00346315">
        <w:rPr>
          <w:rFonts w:ascii="Verdana" w:hAnsi="Verdana"/>
          <w:bCs/>
          <w:sz w:val="20"/>
        </w:rPr>
        <w:t xml:space="preserve">IV.   La inversión en Instrumentos de Deuda, Valores Extranjeros de Deuda, Instrumentos </w:t>
      </w:r>
      <w:proofErr w:type="spellStart"/>
      <w:r w:rsidRPr="00346315">
        <w:rPr>
          <w:rFonts w:ascii="Verdana" w:hAnsi="Verdana"/>
          <w:bCs/>
          <w:sz w:val="20"/>
        </w:rPr>
        <w:t>Bursatilizados</w:t>
      </w:r>
      <w:proofErr w:type="spellEnd"/>
      <w:r w:rsidRPr="00346315">
        <w:rPr>
          <w:rFonts w:ascii="Verdana" w:hAnsi="Verdana"/>
          <w:bCs/>
          <w:sz w:val="20"/>
        </w:rPr>
        <w:t xml:space="preserve">, Estructuras Vinculadas a Subyacentes, y FIBRAS, en su caso, pertenecientes a una misma emisión, podrá ser hasta del 35% del total del valor de la emisión respectiva, en conjunto con lo que tengan invertido las demás Sociedades de Inversión que opere la Administradora. Las Administradoras deberán solicitar a los Mandatarios con la periodicidad que determine la Comisión les envíen el reporte de las inversiones en los activos referidos en el presente párrafo que hayan realizado durante el periodo inmediato anterior; en el evento de que la suma de las inversiones realizadas por los Mandatarios y aquellas efectuadas por todas las Sociedades de Inversión operadas por una misma Administradora excedan el límite </w:t>
      </w:r>
      <w:r w:rsidRPr="00346315">
        <w:rPr>
          <w:rFonts w:ascii="Verdana" w:hAnsi="Verdana"/>
          <w:bCs/>
          <w:sz w:val="20"/>
        </w:rPr>
        <w:lastRenderedPageBreak/>
        <w:t>previsto en la presente fracción; la Sociedad de Inversión deberá sujetarse a lo dispuesto en las disposiciones de carácter general en materia financiera de los Sistemas de Ahorro para el Retiro en lo relativo a la recomposición de cartera de las Sociedades de Inversión, expedidas por la Comisión.</w:t>
      </w:r>
    </w:p>
    <w:p w:rsidR="00346315" w:rsidRPr="00346315" w:rsidRDefault="00346315" w:rsidP="00346315">
      <w:pPr>
        <w:jc w:val="both"/>
        <w:rPr>
          <w:rFonts w:ascii="Verdana" w:hAnsi="Verdana"/>
          <w:bCs/>
          <w:sz w:val="20"/>
        </w:rPr>
      </w:pPr>
      <w:r w:rsidRPr="00346315">
        <w:rPr>
          <w:rFonts w:ascii="Verdana" w:hAnsi="Verdana"/>
          <w:bCs/>
          <w:sz w:val="20"/>
        </w:rPr>
        <w:t>       Las inversiones realizadas en Vehículos deberán observar lo dispuesto en el párrafo anterior.</w:t>
      </w:r>
    </w:p>
    <w:p w:rsidR="00346315" w:rsidRPr="00346315" w:rsidRDefault="00346315" w:rsidP="00346315">
      <w:pPr>
        <w:jc w:val="both"/>
        <w:rPr>
          <w:rFonts w:ascii="Verdana" w:hAnsi="Verdana"/>
          <w:bCs/>
          <w:sz w:val="20"/>
        </w:rPr>
      </w:pPr>
      <w:r w:rsidRPr="00346315">
        <w:rPr>
          <w:rFonts w:ascii="Verdana" w:hAnsi="Verdana"/>
          <w:bCs/>
          <w:sz w:val="20"/>
        </w:rPr>
        <w:t>       Para la inversión en Instrumentos Estructurados, el conjunto de Sociedades de Inversión Básicas operadas por una misma Administradora deberán sujetarse a lo siguiente:</w:t>
      </w:r>
    </w:p>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a)   Podrán adquirir directamente hasta el 100% de una misma emisión;</w:t>
      </w:r>
    </w:p>
    <w:p w:rsidR="00346315" w:rsidRPr="00346315" w:rsidRDefault="00346315" w:rsidP="00346315">
      <w:pPr>
        <w:jc w:val="both"/>
        <w:rPr>
          <w:rFonts w:ascii="Verdana" w:hAnsi="Verdana"/>
          <w:bCs/>
          <w:sz w:val="20"/>
        </w:rPr>
      </w:pPr>
      <w:r w:rsidRPr="00346315">
        <w:rPr>
          <w:rFonts w:ascii="Verdana" w:hAnsi="Verdana"/>
          <w:bCs/>
          <w:sz w:val="20"/>
        </w:rPr>
        <w:t xml:space="preserve">b)   Podrán invertir hasta el 50% del valor de cada proyecto financiado, cuando el monto de la emisión del Instrumento Estructurado sea mayor o igual al umbral establecido en las disposiciones de carácter general en materia financiera de los sistemas de ahorro para el retiro, siempre que el </w:t>
      </w:r>
      <w:proofErr w:type="spellStart"/>
      <w:r w:rsidRPr="00346315">
        <w:rPr>
          <w:rFonts w:ascii="Verdana" w:hAnsi="Verdana"/>
          <w:bCs/>
          <w:sz w:val="20"/>
        </w:rPr>
        <w:t>promovente</w:t>
      </w:r>
      <w:proofErr w:type="spellEnd"/>
      <w:r w:rsidRPr="00346315">
        <w:rPr>
          <w:rFonts w:ascii="Verdana" w:hAnsi="Verdana"/>
          <w:bCs/>
          <w:sz w:val="20"/>
        </w:rPr>
        <w:t>, el administrador u otros inversionistas calificados, incluyendo las Sociedades de Inversión operadas por otras Administradoras, solos o en su conjunto, inviertan el 50% o más del valor de cada proyecto financiado;</w:t>
      </w:r>
    </w:p>
    <w:p w:rsidR="00346315" w:rsidRPr="00346315" w:rsidRDefault="00346315" w:rsidP="00346315">
      <w:pPr>
        <w:jc w:val="both"/>
        <w:rPr>
          <w:rFonts w:ascii="Verdana" w:hAnsi="Verdana"/>
          <w:bCs/>
          <w:sz w:val="20"/>
        </w:rPr>
      </w:pPr>
      <w:r w:rsidRPr="00346315">
        <w:rPr>
          <w:rFonts w:ascii="Verdana" w:hAnsi="Verdana"/>
          <w:bCs/>
          <w:sz w:val="20"/>
        </w:rPr>
        <w:t>c)   Podrán invertir hasta el 80% del valor de cada proyecto financiado, cuando el monto de la emisión del Instrumento Estructurado sea menor al umbral establecido en las disposiciones de carácter general en materia financiera de los sistemas de ahorro para el retiro, siempre que el </w:t>
      </w:r>
      <w:proofErr w:type="spellStart"/>
      <w:r w:rsidRPr="00346315">
        <w:rPr>
          <w:rFonts w:ascii="Verdana" w:hAnsi="Verdana"/>
          <w:bCs/>
          <w:sz w:val="20"/>
        </w:rPr>
        <w:t>promovente</w:t>
      </w:r>
      <w:proofErr w:type="spellEnd"/>
      <w:r w:rsidRPr="00346315">
        <w:rPr>
          <w:rFonts w:ascii="Verdana" w:hAnsi="Verdana"/>
          <w:bCs/>
          <w:sz w:val="20"/>
        </w:rPr>
        <w:t>, el administrador u otros inversionistas calificados, incluyendo las Sociedades de Inversión operadas por otras Administradoras, solos o en su conjunto, inviertan el 20% o más del valor de cada proyecto financiado.</w:t>
      </w:r>
    </w:p>
    <w:p w:rsidR="00346315" w:rsidRPr="00346315" w:rsidRDefault="00346315" w:rsidP="00346315">
      <w:pPr>
        <w:jc w:val="both"/>
        <w:rPr>
          <w:rFonts w:ascii="Verdana" w:hAnsi="Verdana"/>
          <w:bCs/>
          <w:sz w:val="20"/>
        </w:rPr>
      </w:pPr>
      <w:r w:rsidRPr="00346315">
        <w:rPr>
          <w:rFonts w:ascii="Verdana" w:hAnsi="Verdana"/>
          <w:bCs/>
          <w:sz w:val="20"/>
        </w:rPr>
        <w:t xml:space="preserve">En todo caso, la inversión del </w:t>
      </w:r>
      <w:proofErr w:type="spellStart"/>
      <w:r w:rsidRPr="00346315">
        <w:rPr>
          <w:rFonts w:ascii="Verdana" w:hAnsi="Verdana"/>
          <w:bCs/>
          <w:sz w:val="20"/>
        </w:rPr>
        <w:t>promovente</w:t>
      </w:r>
      <w:proofErr w:type="spellEnd"/>
      <w:r w:rsidRPr="00346315">
        <w:rPr>
          <w:rFonts w:ascii="Verdana" w:hAnsi="Verdana"/>
          <w:bCs/>
          <w:sz w:val="20"/>
        </w:rPr>
        <w:t>, el administrador u otros inversionistas calificados, podrá ser a través del Instrumento Estructurado.</w:t>
      </w:r>
    </w:p>
    <w:p w:rsidR="00346315" w:rsidRPr="00346315" w:rsidRDefault="00346315" w:rsidP="00346315">
      <w:pPr>
        <w:jc w:val="both"/>
        <w:rPr>
          <w:rFonts w:ascii="Verdana" w:hAnsi="Verdana"/>
          <w:bCs/>
          <w:sz w:val="20"/>
        </w:rPr>
      </w:pPr>
      <w:r w:rsidRPr="00346315">
        <w:rPr>
          <w:rFonts w:ascii="Verdana" w:hAnsi="Verdana"/>
          <w:bCs/>
          <w:sz w:val="20"/>
        </w:rPr>
        <w:t xml:space="preserve">Las Sociedades de Inversión o la Administradora que las opere se apegarán a lo previsto en las disposiciones de carácter general en materia financiera de los sistemas de ahorro para el retiro, cuando tengan nexos patrimoniales con las sociedades que realicen los proyectos promovidos, sus accionistas o los </w:t>
      </w:r>
      <w:proofErr w:type="spellStart"/>
      <w:r w:rsidRPr="00346315">
        <w:rPr>
          <w:rFonts w:ascii="Verdana" w:hAnsi="Verdana"/>
          <w:bCs/>
          <w:sz w:val="20"/>
        </w:rPr>
        <w:t>co</w:t>
      </w:r>
      <w:proofErr w:type="spellEnd"/>
      <w:r w:rsidRPr="00346315">
        <w:rPr>
          <w:rFonts w:ascii="Verdana" w:hAnsi="Verdana"/>
          <w:bCs/>
          <w:sz w:val="20"/>
        </w:rPr>
        <w:t xml:space="preserve">-inversionistas. Sin menoscabo de lo anterior, tratándose de la inversión en Instrumentos Estructurados adquiridos a través de Mandatarios, el Comité de Análisis de Riesgos determinará los límites de inversión máximos aplicables, sin que en forma alguna la suma de </w:t>
      </w:r>
      <w:proofErr w:type="spellStart"/>
      <w:r w:rsidRPr="00346315">
        <w:rPr>
          <w:rFonts w:ascii="Verdana" w:hAnsi="Verdana"/>
          <w:bCs/>
          <w:sz w:val="20"/>
        </w:rPr>
        <w:t>lasinversiones</w:t>
      </w:r>
      <w:proofErr w:type="spellEnd"/>
      <w:r w:rsidRPr="00346315">
        <w:rPr>
          <w:rFonts w:ascii="Verdana" w:hAnsi="Verdana"/>
          <w:bCs/>
          <w:sz w:val="20"/>
        </w:rPr>
        <w:t xml:space="preserve"> realizadas por los Mandatarios y aquéllas efectuadas por todas las Sociedades de Inversión operadas por una misma Administradora excedan el límite previsto en la presente fracción. Al efecto las Administradoras deberán solicitar a los Mandatarios que con la periodicidad que determine la Comisión les envíen el reporte del porcentaje de las emisiones que hayan adquirido durante el periodo inmediato anterior; en el evento de que la suma de las inversiones realizadas por los Mandatarios </w:t>
      </w:r>
      <w:r w:rsidRPr="00346315">
        <w:rPr>
          <w:rFonts w:ascii="Verdana" w:hAnsi="Verdana"/>
          <w:bCs/>
          <w:sz w:val="20"/>
        </w:rPr>
        <w:lastRenderedPageBreak/>
        <w:t xml:space="preserve">y aquéllas efectuadas por la Sociedad de Inversión excedan el límite previsto en </w:t>
      </w:r>
      <w:proofErr w:type="spellStart"/>
      <w:r w:rsidRPr="00346315">
        <w:rPr>
          <w:rFonts w:ascii="Verdana" w:hAnsi="Verdana"/>
          <w:bCs/>
          <w:sz w:val="20"/>
        </w:rPr>
        <w:t>lapresente</w:t>
      </w:r>
      <w:proofErr w:type="spellEnd"/>
      <w:r w:rsidRPr="00346315">
        <w:rPr>
          <w:rFonts w:ascii="Verdana" w:hAnsi="Verdana"/>
          <w:bCs/>
          <w:sz w:val="20"/>
        </w:rPr>
        <w:t xml:space="preserve"> fracción; la Sociedad de Inversión deberá sujetarse a lo dispuesto en las disposiciones de carácter general en materia financiera de los Sistemas de Ahorro para el Retiro en lo relativo a la recomposición de cartera de las Sociedades de Inversión, expedidas por la Comisión.</w:t>
      </w:r>
    </w:p>
    <w:p w:rsidR="00346315" w:rsidRPr="00346315" w:rsidRDefault="00346315" w:rsidP="00346315">
      <w:pPr>
        <w:jc w:val="both"/>
        <w:rPr>
          <w:rFonts w:ascii="Verdana" w:hAnsi="Verdana"/>
          <w:bCs/>
          <w:sz w:val="20"/>
        </w:rPr>
      </w:pPr>
      <w:r w:rsidRPr="00346315">
        <w:rPr>
          <w:rFonts w:ascii="Verdana" w:hAnsi="Verdana"/>
          <w:bCs/>
          <w:sz w:val="20"/>
        </w:rPr>
        <w:t>Para el caso de los Instrumentos de Deuda, los Valores Extranjeros de Deuda y los Instrumentos </w:t>
      </w:r>
      <w:proofErr w:type="spellStart"/>
      <w:r w:rsidRPr="00346315">
        <w:rPr>
          <w:rFonts w:ascii="Verdana" w:hAnsi="Verdana"/>
          <w:bCs/>
          <w:sz w:val="20"/>
        </w:rPr>
        <w:t>Bursatilizados</w:t>
      </w:r>
      <w:proofErr w:type="spellEnd"/>
      <w:r w:rsidRPr="00346315">
        <w:rPr>
          <w:rFonts w:ascii="Verdana" w:hAnsi="Verdana"/>
          <w:bCs/>
          <w:sz w:val="20"/>
        </w:rPr>
        <w:t>, las Sociedades de Inversión podrán adquirir el valor que sea mayor entre trescientos millones de pesos y el 35% de una misma emisión. Lo anterior, sin perjuicio de la facultad del Comité de Análisis de Riesgos para establecer criterios y lineamientos para la selección de los riesgos crediticios permisibles considerando las condiciones del mercado.</w:t>
      </w:r>
    </w:p>
    <w:p w:rsidR="00346315" w:rsidRPr="00346315" w:rsidRDefault="00346315" w:rsidP="00346315">
      <w:pPr>
        <w:jc w:val="both"/>
        <w:rPr>
          <w:rFonts w:ascii="Verdana" w:hAnsi="Verdana"/>
          <w:bCs/>
          <w:sz w:val="20"/>
        </w:rPr>
      </w:pPr>
      <w:r w:rsidRPr="00346315">
        <w:rPr>
          <w:rFonts w:ascii="Verdana" w:hAnsi="Verdana"/>
          <w:bCs/>
          <w:sz w:val="20"/>
        </w:rPr>
        <w:t>Se considerará que los Instrumentos de Deuda, Valores Extranjeros de Deuda, Instrumentos </w:t>
      </w:r>
      <w:proofErr w:type="spellStart"/>
      <w:r w:rsidRPr="00346315">
        <w:rPr>
          <w:rFonts w:ascii="Verdana" w:hAnsi="Verdana"/>
          <w:bCs/>
          <w:sz w:val="20"/>
        </w:rPr>
        <w:t>Bursatilizados</w:t>
      </w:r>
      <w:proofErr w:type="spellEnd"/>
      <w:r w:rsidRPr="00346315">
        <w:rPr>
          <w:rFonts w:ascii="Verdana" w:hAnsi="Verdana"/>
          <w:bCs/>
          <w:sz w:val="20"/>
        </w:rPr>
        <w:t xml:space="preserve">, FIBRAS y, en su caso, Instrumentos Estructurados pertenecen a una misma emisión, cuando tengan características idénticas, lo cual deberá constar expresamente en la opinión legal independiente de la emisión de que se trate. Lo anterior, no obstante que dichos Instrumentos de Deuda, Valores Extranjeros de Deuda, Instrumentos </w:t>
      </w:r>
      <w:proofErr w:type="spellStart"/>
      <w:r w:rsidRPr="00346315">
        <w:rPr>
          <w:rFonts w:ascii="Verdana" w:hAnsi="Verdana"/>
          <w:bCs/>
          <w:sz w:val="20"/>
        </w:rPr>
        <w:t>Bursatilizados</w:t>
      </w:r>
      <w:proofErr w:type="spellEnd"/>
      <w:r w:rsidRPr="00346315">
        <w:rPr>
          <w:rFonts w:ascii="Verdana" w:hAnsi="Verdana"/>
          <w:bCs/>
          <w:sz w:val="20"/>
        </w:rPr>
        <w:t>, FIBRAS e Instrumentos Estructurados se hayan emitido mediante actos y en fechas distintas por el mismo emisor.</w:t>
      </w:r>
    </w:p>
    <w:p w:rsidR="00346315" w:rsidRPr="00346315" w:rsidRDefault="00346315" w:rsidP="00346315">
      <w:pPr>
        <w:jc w:val="both"/>
        <w:rPr>
          <w:rFonts w:ascii="Verdana" w:hAnsi="Verdana"/>
          <w:bCs/>
          <w:sz w:val="20"/>
        </w:rPr>
      </w:pPr>
      <w:r w:rsidRPr="00346315">
        <w:rPr>
          <w:rFonts w:ascii="Verdana" w:hAnsi="Verdana"/>
          <w:bCs/>
          <w:sz w:val="20"/>
        </w:rPr>
        <w:t xml:space="preserve">Para efectos de los límites de inversión por emisión, no se considerarán los Instrumentos de Deuda, Valores Extranjeros de Deuda, Instrumentos </w:t>
      </w:r>
      <w:proofErr w:type="spellStart"/>
      <w:r w:rsidRPr="00346315">
        <w:rPr>
          <w:rFonts w:ascii="Verdana" w:hAnsi="Verdana"/>
          <w:bCs/>
          <w:sz w:val="20"/>
        </w:rPr>
        <w:t>Bursatilizados</w:t>
      </w:r>
      <w:proofErr w:type="spellEnd"/>
      <w:r w:rsidRPr="00346315">
        <w:rPr>
          <w:rFonts w:ascii="Verdana" w:hAnsi="Verdana"/>
          <w:bCs/>
          <w:sz w:val="20"/>
        </w:rPr>
        <w:t>, FIBRAS y, en su caso, Instrumentos Estructurados que se encuentren pendientes de ser colocados o hayan sido amortizados.</w:t>
      </w:r>
    </w:p>
    <w:p w:rsidR="00346315" w:rsidRPr="00346315" w:rsidRDefault="00346315" w:rsidP="00346315">
      <w:pPr>
        <w:jc w:val="both"/>
        <w:rPr>
          <w:rFonts w:ascii="Verdana" w:hAnsi="Verdana"/>
          <w:bCs/>
          <w:sz w:val="20"/>
        </w:rPr>
      </w:pPr>
      <w:r w:rsidRPr="00346315">
        <w:rPr>
          <w:rFonts w:ascii="Verdana" w:hAnsi="Verdana"/>
          <w:bCs/>
          <w:sz w:val="20"/>
        </w:rPr>
        <w:t>V.    La inversión en una sola emisión de Instrumentos Estructurados no podrá exceder del 3% del Activo Total de la Sociedad de Inversión.</w:t>
      </w:r>
    </w:p>
    <w:p w:rsidR="00346315" w:rsidRPr="00346315" w:rsidRDefault="00346315" w:rsidP="00346315">
      <w:pPr>
        <w:jc w:val="both"/>
        <w:rPr>
          <w:rFonts w:ascii="Verdana" w:hAnsi="Verdana"/>
          <w:bCs/>
          <w:sz w:val="20"/>
        </w:rPr>
      </w:pPr>
      <w:r w:rsidRPr="00346315">
        <w:rPr>
          <w:rFonts w:ascii="Verdana" w:hAnsi="Verdana"/>
          <w:bCs/>
          <w:sz w:val="20"/>
        </w:rPr>
        <w:t>VI.   Las Sociedades de Inversión solo podrán adquirir aquellos Certificados Bursátiles Fiduciarios de Proyectos de Inversión que destinen al menos el 10% del monto total máximo autorizado de la emisión a la inversión o al financiamiento de actividades o proyectos dentro del territorio nacional, de una o varias sociedades.</w:t>
      </w:r>
    </w:p>
    <w:p w:rsidR="00346315" w:rsidRPr="00346315" w:rsidRDefault="00346315" w:rsidP="00346315">
      <w:pPr>
        <w:jc w:val="both"/>
        <w:rPr>
          <w:rFonts w:ascii="Verdana" w:hAnsi="Verdana"/>
          <w:bCs/>
          <w:sz w:val="20"/>
        </w:rPr>
      </w:pPr>
      <w:r w:rsidRPr="00346315">
        <w:rPr>
          <w:rFonts w:ascii="Verdana" w:hAnsi="Verdana"/>
          <w:bCs/>
          <w:sz w:val="20"/>
        </w:rPr>
        <w:t>En caso de que la inversión dentro del territorio nacional sea menor al porcentaje definido en la presente fracción se estará a lo dispuesto en las Disposiciones de carácter general en materia financiera de los Sistemas de Ahorro para el Retiro.</w:t>
      </w:r>
    </w:p>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En el caso de los Vehículos señalados en la disposición Novena anterior, cuyos activos subyacentes sean Instrumentos de Deuda y Valores Extranjeros de Deuda, los límites previstos en la presente disposición serán aplicables únicamente a los emisores de dichos Instrumentos y Valores. Dichos Vehículos no estarán sujetos a los límites previstos en la fracción IV anterior.</w:t>
      </w:r>
    </w:p>
    <w:p w:rsidR="00346315" w:rsidRPr="00346315" w:rsidRDefault="00346315" w:rsidP="00346315">
      <w:pPr>
        <w:jc w:val="both"/>
        <w:rPr>
          <w:rFonts w:ascii="Verdana" w:hAnsi="Verdana"/>
          <w:bCs/>
          <w:sz w:val="20"/>
        </w:rPr>
      </w:pPr>
      <w:r w:rsidRPr="00346315">
        <w:rPr>
          <w:rFonts w:ascii="Verdana" w:hAnsi="Verdana"/>
          <w:bCs/>
          <w:sz w:val="20"/>
        </w:rPr>
        <w:lastRenderedPageBreak/>
        <w:t>Los límites previstos en las fracciones I y IV de la presente disposición no serán aplicables a los Instrumentos emitidos o avalados por el Gobierno Federal o emitidos por el Banco de México.</w:t>
      </w:r>
    </w:p>
    <w:p w:rsidR="00346315" w:rsidRPr="00346315" w:rsidRDefault="00346315" w:rsidP="00346315">
      <w:pPr>
        <w:jc w:val="both"/>
        <w:rPr>
          <w:rFonts w:ascii="Verdana" w:hAnsi="Verdana"/>
          <w:bCs/>
          <w:sz w:val="20"/>
        </w:rPr>
      </w:pPr>
      <w:r w:rsidRPr="00346315">
        <w:rPr>
          <w:rFonts w:ascii="Verdana" w:hAnsi="Verdana"/>
          <w:b/>
          <w:bCs/>
          <w:sz w:val="20"/>
        </w:rPr>
        <w:t>VIGÉSIMA QUINTA.-</w:t>
      </w:r>
      <w:r w:rsidRPr="00346315">
        <w:rPr>
          <w:rFonts w:ascii="Verdana" w:hAnsi="Verdana"/>
          <w:bCs/>
          <w:sz w:val="20"/>
        </w:rPr>
        <w:t> La inversión en Activos Objeto de Inversión denominados en Divisas, podrá sumar hasta el 30% del Activo Total de la Sociedad de Inversión Básica de que se trate.</w:t>
      </w:r>
    </w:p>
    <w:p w:rsidR="00346315" w:rsidRPr="00346315" w:rsidRDefault="00346315" w:rsidP="00346315">
      <w:pPr>
        <w:jc w:val="both"/>
        <w:rPr>
          <w:rFonts w:ascii="Verdana" w:hAnsi="Verdana"/>
          <w:bCs/>
          <w:sz w:val="20"/>
        </w:rPr>
      </w:pPr>
      <w:r w:rsidRPr="00346315">
        <w:rPr>
          <w:rFonts w:ascii="Verdana" w:hAnsi="Verdana"/>
          <w:bCs/>
          <w:sz w:val="20"/>
        </w:rPr>
        <w:t>Dentro del límite a que se refiere el párrafo anterior, deberá computarse el valor a mercado de los Contratos Abiertos con Derivados que celebren las Sociedades de Inversión Básicas cuyo subyacente sean Divisas, así como el valor a mercado de los Derivados, reportos y préstamo de valores denominados en Divisas.</w:t>
      </w:r>
    </w:p>
    <w:p w:rsidR="00346315" w:rsidRPr="00346315" w:rsidRDefault="00346315" w:rsidP="00346315">
      <w:pPr>
        <w:jc w:val="both"/>
        <w:rPr>
          <w:rFonts w:ascii="Verdana" w:hAnsi="Verdana"/>
          <w:bCs/>
          <w:sz w:val="20"/>
        </w:rPr>
      </w:pPr>
      <w:r w:rsidRPr="00346315">
        <w:rPr>
          <w:rFonts w:ascii="Verdana" w:hAnsi="Verdana"/>
          <w:bCs/>
          <w:sz w:val="20"/>
        </w:rPr>
        <w:t>Para efectos de verificar el cumplimiento de la presente disposición se estará a lo dispuesto en las disposiciones de carácter general en materia financiera de los Sistemas de Ahorro para el Retiro emitidas por la Comisión.</w:t>
      </w:r>
    </w:p>
    <w:p w:rsidR="00346315" w:rsidRPr="00346315" w:rsidRDefault="00346315" w:rsidP="00346315">
      <w:pPr>
        <w:jc w:val="both"/>
        <w:rPr>
          <w:rFonts w:ascii="Verdana" w:hAnsi="Verdana"/>
          <w:bCs/>
          <w:sz w:val="20"/>
        </w:rPr>
      </w:pPr>
      <w:r w:rsidRPr="00346315">
        <w:rPr>
          <w:rFonts w:ascii="Verdana" w:hAnsi="Verdana"/>
          <w:bCs/>
          <w:sz w:val="20"/>
        </w:rPr>
        <w:t>Las Sociedades de Inversión Básicas 1 a 4 podrán adquirir las Divisas, en directo o a través de Derivados, que requieran para efectuar la liquidación o cobertura de operaciones con Activos Objeto de Inversión.</w:t>
      </w:r>
    </w:p>
    <w:p w:rsidR="00346315" w:rsidRPr="00346315" w:rsidRDefault="00346315" w:rsidP="00346315">
      <w:pPr>
        <w:jc w:val="both"/>
        <w:rPr>
          <w:rFonts w:ascii="Verdana" w:hAnsi="Verdana"/>
          <w:bCs/>
          <w:sz w:val="20"/>
        </w:rPr>
      </w:pPr>
      <w:r w:rsidRPr="00346315">
        <w:rPr>
          <w:rFonts w:ascii="Verdana" w:hAnsi="Verdana"/>
          <w:bCs/>
          <w:sz w:val="20"/>
        </w:rPr>
        <w:t>El Comité de Análisis de Riesgos, considerando la seguridad y el desarrollo de los mercados correspondientes podrá establecer requisitos para la operación de las Sociedades de Inversión con Divisas.</w:t>
      </w:r>
    </w:p>
    <w:p w:rsidR="00346315" w:rsidRPr="00346315" w:rsidRDefault="00346315" w:rsidP="00346315">
      <w:pPr>
        <w:jc w:val="both"/>
        <w:rPr>
          <w:rFonts w:ascii="Verdana" w:hAnsi="Verdana"/>
          <w:bCs/>
          <w:sz w:val="20"/>
        </w:rPr>
      </w:pPr>
      <w:r w:rsidRPr="00346315">
        <w:rPr>
          <w:rFonts w:ascii="Verdana" w:hAnsi="Verdana"/>
          <w:b/>
          <w:bCs/>
          <w:sz w:val="20"/>
        </w:rPr>
        <w:t>VIGÉSIMA SEXTA.- </w:t>
      </w:r>
      <w:r w:rsidRPr="00346315">
        <w:rPr>
          <w:rFonts w:ascii="Verdana" w:hAnsi="Verdana"/>
          <w:bCs/>
          <w:sz w:val="20"/>
        </w:rPr>
        <w:t>Las Sociedades de Inversión Básicas deberán sujetar sus carteras de inversión a los lineamientos y límites referentes a los parámetros de liquidez mínima que se establezcan en las disposiciones de carácter general en materia financiera de los Sistemas de Ahorro para el Retiro.</w:t>
      </w:r>
    </w:p>
    <w:p w:rsidR="00346315" w:rsidRPr="00346315" w:rsidRDefault="00346315" w:rsidP="00346315">
      <w:pPr>
        <w:jc w:val="both"/>
        <w:rPr>
          <w:rFonts w:ascii="Verdana" w:hAnsi="Verdana"/>
          <w:bCs/>
          <w:sz w:val="20"/>
        </w:rPr>
      </w:pPr>
      <w:r w:rsidRPr="00346315">
        <w:rPr>
          <w:rFonts w:ascii="Verdana" w:hAnsi="Verdana"/>
          <w:b/>
          <w:bCs/>
          <w:sz w:val="20"/>
        </w:rPr>
        <w:t>CAPÍTULO III</w:t>
      </w:r>
    </w:p>
    <w:p w:rsidR="00346315" w:rsidRPr="00346315" w:rsidRDefault="00346315" w:rsidP="00346315">
      <w:pPr>
        <w:jc w:val="both"/>
        <w:rPr>
          <w:rFonts w:ascii="Verdana" w:hAnsi="Verdana"/>
          <w:bCs/>
          <w:sz w:val="20"/>
        </w:rPr>
      </w:pPr>
      <w:r w:rsidRPr="00346315">
        <w:rPr>
          <w:rFonts w:ascii="Verdana" w:hAnsi="Verdana"/>
          <w:b/>
          <w:bCs/>
          <w:sz w:val="20"/>
        </w:rPr>
        <w:t>SOCIEDADES DE INVERSIÓN ADICIONALES</w:t>
      </w:r>
    </w:p>
    <w:p w:rsidR="00346315" w:rsidRPr="00346315" w:rsidRDefault="00346315" w:rsidP="00346315">
      <w:pPr>
        <w:jc w:val="both"/>
        <w:rPr>
          <w:rFonts w:ascii="Verdana" w:hAnsi="Verdana"/>
          <w:bCs/>
          <w:sz w:val="20"/>
        </w:rPr>
      </w:pPr>
      <w:r w:rsidRPr="00346315">
        <w:rPr>
          <w:rFonts w:ascii="Verdana" w:hAnsi="Verdana"/>
          <w:b/>
          <w:bCs/>
          <w:sz w:val="20"/>
        </w:rPr>
        <w:t>VIGÉSIMA SÉPTIMA.-</w:t>
      </w:r>
      <w:r w:rsidRPr="00346315">
        <w:rPr>
          <w:rFonts w:ascii="Verdana" w:hAnsi="Verdana"/>
          <w:bCs/>
          <w:sz w:val="20"/>
        </w:rPr>
        <w:t> Las Sociedades de Inversión Adicionales podrán invertir sus recursos en Activos Objeto de Inversión y cualesquiera otros documentos permitidos en la Ley.</w:t>
      </w:r>
    </w:p>
    <w:p w:rsidR="00346315" w:rsidRPr="00346315" w:rsidRDefault="00346315" w:rsidP="00346315">
      <w:pPr>
        <w:jc w:val="both"/>
        <w:rPr>
          <w:rFonts w:ascii="Verdana" w:hAnsi="Verdana"/>
          <w:bCs/>
          <w:sz w:val="20"/>
        </w:rPr>
      </w:pPr>
      <w:r w:rsidRPr="00346315">
        <w:rPr>
          <w:rFonts w:ascii="Verdana" w:hAnsi="Verdana"/>
          <w:b/>
          <w:bCs/>
          <w:sz w:val="20"/>
        </w:rPr>
        <w:t>VIGÉSIMA OCTAVA.-</w:t>
      </w:r>
      <w:r w:rsidRPr="00346315">
        <w:rPr>
          <w:rFonts w:ascii="Verdana" w:hAnsi="Verdana"/>
          <w:bCs/>
          <w:sz w:val="20"/>
        </w:rPr>
        <w:t> Las Sociedades de Inversión Adicionales deberán de establecer en sus prospectos de información lo relativo a los parámetros de riesgo, así como observar lo dispuesto en las disposiciones Cuarta, Quinta y Octava anteriores.</w:t>
      </w:r>
    </w:p>
    <w:p w:rsidR="00346315" w:rsidRPr="00346315" w:rsidRDefault="00346315" w:rsidP="00346315">
      <w:pPr>
        <w:jc w:val="both"/>
        <w:rPr>
          <w:rFonts w:ascii="Verdana" w:hAnsi="Verdana"/>
          <w:bCs/>
          <w:sz w:val="20"/>
        </w:rPr>
      </w:pPr>
      <w:r w:rsidRPr="00346315">
        <w:rPr>
          <w:rFonts w:ascii="Verdana" w:hAnsi="Verdana"/>
          <w:b/>
          <w:bCs/>
          <w:sz w:val="20"/>
        </w:rPr>
        <w:t>CAPÍTULO IV</w:t>
      </w:r>
    </w:p>
    <w:p w:rsidR="00346315" w:rsidRPr="00346315" w:rsidRDefault="00346315" w:rsidP="00346315">
      <w:pPr>
        <w:jc w:val="both"/>
        <w:rPr>
          <w:rFonts w:ascii="Verdana" w:hAnsi="Verdana"/>
          <w:bCs/>
          <w:sz w:val="20"/>
        </w:rPr>
      </w:pPr>
      <w:r w:rsidRPr="00346315">
        <w:rPr>
          <w:rFonts w:ascii="Verdana" w:hAnsi="Verdana"/>
          <w:b/>
          <w:bCs/>
          <w:sz w:val="20"/>
        </w:rPr>
        <w:t>DE LA FUSIÓN O CESIÓN DE CARTERA DE SOCIEDADES DE INVERSIÓN</w:t>
      </w:r>
    </w:p>
    <w:p w:rsidR="00346315" w:rsidRPr="00346315" w:rsidRDefault="00346315" w:rsidP="00346315">
      <w:pPr>
        <w:jc w:val="both"/>
        <w:rPr>
          <w:rFonts w:ascii="Verdana" w:hAnsi="Verdana"/>
          <w:bCs/>
          <w:sz w:val="20"/>
        </w:rPr>
      </w:pPr>
      <w:r w:rsidRPr="00346315">
        <w:rPr>
          <w:rFonts w:ascii="Verdana" w:hAnsi="Verdana"/>
          <w:b/>
          <w:bCs/>
          <w:sz w:val="20"/>
        </w:rPr>
        <w:t>VIGÉSIMA NOVENA.-</w:t>
      </w:r>
      <w:r w:rsidRPr="00346315">
        <w:rPr>
          <w:rFonts w:ascii="Verdana" w:hAnsi="Verdana"/>
          <w:bCs/>
          <w:sz w:val="20"/>
        </w:rPr>
        <w:t> En caso de la fusión o cesión de cartera de Sociedades de Inversión, la sociedad </w:t>
      </w:r>
      <w:proofErr w:type="spellStart"/>
      <w:r w:rsidRPr="00346315">
        <w:rPr>
          <w:rFonts w:ascii="Verdana" w:hAnsi="Verdana"/>
          <w:bCs/>
          <w:sz w:val="20"/>
        </w:rPr>
        <w:t>fusionante</w:t>
      </w:r>
      <w:proofErr w:type="spellEnd"/>
      <w:r w:rsidRPr="00346315">
        <w:rPr>
          <w:rFonts w:ascii="Verdana" w:hAnsi="Verdana"/>
          <w:bCs/>
          <w:sz w:val="20"/>
        </w:rPr>
        <w:t xml:space="preserve">, o, en su caso, la cesionaria, podrá exceder durante un plazo de 360 días naturales contado a partir de la fecha en que surta efectos la fusión o cesión, los límites previstos en las disposiciones Vigésima Segunda, Vigésima </w:t>
      </w:r>
      <w:r w:rsidRPr="00346315">
        <w:rPr>
          <w:rFonts w:ascii="Verdana" w:hAnsi="Verdana"/>
          <w:bCs/>
          <w:sz w:val="20"/>
        </w:rPr>
        <w:lastRenderedPageBreak/>
        <w:t xml:space="preserve">Tercera y la fracción IV de la disposición Vigésima Cuarta de las presentes disposiciones, siempre y cuando el exceso sea consecuencia de la fusión o de la cesión de cartera. Las Sociedades de Inversión no deberán adquirir más Instrumentos de Deuda, Valores Extranjeros de Deuda, </w:t>
      </w:r>
      <w:proofErr w:type="spellStart"/>
      <w:r w:rsidRPr="00346315">
        <w:rPr>
          <w:rFonts w:ascii="Verdana" w:hAnsi="Verdana"/>
          <w:bCs/>
          <w:sz w:val="20"/>
        </w:rPr>
        <w:t>EstructurasVinculadas</w:t>
      </w:r>
      <w:proofErr w:type="spellEnd"/>
      <w:r w:rsidRPr="00346315">
        <w:rPr>
          <w:rFonts w:ascii="Verdana" w:hAnsi="Verdana"/>
          <w:bCs/>
          <w:sz w:val="20"/>
        </w:rPr>
        <w:t xml:space="preserve"> a Subyacentes, FIBRAS y, en su caso, Instrumentos Estructurados de la emisión en la que tenga el exceso durante el plazo antes mencionado.</w:t>
      </w:r>
    </w:p>
    <w:p w:rsidR="00346315" w:rsidRPr="00346315" w:rsidRDefault="00346315" w:rsidP="00346315">
      <w:pPr>
        <w:jc w:val="both"/>
        <w:rPr>
          <w:rFonts w:ascii="Verdana" w:hAnsi="Verdana"/>
          <w:b/>
          <w:bCs/>
          <w:sz w:val="20"/>
        </w:rPr>
      </w:pPr>
      <w:r w:rsidRPr="00346315">
        <w:rPr>
          <w:rFonts w:ascii="Verdana" w:hAnsi="Verdana"/>
          <w:b/>
          <w:bCs/>
          <w:sz w:val="20"/>
        </w:rPr>
        <w:t>TRANSITORIAS</w:t>
      </w:r>
    </w:p>
    <w:p w:rsidR="00346315" w:rsidRPr="00346315" w:rsidRDefault="00346315" w:rsidP="00346315">
      <w:pPr>
        <w:jc w:val="both"/>
        <w:rPr>
          <w:rFonts w:ascii="Verdana" w:hAnsi="Verdana"/>
          <w:bCs/>
          <w:sz w:val="20"/>
        </w:rPr>
      </w:pPr>
      <w:r w:rsidRPr="00346315">
        <w:rPr>
          <w:rFonts w:ascii="Verdana" w:hAnsi="Verdana"/>
          <w:b/>
          <w:bCs/>
          <w:sz w:val="20"/>
        </w:rPr>
        <w:t>PRIMERA.- </w:t>
      </w:r>
      <w:r w:rsidRPr="00346315">
        <w:rPr>
          <w:rFonts w:ascii="Verdana" w:hAnsi="Verdana"/>
          <w:bCs/>
          <w:sz w:val="20"/>
        </w:rPr>
        <w:t xml:space="preserve">Las presentes disposiciones de carácter general entrarán en vigor el día hábil siguiente al de su publicación en el Diario Oficial de la Federación, con excepción de la disposición Segunda, fracción LII, inciso d), Décima Sexta, fracción I, inciso g), </w:t>
      </w:r>
      <w:proofErr w:type="spellStart"/>
      <w:r w:rsidRPr="00346315">
        <w:rPr>
          <w:rFonts w:ascii="Verdana" w:hAnsi="Verdana"/>
          <w:bCs/>
          <w:sz w:val="20"/>
        </w:rPr>
        <w:t>subnumeral</w:t>
      </w:r>
      <w:proofErr w:type="spellEnd"/>
      <w:r w:rsidRPr="00346315">
        <w:rPr>
          <w:rFonts w:ascii="Verdana" w:hAnsi="Verdana"/>
          <w:bCs/>
          <w:sz w:val="20"/>
        </w:rPr>
        <w:t xml:space="preserve"> i, y Vigésima Cuarta, fracción IV, párrafo tercero, hasta en tanto se establezcan los requisitos específicos en las disposiciones de carácter general en materia financiera de los Sistemas de Ahorro para el Retiro.</w:t>
      </w:r>
    </w:p>
    <w:p w:rsidR="00346315" w:rsidRPr="00346315" w:rsidRDefault="00346315" w:rsidP="00346315">
      <w:pPr>
        <w:jc w:val="both"/>
        <w:rPr>
          <w:rFonts w:ascii="Verdana" w:hAnsi="Verdana"/>
          <w:bCs/>
          <w:sz w:val="20"/>
        </w:rPr>
      </w:pPr>
      <w:r w:rsidRPr="00346315">
        <w:rPr>
          <w:rFonts w:ascii="Verdana" w:hAnsi="Verdana"/>
          <w:b/>
          <w:bCs/>
          <w:sz w:val="20"/>
        </w:rPr>
        <w:t>SEGUNDA.- </w:t>
      </w:r>
      <w:r w:rsidRPr="00346315">
        <w:rPr>
          <w:rFonts w:ascii="Verdana" w:hAnsi="Verdana"/>
          <w:bCs/>
          <w:sz w:val="20"/>
        </w:rPr>
        <w:t>Las Sociedades de Inversión Básicas 2 a 4 que cumplan con lo siguiente, podrán sustituir los límites regulatorios del Valor en Riesgo:</w:t>
      </w:r>
    </w:p>
    <w:p w:rsidR="00346315" w:rsidRPr="00346315" w:rsidRDefault="00346315" w:rsidP="00346315">
      <w:pPr>
        <w:jc w:val="both"/>
        <w:rPr>
          <w:rFonts w:ascii="Verdana" w:hAnsi="Verdana"/>
          <w:bCs/>
          <w:sz w:val="20"/>
        </w:rPr>
      </w:pPr>
      <w:r w:rsidRPr="00346315">
        <w:rPr>
          <w:rFonts w:ascii="Verdana" w:hAnsi="Verdana"/>
          <w:bCs/>
          <w:sz w:val="20"/>
        </w:rPr>
        <w:t>I.     Establecimiento de una política y estrategia de inversión acorde al plazo y perfil de cada Sociedad de Inversión Básica que opere, contando con la opinión de sus comités de riesgos, inversiones, de sus Consejeros Independientes y a un proceso de vigilancia del Contralor Normativo;</w:t>
      </w:r>
    </w:p>
    <w:p w:rsidR="00346315" w:rsidRPr="00346315" w:rsidRDefault="00346315" w:rsidP="00346315">
      <w:pPr>
        <w:jc w:val="both"/>
        <w:rPr>
          <w:rFonts w:ascii="Verdana" w:hAnsi="Verdana"/>
          <w:bCs/>
          <w:sz w:val="20"/>
        </w:rPr>
      </w:pPr>
      <w:r w:rsidRPr="00346315">
        <w:rPr>
          <w:rFonts w:ascii="Verdana" w:hAnsi="Verdana"/>
          <w:bCs/>
          <w:sz w:val="20"/>
        </w:rPr>
        <w:t>II.     Contar con la no objeción de la Comisión respecto del portafolio de referencia de conformidad con las</w:t>
      </w:r>
    </w:p>
    <w:p w:rsidR="00346315" w:rsidRPr="00346315" w:rsidRDefault="00346315" w:rsidP="00346315">
      <w:pPr>
        <w:jc w:val="both"/>
        <w:rPr>
          <w:rFonts w:ascii="Verdana" w:hAnsi="Verdana"/>
          <w:bCs/>
          <w:sz w:val="20"/>
        </w:rPr>
      </w:pPr>
      <w:proofErr w:type="gramStart"/>
      <w:r w:rsidRPr="00346315">
        <w:rPr>
          <w:rFonts w:ascii="Verdana" w:hAnsi="Verdana"/>
          <w:bCs/>
          <w:sz w:val="20"/>
        </w:rPr>
        <w:t>disposiciones</w:t>
      </w:r>
      <w:proofErr w:type="gramEnd"/>
      <w:r w:rsidRPr="00346315">
        <w:rPr>
          <w:rFonts w:ascii="Verdana" w:hAnsi="Verdana"/>
          <w:bCs/>
          <w:sz w:val="20"/>
        </w:rPr>
        <w:t xml:space="preserve"> de carácter general en materia financiera de los Sistemas de Ahorro para el Retiro y</w:t>
      </w:r>
    </w:p>
    <w:p w:rsidR="00346315" w:rsidRPr="00346315" w:rsidRDefault="00346315" w:rsidP="00346315">
      <w:pPr>
        <w:jc w:val="both"/>
        <w:rPr>
          <w:rFonts w:ascii="Verdana" w:hAnsi="Verdana"/>
          <w:bCs/>
          <w:sz w:val="20"/>
        </w:rPr>
      </w:pPr>
      <w:r w:rsidRPr="00346315">
        <w:rPr>
          <w:rFonts w:ascii="Verdana" w:hAnsi="Verdana"/>
          <w:bCs/>
          <w:sz w:val="20"/>
        </w:rPr>
        <w:t>III.    Contar con los sistemas necesarios para la concertación de operaciones, la administración de riesgos, y el registro de operaciones.</w:t>
      </w:r>
    </w:p>
    <w:p w:rsidR="00346315" w:rsidRPr="00346315" w:rsidRDefault="00346315" w:rsidP="00346315">
      <w:pPr>
        <w:jc w:val="both"/>
        <w:rPr>
          <w:rFonts w:ascii="Verdana" w:hAnsi="Verdana"/>
          <w:bCs/>
          <w:sz w:val="20"/>
        </w:rPr>
      </w:pPr>
      <w:r w:rsidRPr="00346315">
        <w:rPr>
          <w:rFonts w:ascii="Verdana" w:hAnsi="Verdana"/>
          <w:bCs/>
          <w:sz w:val="20"/>
        </w:rPr>
        <w:t>En tanto las Sociedades de Inversión Básicas 2 a 4 no cumplan con lo anterior deberán obedecer los límites de Valor en Riesgo siguientes y a la metodología prevista en las secciones I y II del Anexo L de las presentes disposiciones:</w:t>
      </w:r>
    </w:p>
    <w:p w:rsidR="00346315" w:rsidRPr="00346315" w:rsidRDefault="00346315" w:rsidP="00346315">
      <w:pPr>
        <w:jc w:val="both"/>
        <w:rPr>
          <w:rFonts w:ascii="Verdana" w:hAnsi="Verdana"/>
          <w:bCs/>
          <w:sz w:val="20"/>
        </w:rPr>
      </w:pPr>
      <w:r w:rsidRPr="00346315">
        <w:rPr>
          <w:rFonts w:ascii="Verdana" w:hAnsi="Verdana"/>
          <w:bCs/>
          <w:sz w:val="20"/>
        </w:rPr>
        <w:t>a.     Hasta el 1.10% del Activo Administrado por la Sociedad de Inversión, para las Sociedades de Inversión Básicas 2;</w:t>
      </w:r>
    </w:p>
    <w:p w:rsidR="00346315" w:rsidRPr="00346315" w:rsidRDefault="00346315" w:rsidP="00346315">
      <w:pPr>
        <w:jc w:val="both"/>
        <w:rPr>
          <w:rFonts w:ascii="Verdana" w:hAnsi="Verdana"/>
          <w:bCs/>
          <w:sz w:val="20"/>
        </w:rPr>
      </w:pPr>
      <w:r w:rsidRPr="00346315">
        <w:rPr>
          <w:rFonts w:ascii="Verdana" w:hAnsi="Verdana"/>
          <w:bCs/>
          <w:sz w:val="20"/>
        </w:rPr>
        <w:t>b.     Hasta el 1.40% del Activo Administrado por la Sociedad de Inversión, para las Sociedades de Inversión Básicas 3, y</w:t>
      </w:r>
    </w:p>
    <w:p w:rsidR="00346315" w:rsidRPr="00346315" w:rsidRDefault="00346315" w:rsidP="00346315">
      <w:pPr>
        <w:jc w:val="both"/>
        <w:rPr>
          <w:rFonts w:ascii="Verdana" w:hAnsi="Verdana"/>
          <w:bCs/>
          <w:sz w:val="20"/>
        </w:rPr>
      </w:pPr>
      <w:r w:rsidRPr="00346315">
        <w:rPr>
          <w:rFonts w:ascii="Verdana" w:hAnsi="Verdana"/>
          <w:bCs/>
          <w:sz w:val="20"/>
        </w:rPr>
        <w:t>c.     Hasta el 2.10% del Activo Administrado por la Sociedad de Inversión, para las Sociedades de Inversión Básicas 4.</w:t>
      </w:r>
    </w:p>
    <w:p w:rsidR="00346315" w:rsidRPr="00346315" w:rsidRDefault="00346315" w:rsidP="00346315">
      <w:pPr>
        <w:jc w:val="both"/>
        <w:rPr>
          <w:rFonts w:ascii="Verdana" w:hAnsi="Verdana"/>
          <w:bCs/>
          <w:sz w:val="20"/>
        </w:rPr>
      </w:pPr>
      <w:r w:rsidRPr="00346315">
        <w:rPr>
          <w:rFonts w:ascii="Verdana" w:hAnsi="Verdana"/>
          <w:b/>
          <w:bCs/>
          <w:sz w:val="20"/>
        </w:rPr>
        <w:t>TERCERA.- </w:t>
      </w:r>
      <w:r w:rsidRPr="00346315">
        <w:rPr>
          <w:rFonts w:ascii="Verdana" w:hAnsi="Verdana"/>
          <w:bCs/>
          <w:sz w:val="20"/>
        </w:rPr>
        <w:t xml:space="preserve">Las Sociedades de Inversión observarán los siguientes criterios de diversificación hasta en tanto la Comisión verifique que se implementaron cabalmente las metodologías y elementos de medición para la evaluación crediticia adicional a la provista por las instituciones calificadoras de valores de conformidad con las </w:t>
      </w:r>
      <w:r w:rsidRPr="00346315">
        <w:rPr>
          <w:rFonts w:ascii="Verdana" w:hAnsi="Verdana"/>
          <w:bCs/>
          <w:sz w:val="20"/>
        </w:rPr>
        <w:lastRenderedPageBreak/>
        <w:t>disposiciones de carácter general en materia financiera de los Sistemas de Ahorro para el Retiro que emita la Comisión:</w:t>
      </w:r>
    </w:p>
    <w:p w:rsidR="00346315" w:rsidRPr="00346315" w:rsidRDefault="00346315" w:rsidP="00346315">
      <w:pPr>
        <w:jc w:val="both"/>
        <w:rPr>
          <w:rFonts w:ascii="Verdana" w:hAnsi="Verdana"/>
          <w:bCs/>
          <w:sz w:val="20"/>
        </w:rPr>
      </w:pPr>
      <w:r w:rsidRPr="00346315">
        <w:rPr>
          <w:rFonts w:ascii="Verdana" w:hAnsi="Verdana"/>
          <w:bCs/>
          <w:sz w:val="20"/>
        </w:rPr>
        <w:t>a)    Hasta un 5% del Activo Total de la Sociedad de Inversión en Instrumentos de Deuda y Valores Extranjeros de Deuda que ostenten las calificaciones previstas en los Anexos A, F y J de las presentes disposiciones;</w:t>
      </w:r>
    </w:p>
    <w:p w:rsidR="00346315" w:rsidRPr="00346315" w:rsidRDefault="00346315" w:rsidP="00346315">
      <w:pPr>
        <w:jc w:val="both"/>
        <w:rPr>
          <w:rFonts w:ascii="Verdana" w:hAnsi="Verdana"/>
          <w:bCs/>
          <w:sz w:val="20"/>
        </w:rPr>
      </w:pPr>
      <w:r w:rsidRPr="00346315">
        <w:rPr>
          <w:rFonts w:ascii="Verdana" w:hAnsi="Verdana"/>
          <w:bCs/>
          <w:sz w:val="20"/>
        </w:rPr>
        <w:t>b)    Hasta un 3% del Activo Total de la Sociedad de Inversión en Instrumentos de Deuda que ostenten las calificaciones previstas en los Anexos B y G de las presentes disposiciones;</w:t>
      </w:r>
    </w:p>
    <w:p w:rsidR="00346315" w:rsidRPr="00346315" w:rsidRDefault="00346315" w:rsidP="00346315">
      <w:pPr>
        <w:jc w:val="both"/>
        <w:rPr>
          <w:rFonts w:ascii="Verdana" w:hAnsi="Verdana"/>
          <w:bCs/>
          <w:sz w:val="20"/>
        </w:rPr>
      </w:pPr>
      <w:r w:rsidRPr="00346315">
        <w:rPr>
          <w:rFonts w:ascii="Verdana" w:hAnsi="Verdana"/>
          <w:bCs/>
          <w:sz w:val="20"/>
        </w:rPr>
        <w:t>c)     Hasta un 2% del Activo Total de la Sociedad de Inversión en Instrumentos de Deuda que ostenten las calificaciones previstas en el Anexo C de las presentes disposiciones, y</w:t>
      </w:r>
    </w:p>
    <w:p w:rsidR="00346315" w:rsidRPr="00346315" w:rsidRDefault="00346315" w:rsidP="00346315">
      <w:pPr>
        <w:jc w:val="both"/>
        <w:rPr>
          <w:rFonts w:ascii="Verdana" w:hAnsi="Verdana"/>
          <w:bCs/>
          <w:sz w:val="20"/>
        </w:rPr>
      </w:pPr>
      <w:r w:rsidRPr="00346315">
        <w:rPr>
          <w:rFonts w:ascii="Verdana" w:hAnsi="Verdana"/>
          <w:bCs/>
          <w:sz w:val="20"/>
        </w:rPr>
        <w:t>d)    Hasta un 1% del Activo Total de la Sociedad de Inversión en Instrumentos de Deuda que ostenten las calificaciones previstas en el Anexo D de las presentes disposiciones.</w:t>
      </w:r>
    </w:p>
    <w:p w:rsidR="00346315" w:rsidRPr="00346315" w:rsidRDefault="00346315" w:rsidP="00346315">
      <w:pPr>
        <w:jc w:val="both"/>
        <w:rPr>
          <w:rFonts w:ascii="Verdana" w:hAnsi="Verdana"/>
          <w:bCs/>
          <w:sz w:val="20"/>
        </w:rPr>
      </w:pPr>
      <w:r w:rsidRPr="00346315">
        <w:rPr>
          <w:rFonts w:ascii="Verdana" w:hAnsi="Verdana"/>
          <w:bCs/>
          <w:sz w:val="20"/>
        </w:rPr>
        <w:t>Para efectos de computar el valor de las inversiones realizadas con cada Contraparte o emisor de acuerdo con la presente disposición, se estará a lo establecido en las presentes disposiciones y Anexo G de las disposiciones de carácter general en materia financiera de los Sistemas de Ahorro para el Retiro que emita la Comisión.</w:t>
      </w:r>
    </w:p>
    <w:p w:rsidR="00346315" w:rsidRPr="00346315" w:rsidRDefault="00346315" w:rsidP="00346315">
      <w:pPr>
        <w:jc w:val="both"/>
        <w:rPr>
          <w:rFonts w:ascii="Verdana" w:hAnsi="Verdana"/>
          <w:bCs/>
          <w:sz w:val="20"/>
        </w:rPr>
      </w:pPr>
      <w:r w:rsidRPr="00346315">
        <w:rPr>
          <w:rFonts w:ascii="Verdana" w:hAnsi="Verdana"/>
          <w:bCs/>
          <w:sz w:val="20"/>
        </w:rPr>
        <w:t xml:space="preserve">Lo previsto en el presente artículo no es aplicable a los Instrumentos de Deuda de los referidos en la disposición Segunda fracción </w:t>
      </w:r>
      <w:proofErr w:type="spellStart"/>
      <w:r w:rsidRPr="00346315">
        <w:rPr>
          <w:rFonts w:ascii="Verdana" w:hAnsi="Verdana"/>
          <w:bCs/>
          <w:sz w:val="20"/>
        </w:rPr>
        <w:t>XXXa</w:t>
      </w:r>
      <w:proofErr w:type="spellEnd"/>
      <w:r w:rsidRPr="00346315">
        <w:rPr>
          <w:rFonts w:ascii="Verdana" w:hAnsi="Verdana"/>
          <w:bCs/>
          <w:sz w:val="20"/>
        </w:rPr>
        <w:t>.</w:t>
      </w:r>
    </w:p>
    <w:p w:rsidR="00346315" w:rsidRPr="00346315" w:rsidRDefault="00346315" w:rsidP="00346315">
      <w:pPr>
        <w:jc w:val="both"/>
        <w:rPr>
          <w:rFonts w:ascii="Verdana" w:hAnsi="Verdana"/>
          <w:bCs/>
          <w:sz w:val="20"/>
        </w:rPr>
      </w:pPr>
      <w:r w:rsidRPr="00346315">
        <w:rPr>
          <w:rFonts w:ascii="Verdana" w:hAnsi="Verdana"/>
          <w:b/>
          <w:bCs/>
          <w:sz w:val="20"/>
        </w:rPr>
        <w:t>CUARTA.- </w:t>
      </w:r>
      <w:r w:rsidRPr="00346315">
        <w:rPr>
          <w:rFonts w:ascii="Verdana" w:hAnsi="Verdana"/>
          <w:bCs/>
          <w:sz w:val="20"/>
        </w:rPr>
        <w:t>Se abrogan las "Disposiciones de carácter general que establecen el régimen de inversión al que deberán sujetarse las sociedades de inversión especializadas de fondos para el retiro", publicadas en el Diario Oficial de la Federación el 19 de septiembre de 2017.</w:t>
      </w:r>
    </w:p>
    <w:p w:rsidR="00346315" w:rsidRPr="00346315" w:rsidRDefault="00346315" w:rsidP="00346315">
      <w:pPr>
        <w:jc w:val="both"/>
        <w:rPr>
          <w:rFonts w:ascii="Verdana" w:hAnsi="Verdana"/>
          <w:bCs/>
          <w:sz w:val="20"/>
        </w:rPr>
      </w:pPr>
      <w:r w:rsidRPr="00346315">
        <w:rPr>
          <w:rFonts w:ascii="Verdana" w:hAnsi="Verdana"/>
          <w:bCs/>
          <w:sz w:val="20"/>
        </w:rPr>
        <w:t>Asimismo, con la entrada en vigor de las presentes disposiciones se deroga toda disposición emitida por la Comisión que resulte contraria al presente ordenamiento.</w:t>
      </w:r>
    </w:p>
    <w:p w:rsidR="00346315" w:rsidRPr="00346315" w:rsidRDefault="00346315" w:rsidP="00346315">
      <w:pPr>
        <w:jc w:val="both"/>
        <w:rPr>
          <w:rFonts w:ascii="Verdana" w:hAnsi="Verdana"/>
          <w:bCs/>
          <w:sz w:val="20"/>
        </w:rPr>
      </w:pPr>
      <w:r w:rsidRPr="00346315">
        <w:rPr>
          <w:rFonts w:ascii="Verdana" w:hAnsi="Verdana"/>
          <w:b/>
          <w:bCs/>
          <w:sz w:val="20"/>
        </w:rPr>
        <w:t>QUINTA.- </w:t>
      </w:r>
      <w:r w:rsidRPr="00346315">
        <w:rPr>
          <w:rFonts w:ascii="Verdana" w:hAnsi="Verdana"/>
          <w:bCs/>
          <w:sz w:val="20"/>
        </w:rPr>
        <w:t>Las Sociedades de Inversión que demuestren a la Comisión que como resultado de la entrada en vigor de las presentes disposiciones de carácter general se incumpla algún límite de inversión, deberán presentar a la Comisión un programa de recomposición de carteras, para su no objeción, a fin de ajustar sus carteras de inversión y dar cumplimiento a los límites de inversión definidos en las presentes disposiciones.</w:t>
      </w:r>
    </w:p>
    <w:p w:rsidR="00346315" w:rsidRPr="00346315" w:rsidRDefault="00346315" w:rsidP="00346315">
      <w:pPr>
        <w:jc w:val="both"/>
        <w:rPr>
          <w:rFonts w:ascii="Verdana" w:hAnsi="Verdana"/>
          <w:bCs/>
          <w:sz w:val="20"/>
        </w:rPr>
      </w:pPr>
      <w:r w:rsidRPr="00346315">
        <w:rPr>
          <w:rFonts w:ascii="Verdana" w:hAnsi="Verdana"/>
          <w:bCs/>
          <w:sz w:val="20"/>
        </w:rPr>
        <w:t>En caso de observar algún incumplimiento a las presentes disposiciones no se considerará imputable a la Administradora que opere la Sociedad de Inversión de que se trate, siempre y cuando el ajuste correspondiente esté previsto en el programa de recomposición presentado a la Comisión.</w:t>
      </w:r>
    </w:p>
    <w:p w:rsidR="00346315" w:rsidRPr="00346315" w:rsidRDefault="00346315" w:rsidP="00346315">
      <w:pPr>
        <w:jc w:val="both"/>
        <w:rPr>
          <w:rFonts w:ascii="Verdana" w:hAnsi="Verdana"/>
          <w:bCs/>
          <w:sz w:val="20"/>
        </w:rPr>
      </w:pPr>
      <w:r w:rsidRPr="00346315">
        <w:rPr>
          <w:rFonts w:ascii="Verdana" w:hAnsi="Verdana"/>
          <w:b/>
          <w:bCs/>
          <w:sz w:val="20"/>
        </w:rPr>
        <w:t>SEXTA.- </w:t>
      </w:r>
      <w:r w:rsidRPr="00346315">
        <w:rPr>
          <w:rFonts w:ascii="Verdana" w:hAnsi="Verdana"/>
          <w:bCs/>
          <w:sz w:val="20"/>
        </w:rPr>
        <w:t xml:space="preserve">La presentación de las modificaciones a los prospectos y folletos que deriven de la entrada en vigor de las presentes disposiciones será en términos de lo </w:t>
      </w:r>
      <w:r w:rsidRPr="00346315">
        <w:rPr>
          <w:rFonts w:ascii="Verdana" w:hAnsi="Verdana"/>
          <w:bCs/>
          <w:sz w:val="20"/>
        </w:rPr>
        <w:lastRenderedPageBreak/>
        <w:t>establecido en las disposiciones de carácter general en materia financiera de los Sistemas de Ahorro para el Retiro.</w:t>
      </w:r>
    </w:p>
    <w:p w:rsidR="00346315" w:rsidRPr="00346315" w:rsidRDefault="00346315" w:rsidP="00346315">
      <w:pPr>
        <w:jc w:val="both"/>
        <w:rPr>
          <w:rFonts w:ascii="Verdana" w:hAnsi="Verdana"/>
          <w:bCs/>
          <w:sz w:val="20"/>
        </w:rPr>
      </w:pPr>
      <w:r w:rsidRPr="00346315">
        <w:rPr>
          <w:rFonts w:ascii="Verdana" w:hAnsi="Verdana"/>
          <w:bCs/>
          <w:sz w:val="20"/>
        </w:rPr>
        <w:t>Ciudad de México, a 21 de diciembre de 2017.- Con fundamento en lo dispuesto por los artículos 9° tercer párrafo, 11 y 12 fracciones I, VIII, XIII y XVI de la Ley de los Sistemas de Ahorro para el Retiro; 2 fracción III, 4 tercer y cuarto párrafos y 8 primer párrafo del Reglamento Interior de la Comisión Nacional del Sistema de Ahorro para el Retiro, el Presidente de la Comisión Nacional del Sistema de Ahorro para el Retiro, </w:t>
      </w:r>
      <w:r w:rsidRPr="00346315">
        <w:rPr>
          <w:rFonts w:ascii="Verdana" w:hAnsi="Verdana"/>
          <w:b/>
          <w:bCs/>
          <w:sz w:val="20"/>
        </w:rPr>
        <w:t>Carlos Ramírez Fuentes</w:t>
      </w:r>
      <w:r w:rsidRPr="00346315">
        <w:rPr>
          <w:rFonts w:ascii="Verdana" w:hAnsi="Verdana"/>
          <w:bCs/>
          <w:sz w:val="20"/>
        </w:rPr>
        <w:t>.- Rúbrica.</w:t>
      </w:r>
    </w:p>
    <w:p w:rsidR="00346315" w:rsidRPr="00346315" w:rsidRDefault="00346315" w:rsidP="00346315">
      <w:pPr>
        <w:jc w:val="both"/>
        <w:rPr>
          <w:rFonts w:ascii="Verdana" w:hAnsi="Verdana"/>
          <w:b/>
          <w:bCs/>
          <w:sz w:val="20"/>
        </w:rPr>
      </w:pPr>
      <w:r w:rsidRPr="00346315">
        <w:rPr>
          <w:rFonts w:ascii="Verdana" w:hAnsi="Verdana"/>
          <w:b/>
          <w:bCs/>
          <w:sz w:val="20"/>
        </w:rPr>
        <w:t>ANEXO A1</w:t>
      </w:r>
    </w:p>
    <w:p w:rsidR="00346315" w:rsidRPr="00346315" w:rsidRDefault="00346315" w:rsidP="00346315">
      <w:pPr>
        <w:jc w:val="both"/>
        <w:rPr>
          <w:rFonts w:ascii="Verdana" w:hAnsi="Verdana"/>
          <w:bCs/>
          <w:sz w:val="20"/>
        </w:rPr>
      </w:pPr>
      <w:r w:rsidRPr="00346315">
        <w:rPr>
          <w:rFonts w:ascii="Verdana" w:hAnsi="Verdana"/>
          <w:b/>
          <w:bCs/>
          <w:sz w:val="20"/>
        </w:rPr>
        <w:t>Calificaciones para Instrumentos denominados en Moneda Nacional y Unidades de Inversión, así</w:t>
      </w:r>
      <w:r w:rsidRPr="00346315">
        <w:rPr>
          <w:rFonts w:ascii="Verdana" w:hAnsi="Verdana"/>
          <w:bCs/>
          <w:sz w:val="20"/>
        </w:rPr>
        <w:br/>
      </w:r>
      <w:r w:rsidRPr="00346315">
        <w:rPr>
          <w:rFonts w:ascii="Verdana" w:hAnsi="Verdana"/>
          <w:b/>
          <w:bCs/>
          <w:sz w:val="20"/>
        </w:rPr>
        <w:t>como para Contrapartes Nacionales.</w:t>
      </w:r>
    </w:p>
    <w:p w:rsidR="00346315" w:rsidRPr="00346315" w:rsidRDefault="00346315" w:rsidP="00346315">
      <w:pPr>
        <w:jc w:val="both"/>
        <w:rPr>
          <w:rFonts w:ascii="Verdana" w:hAnsi="Verdana"/>
          <w:bCs/>
          <w:sz w:val="20"/>
        </w:rPr>
      </w:pPr>
      <w:r w:rsidRPr="00346315">
        <w:rPr>
          <w:rFonts w:ascii="Verdana" w:hAnsi="Verdana"/>
          <w:b/>
          <w:bCs/>
          <w:sz w:val="20"/>
        </w:rPr>
        <w:t>Emisiones de Corto Plazo</w:t>
      </w:r>
    </w:p>
    <w:p w:rsidR="00346315" w:rsidRPr="00346315" w:rsidRDefault="00346315" w:rsidP="00346315">
      <w:pPr>
        <w:jc w:val="both"/>
        <w:rPr>
          <w:rFonts w:ascii="Verdana" w:hAnsi="Verdana"/>
          <w:bCs/>
          <w:sz w:val="20"/>
        </w:rPr>
      </w:pPr>
      <w:r w:rsidRPr="00346315">
        <w:rPr>
          <w:rFonts w:ascii="Verdana" w:hAnsi="Verdana"/>
          <w:bCs/>
          <w:sz w:val="20"/>
        </w:rPr>
        <w:t>(Con vencimiento hasta de un año)</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324"/>
        <w:gridCol w:w="871"/>
        <w:gridCol w:w="2323"/>
        <w:gridCol w:w="871"/>
        <w:gridCol w:w="2323"/>
      </w:tblGrid>
      <w:tr w:rsidR="00346315" w:rsidRPr="00346315" w:rsidTr="00346315">
        <w:trPr>
          <w:trHeight w:val="282"/>
        </w:trPr>
        <w:tc>
          <w:tcPr>
            <w:tcW w:w="2324"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FITCH MEXICO</w:t>
            </w:r>
          </w:p>
        </w:tc>
        <w:tc>
          <w:tcPr>
            <w:tcW w:w="871"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3"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MOODY'S</w:t>
            </w:r>
          </w:p>
        </w:tc>
        <w:tc>
          <w:tcPr>
            <w:tcW w:w="871"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3"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VERUM</w:t>
            </w:r>
          </w:p>
        </w:tc>
      </w:tr>
      <w:tr w:rsidR="00346315" w:rsidRPr="00346315" w:rsidTr="00346315">
        <w:trPr>
          <w:trHeight w:val="292"/>
        </w:trPr>
        <w:tc>
          <w:tcPr>
            <w:tcW w:w="2324"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F1+(</w:t>
            </w:r>
            <w:proofErr w:type="spellStart"/>
            <w:r w:rsidRPr="00346315">
              <w:rPr>
                <w:rFonts w:ascii="Verdana" w:hAnsi="Verdana"/>
                <w:bCs/>
                <w:sz w:val="20"/>
              </w:rPr>
              <w:t>mex</w:t>
            </w:r>
            <w:proofErr w:type="spellEnd"/>
            <w:r w:rsidRPr="00346315">
              <w:rPr>
                <w:rFonts w:ascii="Verdana" w:hAnsi="Verdana"/>
                <w:bCs/>
                <w:sz w:val="20"/>
              </w:rPr>
              <w:t>)</w:t>
            </w:r>
          </w:p>
        </w:tc>
        <w:tc>
          <w:tcPr>
            <w:tcW w:w="871"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MX-1</w:t>
            </w:r>
          </w:p>
        </w:tc>
        <w:tc>
          <w:tcPr>
            <w:tcW w:w="871"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1+/M</w:t>
            </w:r>
          </w:p>
        </w:tc>
      </w:tr>
    </w:tbl>
    <w:p w:rsidR="00346315" w:rsidRPr="00346315" w:rsidRDefault="00346315" w:rsidP="00346315">
      <w:pPr>
        <w:jc w:val="both"/>
        <w:rPr>
          <w:rFonts w:ascii="Verdana" w:hAnsi="Verdana"/>
          <w:bCs/>
          <w:sz w:val="20"/>
        </w:rPr>
      </w:pPr>
      <w:r w:rsidRPr="00346315">
        <w:rPr>
          <w:rFonts w:ascii="Verdana" w:hAnsi="Verdana"/>
          <w:bCs/>
          <w:sz w:val="20"/>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324"/>
        <w:gridCol w:w="871"/>
        <w:gridCol w:w="2323"/>
        <w:gridCol w:w="871"/>
        <w:gridCol w:w="2323"/>
      </w:tblGrid>
      <w:tr w:rsidR="00346315" w:rsidRPr="00346315" w:rsidTr="00346315">
        <w:trPr>
          <w:trHeight w:val="282"/>
        </w:trPr>
        <w:tc>
          <w:tcPr>
            <w:tcW w:w="2324"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STANDARD &amp; POOR'S</w:t>
            </w:r>
          </w:p>
        </w:tc>
        <w:tc>
          <w:tcPr>
            <w:tcW w:w="871"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3"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RATINGS DE MEXICO</w:t>
            </w:r>
          </w:p>
        </w:tc>
        <w:tc>
          <w:tcPr>
            <w:tcW w:w="871"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3"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DBRS RATINGS MEXICO</w:t>
            </w:r>
          </w:p>
        </w:tc>
      </w:tr>
      <w:tr w:rsidR="00346315" w:rsidRPr="00346315" w:rsidTr="00346315">
        <w:trPr>
          <w:trHeight w:val="292"/>
        </w:trPr>
        <w:tc>
          <w:tcPr>
            <w:tcW w:w="2324"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mxA-1+</w:t>
            </w:r>
          </w:p>
        </w:tc>
        <w:tc>
          <w:tcPr>
            <w:tcW w:w="871"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HR+1</w:t>
            </w:r>
          </w:p>
        </w:tc>
        <w:tc>
          <w:tcPr>
            <w:tcW w:w="871"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R-1.MX(alto)</w:t>
            </w:r>
          </w:p>
        </w:tc>
      </w:tr>
    </w:tbl>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
          <w:bCs/>
          <w:sz w:val="20"/>
        </w:rPr>
        <w:t>Emisiones de Mediano y Largo Plazo</w:t>
      </w:r>
    </w:p>
    <w:p w:rsidR="00346315" w:rsidRPr="00346315" w:rsidRDefault="00346315" w:rsidP="00346315">
      <w:pPr>
        <w:jc w:val="both"/>
        <w:rPr>
          <w:rFonts w:ascii="Verdana" w:hAnsi="Verdana"/>
          <w:bCs/>
          <w:sz w:val="20"/>
        </w:rPr>
      </w:pPr>
      <w:r w:rsidRPr="00346315">
        <w:rPr>
          <w:rFonts w:ascii="Verdana" w:hAnsi="Verdana"/>
          <w:bCs/>
          <w:sz w:val="20"/>
        </w:rPr>
        <w:t>(Con vencimiento mayor a un año)</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324"/>
        <w:gridCol w:w="871"/>
        <w:gridCol w:w="2323"/>
        <w:gridCol w:w="871"/>
        <w:gridCol w:w="2323"/>
      </w:tblGrid>
      <w:tr w:rsidR="00346315" w:rsidRPr="00346315" w:rsidTr="00346315">
        <w:trPr>
          <w:trHeight w:val="282"/>
        </w:trPr>
        <w:tc>
          <w:tcPr>
            <w:tcW w:w="2324"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FITCH MEXICO</w:t>
            </w:r>
          </w:p>
        </w:tc>
        <w:tc>
          <w:tcPr>
            <w:tcW w:w="871"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3"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MOODY'S</w:t>
            </w:r>
          </w:p>
        </w:tc>
        <w:tc>
          <w:tcPr>
            <w:tcW w:w="871"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3"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VERUM</w:t>
            </w:r>
          </w:p>
        </w:tc>
      </w:tr>
      <w:tr w:rsidR="00346315" w:rsidRPr="00346315" w:rsidTr="00346315">
        <w:trPr>
          <w:trHeight w:val="292"/>
        </w:trPr>
        <w:tc>
          <w:tcPr>
            <w:tcW w:w="2324"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AAA(</w:t>
            </w:r>
            <w:proofErr w:type="spellStart"/>
            <w:r w:rsidRPr="00346315">
              <w:rPr>
                <w:rFonts w:ascii="Verdana" w:hAnsi="Verdana"/>
                <w:bCs/>
                <w:sz w:val="20"/>
              </w:rPr>
              <w:t>mex</w:t>
            </w:r>
            <w:proofErr w:type="spellEnd"/>
            <w:r w:rsidRPr="00346315">
              <w:rPr>
                <w:rFonts w:ascii="Verdana" w:hAnsi="Verdana"/>
                <w:bCs/>
                <w:sz w:val="20"/>
              </w:rPr>
              <w:t>)</w:t>
            </w:r>
          </w:p>
        </w:tc>
        <w:tc>
          <w:tcPr>
            <w:tcW w:w="871"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Aaa.mx</w:t>
            </w:r>
          </w:p>
        </w:tc>
        <w:tc>
          <w:tcPr>
            <w:tcW w:w="871"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AAA/M</w:t>
            </w:r>
          </w:p>
        </w:tc>
      </w:tr>
    </w:tbl>
    <w:p w:rsidR="00346315" w:rsidRPr="00346315" w:rsidRDefault="00346315" w:rsidP="00346315">
      <w:pPr>
        <w:jc w:val="both"/>
        <w:rPr>
          <w:rFonts w:ascii="Verdana" w:hAnsi="Verdana"/>
          <w:bCs/>
          <w:sz w:val="20"/>
        </w:rPr>
      </w:pPr>
      <w:r w:rsidRPr="00346315">
        <w:rPr>
          <w:rFonts w:ascii="Verdana" w:hAnsi="Verdana"/>
          <w:bCs/>
          <w:sz w:val="20"/>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324"/>
        <w:gridCol w:w="871"/>
        <w:gridCol w:w="2323"/>
        <w:gridCol w:w="871"/>
        <w:gridCol w:w="2323"/>
      </w:tblGrid>
      <w:tr w:rsidR="00346315" w:rsidRPr="00346315" w:rsidTr="00346315">
        <w:trPr>
          <w:trHeight w:val="282"/>
        </w:trPr>
        <w:tc>
          <w:tcPr>
            <w:tcW w:w="2324"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STANDARD &amp; POOR'S</w:t>
            </w:r>
          </w:p>
        </w:tc>
        <w:tc>
          <w:tcPr>
            <w:tcW w:w="871"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3"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RATINGS DE MEXICO</w:t>
            </w:r>
          </w:p>
        </w:tc>
        <w:tc>
          <w:tcPr>
            <w:tcW w:w="871"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3"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DBRS RATINGS MEXICO</w:t>
            </w:r>
          </w:p>
        </w:tc>
      </w:tr>
      <w:tr w:rsidR="00346315" w:rsidRPr="00346315" w:rsidTr="00346315">
        <w:trPr>
          <w:trHeight w:val="292"/>
        </w:trPr>
        <w:tc>
          <w:tcPr>
            <w:tcW w:w="2324"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proofErr w:type="spellStart"/>
            <w:r w:rsidRPr="00346315">
              <w:rPr>
                <w:rFonts w:ascii="Verdana" w:hAnsi="Verdana"/>
                <w:bCs/>
                <w:sz w:val="20"/>
              </w:rPr>
              <w:t>mxAAA</w:t>
            </w:r>
            <w:proofErr w:type="spellEnd"/>
          </w:p>
        </w:tc>
        <w:tc>
          <w:tcPr>
            <w:tcW w:w="871"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AAA</w:t>
            </w:r>
          </w:p>
        </w:tc>
        <w:tc>
          <w:tcPr>
            <w:tcW w:w="871"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AAA.MX</w:t>
            </w:r>
          </w:p>
        </w:tc>
      </w:tr>
    </w:tbl>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lastRenderedPageBreak/>
        <w:t>1      Para dar cumplimiento a lo dispuesto en la disposición Cuarta de las presentes disposiciones, las Administradoras deberán verificar que al menos una de las instituciones calificadoras de valores que emita opinión sobre el Activo Objeto de Inversión tenga cuando menos diez años de experiencia contados a partir de su autorización para organizarse y operar en el mercado mexicano o en alguno de los otros Países Elegibles para Inversiones.</w:t>
      </w:r>
    </w:p>
    <w:p w:rsidR="00346315" w:rsidRPr="00346315" w:rsidRDefault="00346315" w:rsidP="00346315">
      <w:pPr>
        <w:jc w:val="both"/>
        <w:rPr>
          <w:rFonts w:ascii="Verdana" w:hAnsi="Verdana"/>
          <w:bCs/>
          <w:sz w:val="20"/>
        </w:rPr>
      </w:pPr>
      <w:r w:rsidRPr="00346315">
        <w:rPr>
          <w:rFonts w:ascii="Verdana" w:hAnsi="Verdana"/>
          <w:b/>
          <w:bCs/>
          <w:sz w:val="20"/>
        </w:rPr>
        <w:t>ANEXO B2</w:t>
      </w:r>
    </w:p>
    <w:p w:rsidR="00346315" w:rsidRPr="00346315" w:rsidRDefault="00346315" w:rsidP="00346315">
      <w:pPr>
        <w:jc w:val="both"/>
        <w:rPr>
          <w:rFonts w:ascii="Verdana" w:hAnsi="Verdana"/>
          <w:bCs/>
          <w:sz w:val="20"/>
        </w:rPr>
      </w:pPr>
      <w:r w:rsidRPr="00346315">
        <w:rPr>
          <w:rFonts w:ascii="Verdana" w:hAnsi="Verdana"/>
          <w:b/>
          <w:bCs/>
          <w:sz w:val="20"/>
        </w:rPr>
        <w:t>Calificaciones para Instrumentos denominados en Moneda Nacional y Unidades de Inversión, así</w:t>
      </w:r>
      <w:r w:rsidRPr="00346315">
        <w:rPr>
          <w:rFonts w:ascii="Verdana" w:hAnsi="Verdana"/>
          <w:bCs/>
          <w:sz w:val="20"/>
        </w:rPr>
        <w:br/>
      </w:r>
      <w:r w:rsidRPr="00346315">
        <w:rPr>
          <w:rFonts w:ascii="Verdana" w:hAnsi="Verdana"/>
          <w:b/>
          <w:bCs/>
          <w:sz w:val="20"/>
        </w:rPr>
        <w:t>como para Contrapartes Nacionales.</w:t>
      </w:r>
    </w:p>
    <w:p w:rsidR="00346315" w:rsidRPr="00346315" w:rsidRDefault="00346315" w:rsidP="00346315">
      <w:pPr>
        <w:jc w:val="both"/>
        <w:rPr>
          <w:rFonts w:ascii="Verdana" w:hAnsi="Verdana"/>
          <w:bCs/>
          <w:sz w:val="20"/>
        </w:rPr>
      </w:pPr>
      <w:r w:rsidRPr="00346315">
        <w:rPr>
          <w:rFonts w:ascii="Verdana" w:hAnsi="Verdana"/>
          <w:b/>
          <w:bCs/>
          <w:sz w:val="20"/>
        </w:rPr>
        <w:t>Emisiones de Corto Plazo</w:t>
      </w:r>
    </w:p>
    <w:p w:rsidR="00346315" w:rsidRPr="00346315" w:rsidRDefault="00346315" w:rsidP="00346315">
      <w:pPr>
        <w:jc w:val="both"/>
        <w:rPr>
          <w:rFonts w:ascii="Verdana" w:hAnsi="Verdana"/>
          <w:bCs/>
          <w:sz w:val="20"/>
        </w:rPr>
      </w:pPr>
      <w:r w:rsidRPr="00346315">
        <w:rPr>
          <w:rFonts w:ascii="Verdana" w:hAnsi="Verdana"/>
          <w:bCs/>
          <w:sz w:val="20"/>
        </w:rPr>
        <w:t>(Con vencimiento hasta de un año)</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324"/>
        <w:gridCol w:w="871"/>
        <w:gridCol w:w="2323"/>
        <w:gridCol w:w="871"/>
        <w:gridCol w:w="2323"/>
      </w:tblGrid>
      <w:tr w:rsidR="00346315" w:rsidRPr="00346315" w:rsidTr="00346315">
        <w:trPr>
          <w:trHeight w:val="282"/>
        </w:trPr>
        <w:tc>
          <w:tcPr>
            <w:tcW w:w="2324"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FITCH MEXICO</w:t>
            </w:r>
          </w:p>
        </w:tc>
        <w:tc>
          <w:tcPr>
            <w:tcW w:w="871"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3"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MOODY'S</w:t>
            </w:r>
          </w:p>
        </w:tc>
        <w:tc>
          <w:tcPr>
            <w:tcW w:w="871"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3"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VERUM</w:t>
            </w:r>
          </w:p>
        </w:tc>
      </w:tr>
      <w:tr w:rsidR="00346315" w:rsidRPr="00346315" w:rsidTr="00346315">
        <w:trPr>
          <w:trHeight w:val="292"/>
        </w:trPr>
        <w:tc>
          <w:tcPr>
            <w:tcW w:w="2324"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F1(</w:t>
            </w:r>
            <w:proofErr w:type="spellStart"/>
            <w:r w:rsidRPr="00346315">
              <w:rPr>
                <w:rFonts w:ascii="Verdana" w:hAnsi="Verdana"/>
                <w:bCs/>
                <w:sz w:val="20"/>
              </w:rPr>
              <w:t>mex</w:t>
            </w:r>
            <w:proofErr w:type="spellEnd"/>
            <w:r w:rsidRPr="00346315">
              <w:rPr>
                <w:rFonts w:ascii="Verdana" w:hAnsi="Verdana"/>
                <w:bCs/>
                <w:sz w:val="20"/>
              </w:rPr>
              <w:t>)</w:t>
            </w:r>
          </w:p>
        </w:tc>
        <w:tc>
          <w:tcPr>
            <w:tcW w:w="871"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MX-2</w:t>
            </w:r>
          </w:p>
        </w:tc>
        <w:tc>
          <w:tcPr>
            <w:tcW w:w="871"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1/M</w:t>
            </w:r>
          </w:p>
        </w:tc>
      </w:tr>
    </w:tbl>
    <w:p w:rsidR="00346315" w:rsidRPr="00346315" w:rsidRDefault="00346315" w:rsidP="00346315">
      <w:pPr>
        <w:jc w:val="both"/>
        <w:rPr>
          <w:rFonts w:ascii="Verdana" w:hAnsi="Verdana"/>
          <w:bCs/>
          <w:sz w:val="20"/>
        </w:rPr>
      </w:pPr>
      <w:r w:rsidRPr="00346315">
        <w:rPr>
          <w:rFonts w:ascii="Verdana" w:hAnsi="Verdana"/>
          <w:bCs/>
          <w:sz w:val="20"/>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324"/>
        <w:gridCol w:w="871"/>
        <w:gridCol w:w="2323"/>
        <w:gridCol w:w="871"/>
        <w:gridCol w:w="2323"/>
      </w:tblGrid>
      <w:tr w:rsidR="00346315" w:rsidRPr="00346315" w:rsidTr="00346315">
        <w:trPr>
          <w:trHeight w:val="282"/>
        </w:trPr>
        <w:tc>
          <w:tcPr>
            <w:tcW w:w="2324"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STANDARD &amp; POOR'S</w:t>
            </w:r>
          </w:p>
        </w:tc>
        <w:tc>
          <w:tcPr>
            <w:tcW w:w="871"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3"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RATINGS DE MEXICO</w:t>
            </w:r>
          </w:p>
        </w:tc>
        <w:tc>
          <w:tcPr>
            <w:tcW w:w="871"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3"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DBRS RATINGS MEXICO</w:t>
            </w:r>
          </w:p>
        </w:tc>
      </w:tr>
      <w:tr w:rsidR="00346315" w:rsidRPr="00346315" w:rsidTr="00346315">
        <w:trPr>
          <w:trHeight w:val="292"/>
        </w:trPr>
        <w:tc>
          <w:tcPr>
            <w:tcW w:w="2324"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mxA-1</w:t>
            </w:r>
          </w:p>
        </w:tc>
        <w:tc>
          <w:tcPr>
            <w:tcW w:w="871"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HR1</w:t>
            </w:r>
          </w:p>
        </w:tc>
        <w:tc>
          <w:tcPr>
            <w:tcW w:w="871"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R-1.MX(medio)</w:t>
            </w:r>
          </w:p>
        </w:tc>
      </w:tr>
    </w:tbl>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
          <w:bCs/>
          <w:sz w:val="20"/>
        </w:rPr>
        <w:t>Emisiones de Mediano y Largo Plazo</w:t>
      </w:r>
    </w:p>
    <w:p w:rsidR="00346315" w:rsidRPr="00346315" w:rsidRDefault="00346315" w:rsidP="00346315">
      <w:pPr>
        <w:jc w:val="both"/>
        <w:rPr>
          <w:rFonts w:ascii="Verdana" w:hAnsi="Verdana"/>
          <w:bCs/>
          <w:sz w:val="20"/>
        </w:rPr>
      </w:pPr>
      <w:r w:rsidRPr="00346315">
        <w:rPr>
          <w:rFonts w:ascii="Verdana" w:hAnsi="Verdana"/>
          <w:bCs/>
          <w:sz w:val="20"/>
        </w:rPr>
        <w:t>(Con vencimiento mayor a un año)</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921"/>
        <w:gridCol w:w="507"/>
        <w:gridCol w:w="2529"/>
        <w:gridCol w:w="507"/>
        <w:gridCol w:w="2248"/>
      </w:tblGrid>
      <w:tr w:rsidR="00346315" w:rsidRPr="00346315" w:rsidTr="00346315">
        <w:trPr>
          <w:trHeight w:val="282"/>
        </w:trPr>
        <w:tc>
          <w:tcPr>
            <w:tcW w:w="2921"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FITCH MEXICO</w:t>
            </w:r>
          </w:p>
        </w:tc>
        <w:tc>
          <w:tcPr>
            <w:tcW w:w="507"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529"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MOODY'S</w:t>
            </w:r>
          </w:p>
        </w:tc>
        <w:tc>
          <w:tcPr>
            <w:tcW w:w="507"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48"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VERUM</w:t>
            </w:r>
          </w:p>
        </w:tc>
      </w:tr>
      <w:tr w:rsidR="00346315" w:rsidRPr="00346315" w:rsidTr="00346315">
        <w:trPr>
          <w:trHeight w:val="292"/>
        </w:trPr>
        <w:tc>
          <w:tcPr>
            <w:tcW w:w="292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AA+(</w:t>
            </w:r>
            <w:proofErr w:type="spellStart"/>
            <w:r w:rsidRPr="00346315">
              <w:rPr>
                <w:rFonts w:ascii="Verdana" w:hAnsi="Verdana"/>
                <w:bCs/>
                <w:sz w:val="20"/>
              </w:rPr>
              <w:t>mex</w:t>
            </w:r>
            <w:proofErr w:type="spellEnd"/>
            <w:r w:rsidRPr="00346315">
              <w:rPr>
                <w:rFonts w:ascii="Verdana" w:hAnsi="Verdana"/>
                <w:bCs/>
                <w:sz w:val="20"/>
              </w:rPr>
              <w:t>) / AA(</w:t>
            </w:r>
            <w:proofErr w:type="spellStart"/>
            <w:r w:rsidRPr="00346315">
              <w:rPr>
                <w:rFonts w:ascii="Verdana" w:hAnsi="Verdana"/>
                <w:bCs/>
                <w:sz w:val="20"/>
              </w:rPr>
              <w:t>mex</w:t>
            </w:r>
            <w:proofErr w:type="spellEnd"/>
            <w:r w:rsidRPr="00346315">
              <w:rPr>
                <w:rFonts w:ascii="Verdana" w:hAnsi="Verdana"/>
                <w:bCs/>
                <w:sz w:val="20"/>
              </w:rPr>
              <w:t>) / AA-(</w:t>
            </w:r>
            <w:proofErr w:type="spellStart"/>
            <w:r w:rsidRPr="00346315">
              <w:rPr>
                <w:rFonts w:ascii="Verdana" w:hAnsi="Verdana"/>
                <w:bCs/>
                <w:sz w:val="20"/>
              </w:rPr>
              <w:t>mex</w:t>
            </w:r>
            <w:proofErr w:type="spellEnd"/>
            <w:r w:rsidRPr="00346315">
              <w:rPr>
                <w:rFonts w:ascii="Verdana" w:hAnsi="Verdana"/>
                <w:bCs/>
                <w:sz w:val="20"/>
              </w:rPr>
              <w:t>)</w:t>
            </w:r>
          </w:p>
        </w:tc>
        <w:tc>
          <w:tcPr>
            <w:tcW w:w="507"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529"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Aa1.mx / Aa2.mx / Aa3.mx</w:t>
            </w:r>
          </w:p>
        </w:tc>
        <w:tc>
          <w:tcPr>
            <w:tcW w:w="507"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48"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AA+/M / AA/M / AA-/M</w:t>
            </w:r>
          </w:p>
        </w:tc>
      </w:tr>
    </w:tbl>
    <w:p w:rsidR="00346315" w:rsidRPr="00346315" w:rsidRDefault="00346315" w:rsidP="00346315">
      <w:pPr>
        <w:jc w:val="both"/>
        <w:rPr>
          <w:rFonts w:ascii="Verdana" w:hAnsi="Verdana"/>
          <w:bCs/>
          <w:sz w:val="20"/>
        </w:rPr>
      </w:pPr>
      <w:r w:rsidRPr="00346315">
        <w:rPr>
          <w:rFonts w:ascii="Verdana" w:hAnsi="Verdana"/>
          <w:bCs/>
          <w:sz w:val="20"/>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921"/>
        <w:gridCol w:w="507"/>
        <w:gridCol w:w="2529"/>
        <w:gridCol w:w="348"/>
        <w:gridCol w:w="2407"/>
      </w:tblGrid>
      <w:tr w:rsidR="00346315" w:rsidRPr="00346315" w:rsidTr="00346315">
        <w:trPr>
          <w:trHeight w:val="282"/>
        </w:trPr>
        <w:tc>
          <w:tcPr>
            <w:tcW w:w="2921"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STANDARD &amp; POOR'S</w:t>
            </w:r>
          </w:p>
        </w:tc>
        <w:tc>
          <w:tcPr>
            <w:tcW w:w="507"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529"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RATINGS DE MEXICO</w:t>
            </w:r>
          </w:p>
        </w:tc>
        <w:tc>
          <w:tcPr>
            <w:tcW w:w="348"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07"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DBRS RATINGS MEXICO</w:t>
            </w:r>
          </w:p>
        </w:tc>
      </w:tr>
      <w:tr w:rsidR="00346315" w:rsidRPr="00346315" w:rsidTr="00346315">
        <w:trPr>
          <w:trHeight w:val="500"/>
        </w:trPr>
        <w:tc>
          <w:tcPr>
            <w:tcW w:w="292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proofErr w:type="spellStart"/>
            <w:r w:rsidRPr="00346315">
              <w:rPr>
                <w:rFonts w:ascii="Verdana" w:hAnsi="Verdana"/>
                <w:bCs/>
                <w:sz w:val="20"/>
              </w:rPr>
              <w:t>mxAA</w:t>
            </w:r>
            <w:proofErr w:type="spellEnd"/>
            <w:r w:rsidRPr="00346315">
              <w:rPr>
                <w:rFonts w:ascii="Verdana" w:hAnsi="Verdana"/>
                <w:bCs/>
                <w:sz w:val="20"/>
              </w:rPr>
              <w:t xml:space="preserve">+ / </w:t>
            </w:r>
            <w:proofErr w:type="spellStart"/>
            <w:r w:rsidRPr="00346315">
              <w:rPr>
                <w:rFonts w:ascii="Verdana" w:hAnsi="Verdana"/>
                <w:bCs/>
                <w:sz w:val="20"/>
              </w:rPr>
              <w:t>mxAA</w:t>
            </w:r>
            <w:proofErr w:type="spellEnd"/>
            <w:r w:rsidRPr="00346315">
              <w:rPr>
                <w:rFonts w:ascii="Verdana" w:hAnsi="Verdana"/>
                <w:bCs/>
                <w:sz w:val="20"/>
              </w:rPr>
              <w:t xml:space="preserve"> / </w:t>
            </w:r>
            <w:proofErr w:type="spellStart"/>
            <w:r w:rsidRPr="00346315">
              <w:rPr>
                <w:rFonts w:ascii="Verdana" w:hAnsi="Verdana"/>
                <w:bCs/>
                <w:sz w:val="20"/>
              </w:rPr>
              <w:t>mxAA</w:t>
            </w:r>
            <w:proofErr w:type="spellEnd"/>
            <w:r w:rsidRPr="00346315">
              <w:rPr>
                <w:rFonts w:ascii="Verdana" w:hAnsi="Verdana"/>
                <w:bCs/>
                <w:sz w:val="20"/>
              </w:rPr>
              <w:t>-</w:t>
            </w:r>
          </w:p>
        </w:tc>
        <w:tc>
          <w:tcPr>
            <w:tcW w:w="507"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529"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AA+ / HR AA / HR AA-</w:t>
            </w:r>
          </w:p>
        </w:tc>
        <w:tc>
          <w:tcPr>
            <w:tcW w:w="348"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0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AA.MX(alto) / AA.MX /</w:t>
            </w:r>
            <w:r w:rsidRPr="00346315">
              <w:rPr>
                <w:rFonts w:ascii="Verdana" w:hAnsi="Verdana"/>
                <w:bCs/>
                <w:sz w:val="20"/>
              </w:rPr>
              <w:br/>
              <w:t>AA.MX(bajo)</w:t>
            </w:r>
          </w:p>
        </w:tc>
      </w:tr>
    </w:tbl>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lastRenderedPageBreak/>
        <w:t>2      Para dar cumplimiento a lo dispuesto en la disposición Cuarta de las presentes disposiciones, las Administradoras deberán verificar que al menos una de las instituciones calificadoras de valores que emita opinión sobre el Activo Objeto de Inversión tenga cuando menos diez años de experiencia</w:t>
      </w:r>
    </w:p>
    <w:p w:rsidR="00346315" w:rsidRPr="00346315" w:rsidRDefault="00346315" w:rsidP="00346315">
      <w:pPr>
        <w:jc w:val="both"/>
        <w:rPr>
          <w:rFonts w:ascii="Verdana" w:hAnsi="Verdana"/>
          <w:bCs/>
          <w:sz w:val="20"/>
        </w:rPr>
      </w:pPr>
      <w:proofErr w:type="gramStart"/>
      <w:r w:rsidRPr="00346315">
        <w:rPr>
          <w:rFonts w:ascii="Verdana" w:hAnsi="Verdana"/>
          <w:bCs/>
          <w:sz w:val="20"/>
        </w:rPr>
        <w:t>contados</w:t>
      </w:r>
      <w:proofErr w:type="gramEnd"/>
      <w:r w:rsidRPr="00346315">
        <w:rPr>
          <w:rFonts w:ascii="Verdana" w:hAnsi="Verdana"/>
          <w:bCs/>
          <w:sz w:val="20"/>
        </w:rPr>
        <w:t xml:space="preserve"> a partir de su autorización para organizarse y operar en el mercado mexicano o en alguno de los otros Países Elegibles para Inversiones.</w:t>
      </w:r>
    </w:p>
    <w:p w:rsidR="00346315" w:rsidRPr="00346315" w:rsidRDefault="00346315" w:rsidP="00346315">
      <w:pPr>
        <w:jc w:val="both"/>
        <w:rPr>
          <w:rFonts w:ascii="Verdana" w:hAnsi="Verdana"/>
          <w:bCs/>
          <w:sz w:val="20"/>
        </w:rPr>
      </w:pPr>
      <w:r w:rsidRPr="00346315">
        <w:rPr>
          <w:rFonts w:ascii="Verdana" w:hAnsi="Verdana"/>
          <w:b/>
          <w:bCs/>
          <w:sz w:val="20"/>
        </w:rPr>
        <w:t>ANEXO C3</w:t>
      </w:r>
    </w:p>
    <w:p w:rsidR="00346315" w:rsidRPr="00346315" w:rsidRDefault="00346315" w:rsidP="00346315">
      <w:pPr>
        <w:jc w:val="both"/>
        <w:rPr>
          <w:rFonts w:ascii="Verdana" w:hAnsi="Verdana"/>
          <w:bCs/>
          <w:sz w:val="20"/>
        </w:rPr>
      </w:pPr>
      <w:r w:rsidRPr="00346315">
        <w:rPr>
          <w:rFonts w:ascii="Verdana" w:hAnsi="Verdana"/>
          <w:b/>
          <w:bCs/>
          <w:sz w:val="20"/>
        </w:rPr>
        <w:t>Calificaciones para Instrumentos denominados en Moneda Nacional y Unidades de Inversión, así</w:t>
      </w:r>
      <w:r w:rsidRPr="00346315">
        <w:rPr>
          <w:rFonts w:ascii="Verdana" w:hAnsi="Verdana"/>
          <w:bCs/>
          <w:sz w:val="20"/>
        </w:rPr>
        <w:br/>
      </w:r>
      <w:r w:rsidRPr="00346315">
        <w:rPr>
          <w:rFonts w:ascii="Verdana" w:hAnsi="Verdana"/>
          <w:b/>
          <w:bCs/>
          <w:sz w:val="20"/>
        </w:rPr>
        <w:t>como para Contrapartes Nacionales.</w:t>
      </w:r>
    </w:p>
    <w:p w:rsidR="00346315" w:rsidRPr="00346315" w:rsidRDefault="00346315" w:rsidP="00346315">
      <w:pPr>
        <w:jc w:val="both"/>
        <w:rPr>
          <w:rFonts w:ascii="Verdana" w:hAnsi="Verdana"/>
          <w:bCs/>
          <w:sz w:val="20"/>
        </w:rPr>
      </w:pPr>
      <w:r w:rsidRPr="00346315">
        <w:rPr>
          <w:rFonts w:ascii="Verdana" w:hAnsi="Verdana"/>
          <w:b/>
          <w:bCs/>
          <w:sz w:val="20"/>
        </w:rPr>
        <w:t>Emisiones de Corto Plazo</w:t>
      </w:r>
    </w:p>
    <w:p w:rsidR="00346315" w:rsidRPr="00346315" w:rsidRDefault="00346315" w:rsidP="00346315">
      <w:pPr>
        <w:jc w:val="both"/>
        <w:rPr>
          <w:rFonts w:ascii="Verdana" w:hAnsi="Verdana"/>
          <w:bCs/>
          <w:sz w:val="20"/>
        </w:rPr>
      </w:pPr>
      <w:r w:rsidRPr="00346315">
        <w:rPr>
          <w:rFonts w:ascii="Verdana" w:hAnsi="Verdana"/>
          <w:bCs/>
          <w:sz w:val="20"/>
        </w:rPr>
        <w:t>(Con vencimiento hasta de un año)</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270"/>
        <w:gridCol w:w="920"/>
        <w:gridCol w:w="2301"/>
        <w:gridCol w:w="920"/>
        <w:gridCol w:w="2301"/>
      </w:tblGrid>
      <w:tr w:rsidR="00346315" w:rsidRPr="00346315" w:rsidTr="00346315">
        <w:trPr>
          <w:trHeight w:val="333"/>
        </w:trPr>
        <w:tc>
          <w:tcPr>
            <w:tcW w:w="2270"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FITCH MEXICO</w:t>
            </w:r>
          </w:p>
        </w:tc>
        <w:tc>
          <w:tcPr>
            <w:tcW w:w="92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MOODY'S</w:t>
            </w:r>
          </w:p>
        </w:tc>
        <w:tc>
          <w:tcPr>
            <w:tcW w:w="92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VERUM</w:t>
            </w:r>
          </w:p>
        </w:tc>
      </w:tr>
      <w:tr w:rsidR="00346315" w:rsidRPr="00346315" w:rsidTr="00346315">
        <w:trPr>
          <w:trHeight w:val="343"/>
        </w:trPr>
        <w:tc>
          <w:tcPr>
            <w:tcW w:w="22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F2(</w:t>
            </w:r>
            <w:proofErr w:type="spellStart"/>
            <w:r w:rsidRPr="00346315">
              <w:rPr>
                <w:rFonts w:ascii="Verdana" w:hAnsi="Verdana"/>
                <w:bCs/>
                <w:sz w:val="20"/>
              </w:rPr>
              <w:t>mex</w:t>
            </w:r>
            <w:proofErr w:type="spellEnd"/>
            <w:r w:rsidRPr="00346315">
              <w:rPr>
                <w:rFonts w:ascii="Verdana" w:hAnsi="Verdana"/>
                <w:bCs/>
                <w:sz w:val="20"/>
              </w:rPr>
              <w:t>)</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MX-3</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2/M</w:t>
            </w:r>
          </w:p>
        </w:tc>
      </w:tr>
    </w:tbl>
    <w:p w:rsidR="00346315" w:rsidRPr="00346315" w:rsidRDefault="00346315" w:rsidP="00346315">
      <w:pPr>
        <w:jc w:val="both"/>
        <w:rPr>
          <w:rFonts w:ascii="Verdana" w:hAnsi="Verdana"/>
          <w:bCs/>
          <w:sz w:val="20"/>
        </w:rPr>
      </w:pPr>
      <w:r w:rsidRPr="00346315">
        <w:rPr>
          <w:rFonts w:ascii="Verdana" w:hAnsi="Verdana"/>
          <w:bCs/>
          <w:sz w:val="20"/>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270"/>
        <w:gridCol w:w="920"/>
        <w:gridCol w:w="2586"/>
        <w:gridCol w:w="635"/>
        <w:gridCol w:w="2301"/>
      </w:tblGrid>
      <w:tr w:rsidR="00346315" w:rsidRPr="00346315" w:rsidTr="00346315">
        <w:trPr>
          <w:trHeight w:val="333"/>
        </w:trPr>
        <w:tc>
          <w:tcPr>
            <w:tcW w:w="2270"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STANDARD &amp; POOR'S</w:t>
            </w:r>
          </w:p>
        </w:tc>
        <w:tc>
          <w:tcPr>
            <w:tcW w:w="92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586"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RATINGS DE MEXICO</w:t>
            </w:r>
          </w:p>
        </w:tc>
        <w:tc>
          <w:tcPr>
            <w:tcW w:w="635"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DBRS RATINGS MEXICO</w:t>
            </w:r>
          </w:p>
        </w:tc>
      </w:tr>
      <w:tr w:rsidR="00346315" w:rsidRPr="00346315" w:rsidTr="00346315">
        <w:trPr>
          <w:trHeight w:val="343"/>
        </w:trPr>
        <w:tc>
          <w:tcPr>
            <w:tcW w:w="22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mxA-2</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58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HR2</w:t>
            </w:r>
          </w:p>
        </w:tc>
        <w:tc>
          <w:tcPr>
            <w:tcW w:w="635"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R-1.MX(bajo)</w:t>
            </w:r>
          </w:p>
        </w:tc>
      </w:tr>
    </w:tbl>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
          <w:bCs/>
          <w:sz w:val="20"/>
        </w:rPr>
        <w:t>Emisiones de Mediano y Largo Plazo</w:t>
      </w:r>
    </w:p>
    <w:p w:rsidR="00346315" w:rsidRPr="00346315" w:rsidRDefault="00346315" w:rsidP="00346315">
      <w:pPr>
        <w:jc w:val="both"/>
        <w:rPr>
          <w:rFonts w:ascii="Verdana" w:hAnsi="Verdana"/>
          <w:bCs/>
          <w:sz w:val="20"/>
        </w:rPr>
      </w:pPr>
      <w:r w:rsidRPr="00346315">
        <w:rPr>
          <w:rFonts w:ascii="Verdana" w:hAnsi="Verdana"/>
          <w:bCs/>
          <w:sz w:val="20"/>
        </w:rPr>
        <w:t>(Con vencimiento mayor a un año)</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270"/>
        <w:gridCol w:w="920"/>
        <w:gridCol w:w="2301"/>
        <w:gridCol w:w="920"/>
        <w:gridCol w:w="2301"/>
      </w:tblGrid>
      <w:tr w:rsidR="00346315" w:rsidRPr="00346315" w:rsidTr="00346315">
        <w:trPr>
          <w:trHeight w:val="333"/>
        </w:trPr>
        <w:tc>
          <w:tcPr>
            <w:tcW w:w="2270"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FITCH MEXICO</w:t>
            </w:r>
          </w:p>
        </w:tc>
        <w:tc>
          <w:tcPr>
            <w:tcW w:w="92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MOODY'S</w:t>
            </w:r>
          </w:p>
        </w:tc>
        <w:tc>
          <w:tcPr>
            <w:tcW w:w="92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VERUM</w:t>
            </w:r>
          </w:p>
        </w:tc>
      </w:tr>
      <w:tr w:rsidR="00346315" w:rsidRPr="00346315" w:rsidTr="00346315">
        <w:trPr>
          <w:trHeight w:val="333"/>
        </w:trPr>
        <w:tc>
          <w:tcPr>
            <w:tcW w:w="22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w:t>
            </w:r>
            <w:proofErr w:type="spellStart"/>
            <w:r w:rsidRPr="00346315">
              <w:rPr>
                <w:rFonts w:ascii="Verdana" w:hAnsi="Verdana"/>
                <w:bCs/>
                <w:sz w:val="20"/>
              </w:rPr>
              <w:t>mex</w:t>
            </w:r>
            <w:proofErr w:type="spellEnd"/>
            <w:r w:rsidRPr="00346315">
              <w:rPr>
                <w:rFonts w:ascii="Verdana" w:hAnsi="Verdana"/>
                <w:bCs/>
                <w:sz w:val="20"/>
              </w:rPr>
              <w:t>)</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A1.mx</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A+/M</w:t>
            </w:r>
          </w:p>
        </w:tc>
      </w:tr>
      <w:tr w:rsidR="00346315" w:rsidRPr="00346315" w:rsidTr="00346315">
        <w:trPr>
          <w:trHeight w:val="333"/>
        </w:trPr>
        <w:tc>
          <w:tcPr>
            <w:tcW w:w="22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w:t>
            </w:r>
            <w:proofErr w:type="spellStart"/>
            <w:r w:rsidRPr="00346315">
              <w:rPr>
                <w:rFonts w:ascii="Verdana" w:hAnsi="Verdana"/>
                <w:bCs/>
                <w:sz w:val="20"/>
              </w:rPr>
              <w:t>mex</w:t>
            </w:r>
            <w:proofErr w:type="spellEnd"/>
            <w:r w:rsidRPr="00346315">
              <w:rPr>
                <w:rFonts w:ascii="Verdana" w:hAnsi="Verdana"/>
                <w:bCs/>
                <w:sz w:val="20"/>
              </w:rPr>
              <w:t>)</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A2.mx</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A/M</w:t>
            </w:r>
          </w:p>
        </w:tc>
      </w:tr>
      <w:tr w:rsidR="00346315" w:rsidRPr="00346315" w:rsidTr="00346315">
        <w:trPr>
          <w:trHeight w:val="343"/>
        </w:trPr>
        <w:tc>
          <w:tcPr>
            <w:tcW w:w="22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w:t>
            </w:r>
            <w:proofErr w:type="spellStart"/>
            <w:r w:rsidRPr="00346315">
              <w:rPr>
                <w:rFonts w:ascii="Verdana" w:hAnsi="Verdana"/>
                <w:bCs/>
                <w:sz w:val="20"/>
              </w:rPr>
              <w:t>mex</w:t>
            </w:r>
            <w:proofErr w:type="spellEnd"/>
            <w:r w:rsidRPr="00346315">
              <w:rPr>
                <w:rFonts w:ascii="Verdana" w:hAnsi="Verdana"/>
                <w:bCs/>
                <w:sz w:val="20"/>
              </w:rPr>
              <w:t>)</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A3.mx</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A-/M</w:t>
            </w:r>
          </w:p>
        </w:tc>
      </w:tr>
    </w:tbl>
    <w:p w:rsidR="00346315" w:rsidRPr="00346315" w:rsidRDefault="00346315" w:rsidP="00346315">
      <w:pPr>
        <w:jc w:val="both"/>
        <w:rPr>
          <w:rFonts w:ascii="Verdana" w:hAnsi="Verdana"/>
          <w:bCs/>
          <w:sz w:val="20"/>
        </w:rPr>
      </w:pPr>
      <w:r w:rsidRPr="00346315">
        <w:rPr>
          <w:rFonts w:ascii="Verdana" w:hAnsi="Verdana"/>
          <w:bCs/>
          <w:sz w:val="20"/>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270"/>
        <w:gridCol w:w="920"/>
        <w:gridCol w:w="2406"/>
        <w:gridCol w:w="815"/>
        <w:gridCol w:w="2301"/>
      </w:tblGrid>
      <w:tr w:rsidR="00346315" w:rsidRPr="00346315" w:rsidTr="00346315">
        <w:trPr>
          <w:trHeight w:val="333"/>
        </w:trPr>
        <w:tc>
          <w:tcPr>
            <w:tcW w:w="2270"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STANDARD &amp; POOR'S</w:t>
            </w:r>
          </w:p>
        </w:tc>
        <w:tc>
          <w:tcPr>
            <w:tcW w:w="92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06"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RATINGS DE MEXICO</w:t>
            </w:r>
          </w:p>
        </w:tc>
        <w:tc>
          <w:tcPr>
            <w:tcW w:w="815"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DBRS RATINGS MEXICO</w:t>
            </w:r>
          </w:p>
        </w:tc>
      </w:tr>
      <w:tr w:rsidR="00346315" w:rsidRPr="00346315" w:rsidTr="00346315">
        <w:trPr>
          <w:trHeight w:val="333"/>
        </w:trPr>
        <w:tc>
          <w:tcPr>
            <w:tcW w:w="22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proofErr w:type="spellStart"/>
            <w:r w:rsidRPr="00346315">
              <w:rPr>
                <w:rFonts w:ascii="Verdana" w:hAnsi="Verdana"/>
                <w:bCs/>
                <w:sz w:val="20"/>
              </w:rPr>
              <w:t>mxA</w:t>
            </w:r>
            <w:proofErr w:type="spellEnd"/>
            <w:r w:rsidRPr="00346315">
              <w:rPr>
                <w:rFonts w:ascii="Verdana" w:hAnsi="Verdana"/>
                <w:bCs/>
                <w:sz w:val="20"/>
              </w:rPr>
              <w:t>+</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0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A+</w:t>
            </w:r>
          </w:p>
        </w:tc>
        <w:tc>
          <w:tcPr>
            <w:tcW w:w="815"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A.MX(alto)</w:t>
            </w:r>
          </w:p>
        </w:tc>
      </w:tr>
      <w:tr w:rsidR="00346315" w:rsidRPr="00346315" w:rsidTr="00346315">
        <w:trPr>
          <w:trHeight w:val="333"/>
        </w:trPr>
        <w:tc>
          <w:tcPr>
            <w:tcW w:w="22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proofErr w:type="spellStart"/>
            <w:r w:rsidRPr="00346315">
              <w:rPr>
                <w:rFonts w:ascii="Verdana" w:hAnsi="Verdana"/>
                <w:bCs/>
                <w:sz w:val="20"/>
              </w:rPr>
              <w:lastRenderedPageBreak/>
              <w:t>mxA</w:t>
            </w:r>
            <w:proofErr w:type="spellEnd"/>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0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A</w:t>
            </w:r>
          </w:p>
        </w:tc>
        <w:tc>
          <w:tcPr>
            <w:tcW w:w="815"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A.MX</w:t>
            </w:r>
          </w:p>
        </w:tc>
      </w:tr>
      <w:tr w:rsidR="00346315" w:rsidRPr="00346315" w:rsidTr="00346315">
        <w:trPr>
          <w:trHeight w:val="343"/>
        </w:trPr>
        <w:tc>
          <w:tcPr>
            <w:tcW w:w="22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proofErr w:type="spellStart"/>
            <w:r w:rsidRPr="00346315">
              <w:rPr>
                <w:rFonts w:ascii="Verdana" w:hAnsi="Verdana"/>
                <w:bCs/>
                <w:sz w:val="20"/>
              </w:rPr>
              <w:t>mxA</w:t>
            </w:r>
            <w:proofErr w:type="spellEnd"/>
            <w:r w:rsidRPr="00346315">
              <w:rPr>
                <w:rFonts w:ascii="Verdana" w:hAnsi="Verdana"/>
                <w:bCs/>
                <w:sz w:val="20"/>
              </w:rPr>
              <w:t>-</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0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A-</w:t>
            </w:r>
          </w:p>
        </w:tc>
        <w:tc>
          <w:tcPr>
            <w:tcW w:w="815"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A.MX(bajo)</w:t>
            </w:r>
          </w:p>
        </w:tc>
      </w:tr>
    </w:tbl>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3      Para dar cumplimiento a lo dispuesto en la disposición Cuarta de las presentes disposiciones, las Administradoras deberán verificar que al menos una de las instituciones calificadoras de valores que emita opinión sobre el Activo Objeto de Inversión tenga cuando menos diez años de experiencia contados a partir de su autorización para organizarse y operar en el mercado mexicano o en alguno de los otros Países Elegibles para Inversiones.</w:t>
      </w:r>
    </w:p>
    <w:p w:rsidR="00346315" w:rsidRPr="00346315" w:rsidRDefault="00346315" w:rsidP="00346315">
      <w:pPr>
        <w:jc w:val="both"/>
        <w:rPr>
          <w:rFonts w:ascii="Verdana" w:hAnsi="Verdana"/>
          <w:bCs/>
          <w:sz w:val="20"/>
        </w:rPr>
      </w:pPr>
      <w:r w:rsidRPr="00346315">
        <w:rPr>
          <w:rFonts w:ascii="Verdana" w:hAnsi="Verdana"/>
          <w:b/>
          <w:bCs/>
          <w:sz w:val="20"/>
        </w:rPr>
        <w:t>ANEXO D4</w:t>
      </w:r>
    </w:p>
    <w:p w:rsidR="00346315" w:rsidRPr="00346315" w:rsidRDefault="00346315" w:rsidP="00346315">
      <w:pPr>
        <w:jc w:val="both"/>
        <w:rPr>
          <w:rFonts w:ascii="Verdana" w:hAnsi="Verdana"/>
          <w:bCs/>
          <w:sz w:val="20"/>
        </w:rPr>
      </w:pPr>
      <w:r w:rsidRPr="00346315">
        <w:rPr>
          <w:rFonts w:ascii="Verdana" w:hAnsi="Verdana"/>
          <w:b/>
          <w:bCs/>
          <w:sz w:val="20"/>
        </w:rPr>
        <w:t>Calificaciones para Instrumentos denominados en Moneda Nacional y Unidades de Inversión, así</w:t>
      </w:r>
      <w:r w:rsidRPr="00346315">
        <w:rPr>
          <w:rFonts w:ascii="Verdana" w:hAnsi="Verdana"/>
          <w:bCs/>
          <w:sz w:val="20"/>
        </w:rPr>
        <w:br/>
      </w:r>
      <w:r w:rsidRPr="00346315">
        <w:rPr>
          <w:rFonts w:ascii="Verdana" w:hAnsi="Verdana"/>
          <w:b/>
          <w:bCs/>
          <w:sz w:val="20"/>
        </w:rPr>
        <w:t>como para Contrapartes Nacionales.</w:t>
      </w:r>
    </w:p>
    <w:p w:rsidR="00346315" w:rsidRPr="00346315" w:rsidRDefault="00346315" w:rsidP="00346315">
      <w:pPr>
        <w:jc w:val="both"/>
        <w:rPr>
          <w:rFonts w:ascii="Verdana" w:hAnsi="Verdana"/>
          <w:bCs/>
          <w:sz w:val="20"/>
        </w:rPr>
      </w:pPr>
      <w:r w:rsidRPr="00346315">
        <w:rPr>
          <w:rFonts w:ascii="Verdana" w:hAnsi="Verdana"/>
          <w:b/>
          <w:bCs/>
          <w:sz w:val="20"/>
        </w:rPr>
        <w:t>Emisiones de Corto Plazo</w:t>
      </w:r>
    </w:p>
    <w:p w:rsidR="00346315" w:rsidRPr="00346315" w:rsidRDefault="00346315" w:rsidP="00346315">
      <w:pPr>
        <w:jc w:val="both"/>
        <w:rPr>
          <w:rFonts w:ascii="Verdana" w:hAnsi="Verdana"/>
          <w:bCs/>
          <w:sz w:val="20"/>
        </w:rPr>
      </w:pPr>
      <w:r w:rsidRPr="00346315">
        <w:rPr>
          <w:rFonts w:ascii="Verdana" w:hAnsi="Verdana"/>
          <w:bCs/>
          <w:sz w:val="20"/>
        </w:rPr>
        <w:t>(Con vencimiento hasta de un año)</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270"/>
        <w:gridCol w:w="920"/>
        <w:gridCol w:w="2301"/>
        <w:gridCol w:w="920"/>
        <w:gridCol w:w="2301"/>
      </w:tblGrid>
      <w:tr w:rsidR="00346315" w:rsidRPr="00346315" w:rsidTr="00346315">
        <w:trPr>
          <w:trHeight w:val="333"/>
        </w:trPr>
        <w:tc>
          <w:tcPr>
            <w:tcW w:w="2270"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FITCH MEXICO</w:t>
            </w:r>
          </w:p>
        </w:tc>
        <w:tc>
          <w:tcPr>
            <w:tcW w:w="92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MOODY'S</w:t>
            </w:r>
          </w:p>
        </w:tc>
        <w:tc>
          <w:tcPr>
            <w:tcW w:w="92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VERUM</w:t>
            </w:r>
          </w:p>
        </w:tc>
      </w:tr>
      <w:tr w:rsidR="00346315" w:rsidRPr="00346315" w:rsidTr="00346315">
        <w:trPr>
          <w:trHeight w:val="343"/>
        </w:trPr>
        <w:tc>
          <w:tcPr>
            <w:tcW w:w="22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F3(</w:t>
            </w:r>
            <w:proofErr w:type="spellStart"/>
            <w:r w:rsidRPr="00346315">
              <w:rPr>
                <w:rFonts w:ascii="Verdana" w:hAnsi="Verdana"/>
                <w:bCs/>
                <w:sz w:val="20"/>
              </w:rPr>
              <w:t>mex</w:t>
            </w:r>
            <w:proofErr w:type="spellEnd"/>
            <w:r w:rsidRPr="00346315">
              <w:rPr>
                <w:rFonts w:ascii="Verdana" w:hAnsi="Verdana"/>
                <w:bCs/>
                <w:sz w:val="20"/>
              </w:rPr>
              <w:t>)</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No aplica</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3/M</w:t>
            </w:r>
          </w:p>
        </w:tc>
      </w:tr>
    </w:tbl>
    <w:p w:rsidR="00346315" w:rsidRPr="00346315" w:rsidRDefault="00346315" w:rsidP="00346315">
      <w:pPr>
        <w:jc w:val="both"/>
        <w:rPr>
          <w:rFonts w:ascii="Verdana" w:hAnsi="Verdana"/>
          <w:bCs/>
          <w:sz w:val="20"/>
        </w:rPr>
      </w:pPr>
      <w:r w:rsidRPr="00346315">
        <w:rPr>
          <w:rFonts w:ascii="Verdana" w:hAnsi="Verdana"/>
          <w:bCs/>
          <w:sz w:val="20"/>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270"/>
        <w:gridCol w:w="920"/>
        <w:gridCol w:w="2496"/>
        <w:gridCol w:w="725"/>
        <w:gridCol w:w="2301"/>
      </w:tblGrid>
      <w:tr w:rsidR="00346315" w:rsidRPr="00346315" w:rsidTr="00346315">
        <w:trPr>
          <w:trHeight w:val="333"/>
        </w:trPr>
        <w:tc>
          <w:tcPr>
            <w:tcW w:w="2270"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STANDARD &amp; POOR'S</w:t>
            </w:r>
          </w:p>
        </w:tc>
        <w:tc>
          <w:tcPr>
            <w:tcW w:w="92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96"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RATINGS DE MEXICO</w:t>
            </w:r>
          </w:p>
        </w:tc>
        <w:tc>
          <w:tcPr>
            <w:tcW w:w="725"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DBRS RATINGS MEXICO</w:t>
            </w:r>
          </w:p>
        </w:tc>
      </w:tr>
      <w:tr w:rsidR="00346315" w:rsidRPr="00346315" w:rsidTr="00346315">
        <w:trPr>
          <w:trHeight w:val="333"/>
        </w:trPr>
        <w:tc>
          <w:tcPr>
            <w:tcW w:w="22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mxA-3</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HR3</w:t>
            </w:r>
          </w:p>
        </w:tc>
        <w:tc>
          <w:tcPr>
            <w:tcW w:w="725"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R-2.MX(alto)</w:t>
            </w:r>
          </w:p>
        </w:tc>
      </w:tr>
      <w:tr w:rsidR="00346315" w:rsidRPr="00346315" w:rsidTr="00346315">
        <w:trPr>
          <w:trHeight w:val="333"/>
        </w:trPr>
        <w:tc>
          <w:tcPr>
            <w:tcW w:w="2270" w:type="dxa"/>
            <w:tcBorders>
              <w:top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92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96" w:type="dxa"/>
            <w:tcBorders>
              <w:top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725" w:type="dxa"/>
            <w:tcBorders>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R-2.MX(medio)</w:t>
            </w:r>
          </w:p>
        </w:tc>
      </w:tr>
      <w:tr w:rsidR="00346315" w:rsidRPr="00346315" w:rsidTr="00346315">
        <w:trPr>
          <w:trHeight w:val="333"/>
        </w:trPr>
        <w:tc>
          <w:tcPr>
            <w:tcW w:w="227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92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96"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725" w:type="dxa"/>
            <w:tcBorders>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R-2.MX(bajo)</w:t>
            </w:r>
          </w:p>
        </w:tc>
      </w:tr>
    </w:tbl>
    <w:p w:rsidR="00346315" w:rsidRPr="00346315" w:rsidRDefault="00346315" w:rsidP="00346315">
      <w:pPr>
        <w:jc w:val="both"/>
        <w:rPr>
          <w:rFonts w:ascii="Verdana" w:hAnsi="Verdana"/>
          <w:bCs/>
          <w:vanish/>
          <w:sz w:val="20"/>
        </w:rPr>
      </w:pP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270"/>
        <w:gridCol w:w="920"/>
        <w:gridCol w:w="2496"/>
        <w:gridCol w:w="725"/>
        <w:gridCol w:w="2301"/>
      </w:tblGrid>
      <w:tr w:rsidR="00346315" w:rsidRPr="00346315" w:rsidTr="00346315">
        <w:trPr>
          <w:trHeight w:val="343"/>
        </w:trPr>
        <w:tc>
          <w:tcPr>
            <w:tcW w:w="227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92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96"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725" w:type="dxa"/>
            <w:tcBorders>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R-3.MX</w:t>
            </w:r>
          </w:p>
        </w:tc>
      </w:tr>
    </w:tbl>
    <w:p w:rsidR="00346315" w:rsidRPr="00346315" w:rsidRDefault="00346315" w:rsidP="00346315">
      <w:pPr>
        <w:jc w:val="both"/>
        <w:rPr>
          <w:rFonts w:ascii="Verdana" w:hAnsi="Verdana"/>
          <w:bCs/>
          <w:sz w:val="20"/>
        </w:rPr>
      </w:pPr>
      <w:r w:rsidRPr="00346315">
        <w:rPr>
          <w:rFonts w:ascii="Verdana" w:hAnsi="Verdana"/>
          <w:b/>
          <w:bCs/>
          <w:sz w:val="20"/>
        </w:rPr>
        <w:t>Emisiones de Mediano y Largo Plazo</w:t>
      </w:r>
    </w:p>
    <w:p w:rsidR="00346315" w:rsidRPr="00346315" w:rsidRDefault="00346315" w:rsidP="00346315">
      <w:pPr>
        <w:jc w:val="both"/>
        <w:rPr>
          <w:rFonts w:ascii="Verdana" w:hAnsi="Verdana"/>
          <w:bCs/>
          <w:sz w:val="20"/>
        </w:rPr>
      </w:pPr>
      <w:r w:rsidRPr="00346315">
        <w:rPr>
          <w:rFonts w:ascii="Verdana" w:hAnsi="Verdana"/>
          <w:bCs/>
          <w:sz w:val="20"/>
        </w:rPr>
        <w:t>(Con vencimiento mayor a un año)</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270"/>
        <w:gridCol w:w="920"/>
        <w:gridCol w:w="2301"/>
        <w:gridCol w:w="920"/>
        <w:gridCol w:w="2301"/>
      </w:tblGrid>
      <w:tr w:rsidR="00346315" w:rsidRPr="00346315" w:rsidTr="00346315">
        <w:trPr>
          <w:trHeight w:val="309"/>
        </w:trPr>
        <w:tc>
          <w:tcPr>
            <w:tcW w:w="2270"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FITCH MEXICO</w:t>
            </w:r>
          </w:p>
        </w:tc>
        <w:tc>
          <w:tcPr>
            <w:tcW w:w="92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MOODY'S</w:t>
            </w:r>
          </w:p>
        </w:tc>
        <w:tc>
          <w:tcPr>
            <w:tcW w:w="92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VERUM</w:t>
            </w:r>
          </w:p>
        </w:tc>
      </w:tr>
      <w:tr w:rsidR="00346315" w:rsidRPr="00346315" w:rsidTr="00346315">
        <w:trPr>
          <w:trHeight w:val="309"/>
        </w:trPr>
        <w:tc>
          <w:tcPr>
            <w:tcW w:w="22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BBB+(</w:t>
            </w:r>
            <w:proofErr w:type="spellStart"/>
            <w:r w:rsidRPr="00346315">
              <w:rPr>
                <w:rFonts w:ascii="Verdana" w:hAnsi="Verdana"/>
                <w:bCs/>
                <w:sz w:val="20"/>
              </w:rPr>
              <w:t>mex</w:t>
            </w:r>
            <w:proofErr w:type="spellEnd"/>
            <w:r w:rsidRPr="00346315">
              <w:rPr>
                <w:rFonts w:ascii="Verdana" w:hAnsi="Verdana"/>
                <w:bCs/>
                <w:sz w:val="20"/>
              </w:rPr>
              <w:t>)</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Baa1.mx</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BBB+/M</w:t>
            </w:r>
          </w:p>
        </w:tc>
      </w:tr>
      <w:tr w:rsidR="00346315" w:rsidRPr="00346315" w:rsidTr="00346315">
        <w:trPr>
          <w:trHeight w:val="319"/>
        </w:trPr>
        <w:tc>
          <w:tcPr>
            <w:tcW w:w="22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BBB(</w:t>
            </w:r>
            <w:proofErr w:type="spellStart"/>
            <w:r w:rsidRPr="00346315">
              <w:rPr>
                <w:rFonts w:ascii="Verdana" w:hAnsi="Verdana"/>
                <w:bCs/>
                <w:sz w:val="20"/>
              </w:rPr>
              <w:t>mex</w:t>
            </w:r>
            <w:proofErr w:type="spellEnd"/>
            <w:r w:rsidRPr="00346315">
              <w:rPr>
                <w:rFonts w:ascii="Verdana" w:hAnsi="Verdana"/>
                <w:bCs/>
                <w:sz w:val="20"/>
              </w:rPr>
              <w:t>)</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Baa2.mx</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BBB/M</w:t>
            </w:r>
          </w:p>
        </w:tc>
      </w:tr>
    </w:tbl>
    <w:p w:rsidR="00346315" w:rsidRPr="00346315" w:rsidRDefault="00346315" w:rsidP="00346315">
      <w:pPr>
        <w:jc w:val="both"/>
        <w:rPr>
          <w:rFonts w:ascii="Verdana" w:hAnsi="Verdana"/>
          <w:bCs/>
          <w:sz w:val="20"/>
        </w:rPr>
      </w:pPr>
      <w:r w:rsidRPr="00346315">
        <w:rPr>
          <w:rFonts w:ascii="Verdana" w:hAnsi="Verdana"/>
          <w:bCs/>
          <w:sz w:val="20"/>
        </w:rPr>
        <w:lastRenderedPageBreak/>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270"/>
        <w:gridCol w:w="920"/>
        <w:gridCol w:w="2496"/>
        <w:gridCol w:w="725"/>
        <w:gridCol w:w="2301"/>
      </w:tblGrid>
      <w:tr w:rsidR="00346315" w:rsidRPr="00346315" w:rsidTr="00346315">
        <w:trPr>
          <w:trHeight w:val="309"/>
        </w:trPr>
        <w:tc>
          <w:tcPr>
            <w:tcW w:w="2270"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STANDARD &amp; POOR'S</w:t>
            </w:r>
          </w:p>
        </w:tc>
        <w:tc>
          <w:tcPr>
            <w:tcW w:w="92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96"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RATINGS DE MEXICO</w:t>
            </w:r>
          </w:p>
        </w:tc>
        <w:tc>
          <w:tcPr>
            <w:tcW w:w="725"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DBRS RATINGS MEXICO</w:t>
            </w:r>
          </w:p>
        </w:tc>
      </w:tr>
      <w:tr w:rsidR="00346315" w:rsidRPr="00346315" w:rsidTr="00346315">
        <w:trPr>
          <w:trHeight w:val="309"/>
        </w:trPr>
        <w:tc>
          <w:tcPr>
            <w:tcW w:w="22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proofErr w:type="spellStart"/>
            <w:r w:rsidRPr="00346315">
              <w:rPr>
                <w:rFonts w:ascii="Verdana" w:hAnsi="Verdana"/>
                <w:bCs/>
                <w:sz w:val="20"/>
              </w:rPr>
              <w:t>mxBBB</w:t>
            </w:r>
            <w:proofErr w:type="spellEnd"/>
            <w:r w:rsidRPr="00346315">
              <w:rPr>
                <w:rFonts w:ascii="Verdana" w:hAnsi="Verdana"/>
                <w:bCs/>
                <w:sz w:val="20"/>
              </w:rPr>
              <w:t>+</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BBB+</w:t>
            </w:r>
          </w:p>
        </w:tc>
        <w:tc>
          <w:tcPr>
            <w:tcW w:w="725"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BBB.MX(alto)</w:t>
            </w:r>
          </w:p>
        </w:tc>
      </w:tr>
      <w:tr w:rsidR="00346315" w:rsidRPr="00346315" w:rsidTr="00346315">
        <w:trPr>
          <w:trHeight w:val="319"/>
        </w:trPr>
        <w:tc>
          <w:tcPr>
            <w:tcW w:w="22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proofErr w:type="spellStart"/>
            <w:r w:rsidRPr="00346315">
              <w:rPr>
                <w:rFonts w:ascii="Verdana" w:hAnsi="Verdana"/>
                <w:bCs/>
                <w:sz w:val="20"/>
              </w:rPr>
              <w:t>mxBBB</w:t>
            </w:r>
            <w:proofErr w:type="spellEnd"/>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BBB</w:t>
            </w:r>
          </w:p>
        </w:tc>
        <w:tc>
          <w:tcPr>
            <w:tcW w:w="725"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BBB.MX</w:t>
            </w:r>
          </w:p>
        </w:tc>
      </w:tr>
    </w:tbl>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4      Para dar cumplimiento a lo dispuesto en la disposición Cuarta de las presentes disposiciones, las Administradoras deberán verificar que al menos una de las instituciones calificadoras de valores que emita opinión sobre el Activo Objeto de Inversión tenga cuando menos diez años de experiencia contados a partir de su autorización para organizarse y operar en el mercado mexicano o en alguno de los otros Países Elegibles para Inversiones.</w:t>
      </w:r>
    </w:p>
    <w:p w:rsidR="00346315" w:rsidRPr="00346315" w:rsidRDefault="00346315" w:rsidP="00346315">
      <w:pPr>
        <w:jc w:val="both"/>
        <w:rPr>
          <w:rFonts w:ascii="Verdana" w:hAnsi="Verdana"/>
          <w:bCs/>
          <w:sz w:val="20"/>
        </w:rPr>
      </w:pPr>
      <w:r w:rsidRPr="00346315">
        <w:rPr>
          <w:rFonts w:ascii="Verdana" w:hAnsi="Verdana"/>
          <w:b/>
          <w:bCs/>
          <w:sz w:val="20"/>
        </w:rPr>
        <w:t>ANEXO E5</w:t>
      </w:r>
    </w:p>
    <w:p w:rsidR="00346315" w:rsidRPr="00346315" w:rsidRDefault="00346315" w:rsidP="00346315">
      <w:pPr>
        <w:jc w:val="both"/>
        <w:rPr>
          <w:rFonts w:ascii="Verdana" w:hAnsi="Verdana"/>
          <w:bCs/>
          <w:sz w:val="20"/>
        </w:rPr>
      </w:pPr>
      <w:r w:rsidRPr="00346315">
        <w:rPr>
          <w:rFonts w:ascii="Verdana" w:hAnsi="Verdana"/>
          <w:b/>
          <w:bCs/>
          <w:sz w:val="20"/>
        </w:rPr>
        <w:t>Calificaciones para Obligaciones Subordinadas denominados en Moneda Nacional y Unidades de</w:t>
      </w:r>
      <w:r w:rsidRPr="00346315">
        <w:rPr>
          <w:rFonts w:ascii="Verdana" w:hAnsi="Verdana"/>
          <w:bCs/>
          <w:sz w:val="20"/>
        </w:rPr>
        <w:br/>
      </w:r>
      <w:r w:rsidRPr="00346315">
        <w:rPr>
          <w:rFonts w:ascii="Verdana" w:hAnsi="Verdana"/>
          <w:b/>
          <w:bCs/>
          <w:sz w:val="20"/>
        </w:rPr>
        <w:t>Inversión.6</w:t>
      </w:r>
    </w:p>
    <w:p w:rsidR="00346315" w:rsidRPr="00346315" w:rsidRDefault="00346315" w:rsidP="00346315">
      <w:pPr>
        <w:jc w:val="both"/>
        <w:rPr>
          <w:rFonts w:ascii="Verdana" w:hAnsi="Verdana"/>
          <w:bCs/>
          <w:sz w:val="20"/>
        </w:rPr>
      </w:pPr>
      <w:r w:rsidRPr="00346315">
        <w:rPr>
          <w:rFonts w:ascii="Verdana" w:hAnsi="Verdana"/>
          <w:b/>
          <w:bCs/>
          <w:sz w:val="20"/>
        </w:rPr>
        <w:t>Emisiones de Corto Plazo</w:t>
      </w:r>
    </w:p>
    <w:p w:rsidR="00346315" w:rsidRPr="00346315" w:rsidRDefault="00346315" w:rsidP="00346315">
      <w:pPr>
        <w:jc w:val="both"/>
        <w:rPr>
          <w:rFonts w:ascii="Verdana" w:hAnsi="Verdana"/>
          <w:bCs/>
          <w:sz w:val="20"/>
        </w:rPr>
      </w:pPr>
      <w:r w:rsidRPr="00346315">
        <w:rPr>
          <w:rFonts w:ascii="Verdana" w:hAnsi="Verdana"/>
          <w:bCs/>
          <w:sz w:val="20"/>
        </w:rPr>
        <w:t>(Con vencimiento hasta de un año)</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270"/>
        <w:gridCol w:w="920"/>
        <w:gridCol w:w="2301"/>
        <w:gridCol w:w="920"/>
        <w:gridCol w:w="2301"/>
      </w:tblGrid>
      <w:tr w:rsidR="00346315" w:rsidRPr="00346315" w:rsidTr="00346315">
        <w:trPr>
          <w:trHeight w:val="309"/>
        </w:trPr>
        <w:tc>
          <w:tcPr>
            <w:tcW w:w="2270"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FITCH MEXICO</w:t>
            </w:r>
          </w:p>
        </w:tc>
        <w:tc>
          <w:tcPr>
            <w:tcW w:w="92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MOODY'S</w:t>
            </w:r>
          </w:p>
        </w:tc>
        <w:tc>
          <w:tcPr>
            <w:tcW w:w="92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VERUM</w:t>
            </w:r>
          </w:p>
        </w:tc>
      </w:tr>
      <w:tr w:rsidR="00346315" w:rsidRPr="00346315" w:rsidTr="00346315">
        <w:trPr>
          <w:trHeight w:val="319"/>
        </w:trPr>
        <w:tc>
          <w:tcPr>
            <w:tcW w:w="22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F3(</w:t>
            </w:r>
            <w:proofErr w:type="spellStart"/>
            <w:r w:rsidRPr="00346315">
              <w:rPr>
                <w:rFonts w:ascii="Verdana" w:hAnsi="Verdana"/>
                <w:bCs/>
                <w:sz w:val="20"/>
              </w:rPr>
              <w:t>mex</w:t>
            </w:r>
            <w:proofErr w:type="spellEnd"/>
            <w:r w:rsidRPr="00346315">
              <w:rPr>
                <w:rFonts w:ascii="Verdana" w:hAnsi="Verdana"/>
                <w:bCs/>
                <w:sz w:val="20"/>
              </w:rPr>
              <w:t>)</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MX-3</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3/M</w:t>
            </w:r>
          </w:p>
        </w:tc>
      </w:tr>
    </w:tbl>
    <w:p w:rsidR="00346315" w:rsidRPr="00346315" w:rsidRDefault="00346315" w:rsidP="00346315">
      <w:pPr>
        <w:jc w:val="both"/>
        <w:rPr>
          <w:rFonts w:ascii="Verdana" w:hAnsi="Verdana"/>
          <w:bCs/>
          <w:sz w:val="20"/>
        </w:rPr>
      </w:pPr>
      <w:r w:rsidRPr="00346315">
        <w:rPr>
          <w:rFonts w:ascii="Verdana" w:hAnsi="Verdana"/>
          <w:bCs/>
          <w:sz w:val="20"/>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270"/>
        <w:gridCol w:w="920"/>
        <w:gridCol w:w="2496"/>
        <w:gridCol w:w="725"/>
        <w:gridCol w:w="2301"/>
      </w:tblGrid>
      <w:tr w:rsidR="00346315" w:rsidRPr="00346315" w:rsidTr="00346315">
        <w:trPr>
          <w:trHeight w:val="309"/>
        </w:trPr>
        <w:tc>
          <w:tcPr>
            <w:tcW w:w="2270"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STANDARD &amp; POOR'S</w:t>
            </w:r>
          </w:p>
        </w:tc>
        <w:tc>
          <w:tcPr>
            <w:tcW w:w="92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96"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RATINGS DE MEXICO</w:t>
            </w:r>
          </w:p>
        </w:tc>
        <w:tc>
          <w:tcPr>
            <w:tcW w:w="725"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DBRS RATINGS MEXICO</w:t>
            </w:r>
          </w:p>
        </w:tc>
      </w:tr>
      <w:tr w:rsidR="00346315" w:rsidRPr="00346315" w:rsidTr="00346315">
        <w:trPr>
          <w:trHeight w:val="309"/>
        </w:trPr>
        <w:tc>
          <w:tcPr>
            <w:tcW w:w="22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mxA-3</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HR3</w:t>
            </w:r>
          </w:p>
        </w:tc>
        <w:tc>
          <w:tcPr>
            <w:tcW w:w="725"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R-2.MX(alto)</w:t>
            </w:r>
          </w:p>
        </w:tc>
      </w:tr>
      <w:tr w:rsidR="00346315" w:rsidRPr="00346315" w:rsidTr="00346315">
        <w:trPr>
          <w:trHeight w:val="309"/>
        </w:trPr>
        <w:tc>
          <w:tcPr>
            <w:tcW w:w="2270" w:type="dxa"/>
            <w:tcBorders>
              <w:top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92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96" w:type="dxa"/>
            <w:tcBorders>
              <w:top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725" w:type="dxa"/>
            <w:tcBorders>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R-2.MX(medio)</w:t>
            </w:r>
          </w:p>
        </w:tc>
      </w:tr>
      <w:tr w:rsidR="00346315" w:rsidRPr="00346315" w:rsidTr="00346315">
        <w:trPr>
          <w:trHeight w:val="309"/>
        </w:trPr>
        <w:tc>
          <w:tcPr>
            <w:tcW w:w="227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92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96"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725" w:type="dxa"/>
            <w:tcBorders>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R-2.MX(bajo)</w:t>
            </w:r>
          </w:p>
        </w:tc>
      </w:tr>
      <w:tr w:rsidR="00346315" w:rsidRPr="00346315" w:rsidTr="00346315">
        <w:trPr>
          <w:trHeight w:val="319"/>
        </w:trPr>
        <w:tc>
          <w:tcPr>
            <w:tcW w:w="227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92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96"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725" w:type="dxa"/>
            <w:tcBorders>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R-3.MX</w:t>
            </w:r>
          </w:p>
        </w:tc>
      </w:tr>
    </w:tbl>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
          <w:bCs/>
          <w:sz w:val="20"/>
        </w:rPr>
        <w:t>Emisiones de Mediano y Largo Plazo</w:t>
      </w:r>
    </w:p>
    <w:p w:rsidR="00346315" w:rsidRPr="00346315" w:rsidRDefault="00346315" w:rsidP="00346315">
      <w:pPr>
        <w:jc w:val="both"/>
        <w:rPr>
          <w:rFonts w:ascii="Verdana" w:hAnsi="Verdana"/>
          <w:bCs/>
          <w:sz w:val="20"/>
        </w:rPr>
      </w:pPr>
      <w:r w:rsidRPr="00346315">
        <w:rPr>
          <w:rFonts w:ascii="Verdana" w:hAnsi="Verdana"/>
          <w:bCs/>
          <w:sz w:val="20"/>
        </w:rPr>
        <w:t>(Con vencimiento mayor a un año)</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270"/>
        <w:gridCol w:w="920"/>
        <w:gridCol w:w="2301"/>
        <w:gridCol w:w="920"/>
        <w:gridCol w:w="2301"/>
      </w:tblGrid>
      <w:tr w:rsidR="00346315" w:rsidRPr="00346315" w:rsidTr="00346315">
        <w:trPr>
          <w:trHeight w:val="309"/>
        </w:trPr>
        <w:tc>
          <w:tcPr>
            <w:tcW w:w="2270"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lastRenderedPageBreak/>
              <w:t>FITCH MEXICO</w:t>
            </w:r>
          </w:p>
        </w:tc>
        <w:tc>
          <w:tcPr>
            <w:tcW w:w="92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MOODY'S</w:t>
            </w:r>
          </w:p>
        </w:tc>
        <w:tc>
          <w:tcPr>
            <w:tcW w:w="92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VERUM</w:t>
            </w:r>
          </w:p>
        </w:tc>
      </w:tr>
      <w:tr w:rsidR="00346315" w:rsidRPr="00346315" w:rsidTr="00346315">
        <w:trPr>
          <w:trHeight w:val="309"/>
        </w:trPr>
        <w:tc>
          <w:tcPr>
            <w:tcW w:w="22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BBB-(</w:t>
            </w:r>
            <w:proofErr w:type="spellStart"/>
            <w:r w:rsidRPr="00346315">
              <w:rPr>
                <w:rFonts w:ascii="Verdana" w:hAnsi="Verdana"/>
                <w:bCs/>
                <w:sz w:val="20"/>
              </w:rPr>
              <w:t>mex</w:t>
            </w:r>
            <w:proofErr w:type="spellEnd"/>
            <w:r w:rsidRPr="00346315">
              <w:rPr>
                <w:rFonts w:ascii="Verdana" w:hAnsi="Verdana"/>
                <w:bCs/>
                <w:sz w:val="20"/>
              </w:rPr>
              <w:t>)</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Baa3.mx</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BBB-/M</w:t>
            </w:r>
          </w:p>
        </w:tc>
      </w:tr>
      <w:tr w:rsidR="00346315" w:rsidRPr="00346315" w:rsidTr="00346315">
        <w:trPr>
          <w:trHeight w:val="319"/>
        </w:trPr>
        <w:tc>
          <w:tcPr>
            <w:tcW w:w="22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w:t>
            </w:r>
            <w:proofErr w:type="spellStart"/>
            <w:r w:rsidRPr="00346315">
              <w:rPr>
                <w:rFonts w:ascii="Verdana" w:hAnsi="Verdana"/>
                <w:bCs/>
                <w:sz w:val="20"/>
              </w:rPr>
              <w:t>mex</w:t>
            </w:r>
            <w:proofErr w:type="spellEnd"/>
            <w:r w:rsidRPr="00346315">
              <w:rPr>
                <w:rFonts w:ascii="Verdana" w:hAnsi="Verdana"/>
                <w:bCs/>
                <w:sz w:val="20"/>
              </w:rPr>
              <w:t>)</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Ba1.mx</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BB+/M</w:t>
            </w:r>
          </w:p>
        </w:tc>
      </w:tr>
    </w:tbl>
    <w:p w:rsidR="00346315" w:rsidRPr="00346315" w:rsidRDefault="00346315" w:rsidP="00346315">
      <w:pPr>
        <w:jc w:val="both"/>
        <w:rPr>
          <w:rFonts w:ascii="Verdana" w:hAnsi="Verdana"/>
          <w:bCs/>
          <w:sz w:val="20"/>
        </w:rPr>
      </w:pPr>
      <w:r w:rsidRPr="00346315">
        <w:rPr>
          <w:rFonts w:ascii="Verdana" w:hAnsi="Verdana"/>
          <w:bCs/>
          <w:sz w:val="20"/>
        </w:rPr>
        <w:t> </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270"/>
        <w:gridCol w:w="920"/>
        <w:gridCol w:w="2496"/>
        <w:gridCol w:w="725"/>
        <w:gridCol w:w="2301"/>
      </w:tblGrid>
      <w:tr w:rsidR="00346315" w:rsidRPr="00346315" w:rsidTr="00346315">
        <w:trPr>
          <w:trHeight w:val="309"/>
        </w:trPr>
        <w:tc>
          <w:tcPr>
            <w:tcW w:w="2270"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STANDARD &amp; POOR'S</w:t>
            </w:r>
          </w:p>
        </w:tc>
        <w:tc>
          <w:tcPr>
            <w:tcW w:w="92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96"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RATINGS DE MEXICO</w:t>
            </w:r>
          </w:p>
        </w:tc>
        <w:tc>
          <w:tcPr>
            <w:tcW w:w="725"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DBRS RATINGS MEXICO</w:t>
            </w:r>
          </w:p>
        </w:tc>
      </w:tr>
      <w:tr w:rsidR="00346315" w:rsidRPr="00346315" w:rsidTr="00346315">
        <w:trPr>
          <w:trHeight w:val="309"/>
        </w:trPr>
        <w:tc>
          <w:tcPr>
            <w:tcW w:w="22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proofErr w:type="spellStart"/>
            <w:r w:rsidRPr="00346315">
              <w:rPr>
                <w:rFonts w:ascii="Verdana" w:hAnsi="Verdana"/>
                <w:bCs/>
                <w:sz w:val="20"/>
              </w:rPr>
              <w:t>mxBBB</w:t>
            </w:r>
            <w:proofErr w:type="spellEnd"/>
            <w:r w:rsidRPr="00346315">
              <w:rPr>
                <w:rFonts w:ascii="Verdana" w:hAnsi="Verdana"/>
                <w:bCs/>
                <w:sz w:val="20"/>
              </w:rPr>
              <w:t>-</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BBB-</w:t>
            </w:r>
          </w:p>
        </w:tc>
        <w:tc>
          <w:tcPr>
            <w:tcW w:w="725"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BBB.MX(bajo)</w:t>
            </w:r>
          </w:p>
        </w:tc>
      </w:tr>
      <w:tr w:rsidR="00346315" w:rsidRPr="00346315" w:rsidTr="00346315">
        <w:trPr>
          <w:trHeight w:val="319"/>
        </w:trPr>
        <w:tc>
          <w:tcPr>
            <w:tcW w:w="2270"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proofErr w:type="spellStart"/>
            <w:r w:rsidRPr="00346315">
              <w:rPr>
                <w:rFonts w:ascii="Verdana" w:hAnsi="Verdana"/>
                <w:bCs/>
                <w:sz w:val="20"/>
              </w:rPr>
              <w:t>mxBB</w:t>
            </w:r>
            <w:proofErr w:type="spellEnd"/>
            <w:r w:rsidRPr="00346315">
              <w:rPr>
                <w:rFonts w:ascii="Verdana" w:hAnsi="Verdana"/>
                <w:bCs/>
                <w:sz w:val="20"/>
              </w:rPr>
              <w:t>+</w:t>
            </w:r>
          </w:p>
        </w:tc>
        <w:tc>
          <w:tcPr>
            <w:tcW w:w="92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BB+</w:t>
            </w:r>
          </w:p>
        </w:tc>
        <w:tc>
          <w:tcPr>
            <w:tcW w:w="725"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BB.MX(alto)</w:t>
            </w:r>
          </w:p>
        </w:tc>
      </w:tr>
    </w:tbl>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5      Para dar cumplimiento a lo dispuesto en la disposición Cuarta de las presentes disposiciones, las Administradoras deberán verificar que al menos una de las instituciones calificadoras de valores que emita opinión sobre el Activo Objeto de Inversión tenga cuando menos diez años de experiencia contados a partir de su autorización para organizarse y operar en el mercado mexicano o en alguno de los otros Países Elegibles para Inversiones.</w:t>
      </w:r>
    </w:p>
    <w:p w:rsidR="00346315" w:rsidRPr="00346315" w:rsidRDefault="00346315" w:rsidP="00346315">
      <w:pPr>
        <w:jc w:val="both"/>
        <w:rPr>
          <w:rFonts w:ascii="Verdana" w:hAnsi="Verdana"/>
          <w:bCs/>
          <w:sz w:val="20"/>
        </w:rPr>
      </w:pPr>
      <w:r w:rsidRPr="00346315">
        <w:rPr>
          <w:rFonts w:ascii="Verdana" w:hAnsi="Verdana"/>
          <w:bCs/>
          <w:sz w:val="20"/>
        </w:rPr>
        <w:t>6      Obligaciones subordinadas a las definidas en la fracción XLIX incisos c), d) y e) de la disposición</w:t>
      </w:r>
    </w:p>
    <w:p w:rsidR="00346315" w:rsidRPr="00346315" w:rsidRDefault="00346315" w:rsidP="00346315">
      <w:pPr>
        <w:jc w:val="both"/>
        <w:rPr>
          <w:rFonts w:ascii="Verdana" w:hAnsi="Verdana"/>
          <w:bCs/>
          <w:sz w:val="20"/>
        </w:rPr>
      </w:pPr>
      <w:r w:rsidRPr="00346315">
        <w:rPr>
          <w:rFonts w:ascii="Verdana" w:hAnsi="Verdana"/>
          <w:bCs/>
          <w:sz w:val="20"/>
        </w:rPr>
        <w:t>Segunda de las presentes disposiciones.</w:t>
      </w:r>
    </w:p>
    <w:p w:rsidR="00346315" w:rsidRPr="00346315" w:rsidRDefault="00346315" w:rsidP="00346315">
      <w:pPr>
        <w:jc w:val="both"/>
        <w:rPr>
          <w:rFonts w:ascii="Verdana" w:hAnsi="Verdana"/>
          <w:bCs/>
          <w:sz w:val="20"/>
        </w:rPr>
      </w:pPr>
      <w:r w:rsidRPr="00346315">
        <w:rPr>
          <w:rFonts w:ascii="Verdana" w:hAnsi="Verdana"/>
          <w:b/>
          <w:bCs/>
          <w:sz w:val="20"/>
        </w:rPr>
        <w:t>ANEXO F7</w:t>
      </w:r>
    </w:p>
    <w:p w:rsidR="00346315" w:rsidRPr="00346315" w:rsidRDefault="00346315" w:rsidP="00346315">
      <w:pPr>
        <w:jc w:val="both"/>
        <w:rPr>
          <w:rFonts w:ascii="Verdana" w:hAnsi="Verdana"/>
          <w:bCs/>
          <w:sz w:val="20"/>
        </w:rPr>
      </w:pPr>
      <w:r w:rsidRPr="00346315">
        <w:rPr>
          <w:rFonts w:ascii="Verdana" w:hAnsi="Verdana"/>
          <w:b/>
          <w:bCs/>
          <w:sz w:val="20"/>
        </w:rPr>
        <w:t>Calificaciones para Instrumentos denominados en Divisas.</w:t>
      </w:r>
    </w:p>
    <w:p w:rsidR="00346315" w:rsidRPr="00346315" w:rsidRDefault="00346315" w:rsidP="00346315">
      <w:pPr>
        <w:jc w:val="both"/>
        <w:rPr>
          <w:rFonts w:ascii="Verdana" w:hAnsi="Verdana"/>
          <w:bCs/>
          <w:sz w:val="20"/>
        </w:rPr>
      </w:pPr>
      <w:r w:rsidRPr="00346315">
        <w:rPr>
          <w:rFonts w:ascii="Verdana" w:hAnsi="Verdana"/>
          <w:b/>
          <w:bCs/>
          <w:sz w:val="20"/>
        </w:rPr>
        <w:t>Emisiones de corto plazo</w:t>
      </w:r>
    </w:p>
    <w:p w:rsidR="00346315" w:rsidRPr="00346315" w:rsidRDefault="00346315" w:rsidP="00346315">
      <w:pPr>
        <w:jc w:val="both"/>
        <w:rPr>
          <w:rFonts w:ascii="Verdana" w:hAnsi="Verdana"/>
          <w:bCs/>
          <w:sz w:val="20"/>
        </w:rPr>
      </w:pPr>
      <w:r w:rsidRPr="00346315">
        <w:rPr>
          <w:rFonts w:ascii="Verdana" w:hAnsi="Verdana"/>
          <w:bCs/>
          <w:sz w:val="20"/>
        </w:rPr>
        <w:t>(Con vencimiento hasta de un año)</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290"/>
        <w:gridCol w:w="1069"/>
        <w:gridCol w:w="2178"/>
        <w:gridCol w:w="1068"/>
        <w:gridCol w:w="2107"/>
      </w:tblGrid>
      <w:tr w:rsidR="00346315" w:rsidRPr="00346315" w:rsidTr="00346315">
        <w:trPr>
          <w:trHeight w:val="308"/>
        </w:trPr>
        <w:tc>
          <w:tcPr>
            <w:tcW w:w="2290"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MOODY'S</w:t>
            </w:r>
          </w:p>
        </w:tc>
        <w:tc>
          <w:tcPr>
            <w:tcW w:w="1069"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178"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FITCH IBCA</w:t>
            </w:r>
          </w:p>
        </w:tc>
        <w:tc>
          <w:tcPr>
            <w:tcW w:w="1068"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107"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DBRS RATINGS MEXICO</w:t>
            </w:r>
          </w:p>
        </w:tc>
      </w:tr>
      <w:tr w:rsidR="00346315" w:rsidRPr="00346315" w:rsidTr="00346315">
        <w:trPr>
          <w:trHeight w:val="308"/>
        </w:trPr>
        <w:tc>
          <w:tcPr>
            <w:tcW w:w="22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P-1</w:t>
            </w:r>
          </w:p>
        </w:tc>
        <w:tc>
          <w:tcPr>
            <w:tcW w:w="1069"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178"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F1+ / F1</w:t>
            </w:r>
          </w:p>
        </w:tc>
        <w:tc>
          <w:tcPr>
            <w:tcW w:w="1068"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10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R-1(</w:t>
            </w:r>
            <w:proofErr w:type="spellStart"/>
            <w:r w:rsidRPr="00346315">
              <w:rPr>
                <w:rFonts w:ascii="Verdana" w:hAnsi="Verdana"/>
                <w:bCs/>
                <w:sz w:val="20"/>
              </w:rPr>
              <w:t>high</w:t>
            </w:r>
            <w:proofErr w:type="spellEnd"/>
            <w:r w:rsidRPr="00346315">
              <w:rPr>
                <w:rFonts w:ascii="Verdana" w:hAnsi="Verdana"/>
                <w:bCs/>
                <w:sz w:val="20"/>
              </w:rPr>
              <w:t>) / R-1(</w:t>
            </w:r>
            <w:proofErr w:type="spellStart"/>
            <w:r w:rsidRPr="00346315">
              <w:rPr>
                <w:rFonts w:ascii="Verdana" w:hAnsi="Verdana"/>
                <w:bCs/>
                <w:sz w:val="20"/>
              </w:rPr>
              <w:t>middle</w:t>
            </w:r>
            <w:proofErr w:type="spellEnd"/>
            <w:r w:rsidRPr="00346315">
              <w:rPr>
                <w:rFonts w:ascii="Verdana" w:hAnsi="Verdana"/>
                <w:bCs/>
                <w:sz w:val="20"/>
              </w:rPr>
              <w:t>)</w:t>
            </w:r>
          </w:p>
        </w:tc>
      </w:tr>
      <w:tr w:rsidR="00346315" w:rsidRPr="00346315" w:rsidTr="00346315">
        <w:trPr>
          <w:trHeight w:val="318"/>
        </w:trPr>
        <w:tc>
          <w:tcPr>
            <w:tcW w:w="2290"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P-2</w:t>
            </w:r>
          </w:p>
        </w:tc>
        <w:tc>
          <w:tcPr>
            <w:tcW w:w="1069"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178"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F2</w:t>
            </w:r>
          </w:p>
        </w:tc>
        <w:tc>
          <w:tcPr>
            <w:tcW w:w="1068"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10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R-1(</w:t>
            </w:r>
            <w:proofErr w:type="spellStart"/>
            <w:r w:rsidRPr="00346315">
              <w:rPr>
                <w:rFonts w:ascii="Verdana" w:hAnsi="Verdana"/>
                <w:bCs/>
                <w:sz w:val="20"/>
              </w:rPr>
              <w:t>low</w:t>
            </w:r>
            <w:proofErr w:type="spellEnd"/>
            <w:r w:rsidRPr="00346315">
              <w:rPr>
                <w:rFonts w:ascii="Verdana" w:hAnsi="Verdana"/>
                <w:bCs/>
                <w:sz w:val="20"/>
              </w:rPr>
              <w:t>)</w:t>
            </w:r>
          </w:p>
        </w:tc>
      </w:tr>
    </w:tbl>
    <w:p w:rsidR="00346315" w:rsidRPr="00346315" w:rsidRDefault="00346315" w:rsidP="00346315">
      <w:pPr>
        <w:jc w:val="both"/>
        <w:rPr>
          <w:rFonts w:ascii="Verdana" w:hAnsi="Verdana"/>
          <w:bCs/>
          <w:sz w:val="20"/>
        </w:rPr>
      </w:pPr>
      <w:r w:rsidRPr="00346315">
        <w:rPr>
          <w:rFonts w:ascii="Verdana" w:hAnsi="Verdana"/>
          <w:bCs/>
          <w:sz w:val="20"/>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203"/>
        <w:gridCol w:w="2070"/>
        <w:gridCol w:w="2494"/>
      </w:tblGrid>
      <w:tr w:rsidR="00346315" w:rsidRPr="00346315" w:rsidTr="00346315">
        <w:trPr>
          <w:trHeight w:val="308"/>
        </w:trPr>
        <w:tc>
          <w:tcPr>
            <w:tcW w:w="2203"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STANDARD &amp; POOR'S</w:t>
            </w:r>
          </w:p>
        </w:tc>
        <w:tc>
          <w:tcPr>
            <w:tcW w:w="207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94"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RATINGS DE MEXICO</w:t>
            </w:r>
          </w:p>
        </w:tc>
      </w:tr>
      <w:tr w:rsidR="00346315" w:rsidRPr="00346315" w:rsidTr="00346315">
        <w:trPr>
          <w:trHeight w:val="308"/>
        </w:trPr>
        <w:tc>
          <w:tcPr>
            <w:tcW w:w="22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lastRenderedPageBreak/>
              <w:t>A-1+ /A-1</w:t>
            </w:r>
          </w:p>
        </w:tc>
        <w:tc>
          <w:tcPr>
            <w:tcW w:w="207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94"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+ 1(G)/ HR1(G)</w:t>
            </w:r>
          </w:p>
        </w:tc>
      </w:tr>
      <w:tr w:rsidR="00346315" w:rsidRPr="00346315" w:rsidTr="00346315">
        <w:trPr>
          <w:trHeight w:val="318"/>
        </w:trPr>
        <w:tc>
          <w:tcPr>
            <w:tcW w:w="22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A-2</w:t>
            </w:r>
          </w:p>
        </w:tc>
        <w:tc>
          <w:tcPr>
            <w:tcW w:w="207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94"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HR2(G)</w:t>
            </w:r>
          </w:p>
        </w:tc>
      </w:tr>
    </w:tbl>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
          <w:bCs/>
          <w:sz w:val="20"/>
        </w:rPr>
        <w:t>Emisiones de mediano y largo plazo</w:t>
      </w:r>
    </w:p>
    <w:p w:rsidR="00346315" w:rsidRPr="00346315" w:rsidRDefault="00346315" w:rsidP="00346315">
      <w:pPr>
        <w:jc w:val="both"/>
        <w:rPr>
          <w:rFonts w:ascii="Verdana" w:hAnsi="Verdana"/>
          <w:bCs/>
          <w:sz w:val="20"/>
        </w:rPr>
      </w:pPr>
      <w:r w:rsidRPr="00346315">
        <w:rPr>
          <w:rFonts w:ascii="Verdana" w:hAnsi="Verdana"/>
          <w:bCs/>
          <w:sz w:val="20"/>
        </w:rPr>
        <w:t>(Con vencimiento mayor a un año)</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143"/>
        <w:gridCol w:w="1000"/>
        <w:gridCol w:w="2285"/>
        <w:gridCol w:w="999"/>
        <w:gridCol w:w="2285"/>
      </w:tblGrid>
      <w:tr w:rsidR="00346315" w:rsidRPr="00346315" w:rsidTr="00346315">
        <w:trPr>
          <w:trHeight w:val="308"/>
        </w:trPr>
        <w:tc>
          <w:tcPr>
            <w:tcW w:w="2143"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MOODY'S</w:t>
            </w:r>
          </w:p>
        </w:tc>
        <w:tc>
          <w:tcPr>
            <w:tcW w:w="100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85"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FITCH IBCA</w:t>
            </w:r>
          </w:p>
        </w:tc>
        <w:tc>
          <w:tcPr>
            <w:tcW w:w="999"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85"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DBRS RATINGS MEXICO</w:t>
            </w:r>
          </w:p>
        </w:tc>
      </w:tr>
      <w:tr w:rsidR="00346315" w:rsidRPr="00346315" w:rsidTr="00346315">
        <w:trPr>
          <w:trHeight w:val="308"/>
        </w:trPr>
        <w:tc>
          <w:tcPr>
            <w:tcW w:w="21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proofErr w:type="spellStart"/>
            <w:r w:rsidRPr="00346315">
              <w:rPr>
                <w:rFonts w:ascii="Verdana" w:hAnsi="Verdana"/>
                <w:bCs/>
                <w:sz w:val="20"/>
              </w:rPr>
              <w:t>Aaa</w:t>
            </w:r>
            <w:proofErr w:type="spellEnd"/>
          </w:p>
        </w:tc>
        <w:tc>
          <w:tcPr>
            <w:tcW w:w="100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AAA</w:t>
            </w:r>
          </w:p>
        </w:tc>
        <w:tc>
          <w:tcPr>
            <w:tcW w:w="999"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AAA</w:t>
            </w:r>
          </w:p>
        </w:tc>
      </w:tr>
      <w:tr w:rsidR="00346315" w:rsidRPr="00346315" w:rsidTr="00346315">
        <w:trPr>
          <w:trHeight w:val="308"/>
        </w:trPr>
        <w:tc>
          <w:tcPr>
            <w:tcW w:w="21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Aa1/ Aa2 / Aa3</w:t>
            </w:r>
          </w:p>
        </w:tc>
        <w:tc>
          <w:tcPr>
            <w:tcW w:w="100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AA+/ AA / AA-</w:t>
            </w:r>
          </w:p>
        </w:tc>
        <w:tc>
          <w:tcPr>
            <w:tcW w:w="999"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AA(</w:t>
            </w:r>
            <w:proofErr w:type="spellStart"/>
            <w:r w:rsidRPr="00346315">
              <w:rPr>
                <w:rFonts w:ascii="Verdana" w:hAnsi="Verdana"/>
                <w:bCs/>
                <w:sz w:val="20"/>
              </w:rPr>
              <w:t>high</w:t>
            </w:r>
            <w:proofErr w:type="spellEnd"/>
            <w:r w:rsidRPr="00346315">
              <w:rPr>
                <w:rFonts w:ascii="Verdana" w:hAnsi="Verdana"/>
                <w:bCs/>
                <w:sz w:val="20"/>
              </w:rPr>
              <w:t>) / AA / AA(</w:t>
            </w:r>
            <w:proofErr w:type="spellStart"/>
            <w:r w:rsidRPr="00346315">
              <w:rPr>
                <w:rFonts w:ascii="Verdana" w:hAnsi="Verdana"/>
                <w:bCs/>
                <w:sz w:val="20"/>
              </w:rPr>
              <w:t>low</w:t>
            </w:r>
            <w:proofErr w:type="spellEnd"/>
            <w:r w:rsidRPr="00346315">
              <w:rPr>
                <w:rFonts w:ascii="Verdana" w:hAnsi="Verdana"/>
                <w:bCs/>
                <w:sz w:val="20"/>
              </w:rPr>
              <w:t>)</w:t>
            </w:r>
          </w:p>
        </w:tc>
      </w:tr>
      <w:tr w:rsidR="00346315" w:rsidRPr="00346315" w:rsidTr="00346315">
        <w:trPr>
          <w:trHeight w:val="308"/>
        </w:trPr>
        <w:tc>
          <w:tcPr>
            <w:tcW w:w="21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A1/ A2 / A3</w:t>
            </w:r>
          </w:p>
        </w:tc>
        <w:tc>
          <w:tcPr>
            <w:tcW w:w="100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 A/ A-</w:t>
            </w:r>
          </w:p>
        </w:tc>
        <w:tc>
          <w:tcPr>
            <w:tcW w:w="999"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w:t>
            </w:r>
            <w:proofErr w:type="spellStart"/>
            <w:r w:rsidRPr="00346315">
              <w:rPr>
                <w:rFonts w:ascii="Verdana" w:hAnsi="Verdana"/>
                <w:bCs/>
                <w:sz w:val="20"/>
              </w:rPr>
              <w:t>high</w:t>
            </w:r>
            <w:proofErr w:type="spellEnd"/>
            <w:r w:rsidRPr="00346315">
              <w:rPr>
                <w:rFonts w:ascii="Verdana" w:hAnsi="Verdana"/>
                <w:bCs/>
                <w:sz w:val="20"/>
              </w:rPr>
              <w:t>) / A / A(</w:t>
            </w:r>
            <w:proofErr w:type="spellStart"/>
            <w:r w:rsidRPr="00346315">
              <w:rPr>
                <w:rFonts w:ascii="Verdana" w:hAnsi="Verdana"/>
                <w:bCs/>
                <w:sz w:val="20"/>
              </w:rPr>
              <w:t>low</w:t>
            </w:r>
            <w:proofErr w:type="spellEnd"/>
            <w:r w:rsidRPr="00346315">
              <w:rPr>
                <w:rFonts w:ascii="Verdana" w:hAnsi="Verdana"/>
                <w:bCs/>
                <w:sz w:val="20"/>
              </w:rPr>
              <w:t>)</w:t>
            </w:r>
          </w:p>
        </w:tc>
      </w:tr>
      <w:tr w:rsidR="00346315" w:rsidRPr="00346315" w:rsidTr="00346315">
        <w:trPr>
          <w:trHeight w:val="318"/>
        </w:trPr>
        <w:tc>
          <w:tcPr>
            <w:tcW w:w="21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Baa1</w:t>
            </w:r>
          </w:p>
        </w:tc>
        <w:tc>
          <w:tcPr>
            <w:tcW w:w="100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BBB+</w:t>
            </w:r>
          </w:p>
        </w:tc>
        <w:tc>
          <w:tcPr>
            <w:tcW w:w="999"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85"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BBB(</w:t>
            </w:r>
            <w:proofErr w:type="spellStart"/>
            <w:r w:rsidRPr="00346315">
              <w:rPr>
                <w:rFonts w:ascii="Verdana" w:hAnsi="Verdana"/>
                <w:bCs/>
                <w:sz w:val="20"/>
              </w:rPr>
              <w:t>high</w:t>
            </w:r>
            <w:proofErr w:type="spellEnd"/>
            <w:r w:rsidRPr="00346315">
              <w:rPr>
                <w:rFonts w:ascii="Verdana" w:hAnsi="Verdana"/>
                <w:bCs/>
                <w:sz w:val="20"/>
              </w:rPr>
              <w:t>)</w:t>
            </w:r>
          </w:p>
        </w:tc>
      </w:tr>
    </w:tbl>
    <w:p w:rsidR="00346315" w:rsidRPr="00346315" w:rsidRDefault="00346315" w:rsidP="00346315">
      <w:pPr>
        <w:jc w:val="both"/>
        <w:rPr>
          <w:rFonts w:ascii="Verdana" w:hAnsi="Verdana"/>
          <w:bCs/>
          <w:sz w:val="20"/>
        </w:rPr>
      </w:pPr>
      <w:r w:rsidRPr="00346315">
        <w:rPr>
          <w:rFonts w:ascii="Verdana" w:hAnsi="Verdana"/>
          <w:bCs/>
          <w:sz w:val="20"/>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561"/>
        <w:gridCol w:w="1537"/>
        <w:gridCol w:w="3456"/>
      </w:tblGrid>
      <w:tr w:rsidR="00346315" w:rsidRPr="00346315" w:rsidTr="00346315">
        <w:trPr>
          <w:trHeight w:val="308"/>
        </w:trPr>
        <w:tc>
          <w:tcPr>
            <w:tcW w:w="2561"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STANDARD &amp; POOR'S</w:t>
            </w:r>
          </w:p>
        </w:tc>
        <w:tc>
          <w:tcPr>
            <w:tcW w:w="1537"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3456"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RATINGS DE MEXICO</w:t>
            </w:r>
          </w:p>
        </w:tc>
      </w:tr>
      <w:tr w:rsidR="00346315" w:rsidRPr="00346315" w:rsidTr="00346315">
        <w:trPr>
          <w:trHeight w:val="308"/>
        </w:trPr>
        <w:tc>
          <w:tcPr>
            <w:tcW w:w="256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AAA</w:t>
            </w:r>
          </w:p>
        </w:tc>
        <w:tc>
          <w:tcPr>
            <w:tcW w:w="1537"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AAA(G)</w:t>
            </w:r>
          </w:p>
        </w:tc>
      </w:tr>
      <w:tr w:rsidR="00346315" w:rsidRPr="00346315" w:rsidTr="00346315">
        <w:trPr>
          <w:trHeight w:val="308"/>
        </w:trPr>
        <w:tc>
          <w:tcPr>
            <w:tcW w:w="256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AA+/ AA/ AA-</w:t>
            </w:r>
          </w:p>
        </w:tc>
        <w:tc>
          <w:tcPr>
            <w:tcW w:w="1537"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AA+(G)/ HR AA(G)/ HR AA-(G)</w:t>
            </w:r>
          </w:p>
        </w:tc>
      </w:tr>
      <w:tr w:rsidR="00346315" w:rsidRPr="00346315" w:rsidTr="00346315">
        <w:trPr>
          <w:trHeight w:val="308"/>
        </w:trPr>
        <w:tc>
          <w:tcPr>
            <w:tcW w:w="256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 A /A-</w:t>
            </w:r>
          </w:p>
        </w:tc>
        <w:tc>
          <w:tcPr>
            <w:tcW w:w="1537"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A+(G)/ HR A(G)/ HR A-(G)</w:t>
            </w:r>
          </w:p>
        </w:tc>
      </w:tr>
      <w:tr w:rsidR="00346315" w:rsidRPr="00346315" w:rsidTr="00346315">
        <w:trPr>
          <w:trHeight w:val="318"/>
        </w:trPr>
        <w:tc>
          <w:tcPr>
            <w:tcW w:w="256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BBB+</w:t>
            </w:r>
          </w:p>
        </w:tc>
        <w:tc>
          <w:tcPr>
            <w:tcW w:w="1537"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345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BBB+(G)</w:t>
            </w:r>
          </w:p>
        </w:tc>
      </w:tr>
    </w:tbl>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7      Para dar cumplimiento a lo dispuesto en la disposición Cuarta de las presentes disposiciones, las Administradoras deberán verificar que al menos una de las agencias calificadoras crediticias que emita opinión a este respecto sobre el Activo Objeto de Inversión tenga cuando menos diez años de experiencia contados a partir de su autorización para organizarse y operar en el mercado mexicano o en alguno de los otros Países Elegibles para Inversiones.</w:t>
      </w:r>
    </w:p>
    <w:p w:rsidR="00346315" w:rsidRPr="00346315" w:rsidRDefault="00346315" w:rsidP="00346315">
      <w:pPr>
        <w:jc w:val="both"/>
        <w:rPr>
          <w:rFonts w:ascii="Verdana" w:hAnsi="Verdana"/>
          <w:bCs/>
          <w:sz w:val="20"/>
        </w:rPr>
      </w:pPr>
      <w:r w:rsidRPr="00346315">
        <w:rPr>
          <w:rFonts w:ascii="Verdana" w:hAnsi="Verdana"/>
          <w:b/>
          <w:bCs/>
          <w:sz w:val="20"/>
        </w:rPr>
        <w:t>ANEXO G8</w:t>
      </w:r>
    </w:p>
    <w:p w:rsidR="00346315" w:rsidRPr="00346315" w:rsidRDefault="00346315" w:rsidP="00346315">
      <w:pPr>
        <w:jc w:val="both"/>
        <w:rPr>
          <w:rFonts w:ascii="Verdana" w:hAnsi="Verdana"/>
          <w:bCs/>
          <w:sz w:val="20"/>
        </w:rPr>
      </w:pPr>
      <w:r w:rsidRPr="00346315">
        <w:rPr>
          <w:rFonts w:ascii="Verdana" w:hAnsi="Verdana"/>
          <w:b/>
          <w:bCs/>
          <w:sz w:val="20"/>
        </w:rPr>
        <w:t>Calificaciones para Instrumentos denominados en Divisas.</w:t>
      </w:r>
    </w:p>
    <w:p w:rsidR="00346315" w:rsidRPr="00346315" w:rsidRDefault="00346315" w:rsidP="00346315">
      <w:pPr>
        <w:jc w:val="both"/>
        <w:rPr>
          <w:rFonts w:ascii="Verdana" w:hAnsi="Verdana"/>
          <w:bCs/>
          <w:sz w:val="20"/>
        </w:rPr>
      </w:pPr>
      <w:r w:rsidRPr="00346315">
        <w:rPr>
          <w:rFonts w:ascii="Verdana" w:hAnsi="Verdana"/>
          <w:b/>
          <w:bCs/>
          <w:sz w:val="20"/>
        </w:rPr>
        <w:t>Emisiones de corto plazo</w:t>
      </w:r>
    </w:p>
    <w:p w:rsidR="00346315" w:rsidRPr="00346315" w:rsidRDefault="00346315" w:rsidP="00346315">
      <w:pPr>
        <w:jc w:val="both"/>
        <w:rPr>
          <w:rFonts w:ascii="Verdana" w:hAnsi="Verdana"/>
          <w:bCs/>
          <w:sz w:val="20"/>
        </w:rPr>
      </w:pPr>
      <w:r w:rsidRPr="00346315">
        <w:rPr>
          <w:rFonts w:ascii="Verdana" w:hAnsi="Verdana"/>
          <w:bCs/>
          <w:sz w:val="20"/>
        </w:rPr>
        <w:lastRenderedPageBreak/>
        <w:t>(Con vencimiento hasta de un año)</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122"/>
        <w:gridCol w:w="1259"/>
        <w:gridCol w:w="2104"/>
        <w:gridCol w:w="980"/>
        <w:gridCol w:w="2247"/>
      </w:tblGrid>
      <w:tr w:rsidR="00346315" w:rsidRPr="00346315" w:rsidTr="00346315">
        <w:trPr>
          <w:trHeight w:val="308"/>
        </w:trPr>
        <w:tc>
          <w:tcPr>
            <w:tcW w:w="2122"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MOODY'S</w:t>
            </w:r>
          </w:p>
        </w:tc>
        <w:tc>
          <w:tcPr>
            <w:tcW w:w="1259"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104"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FITCH IBCA</w:t>
            </w:r>
          </w:p>
        </w:tc>
        <w:tc>
          <w:tcPr>
            <w:tcW w:w="98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47"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DBRS RATINGS MEXICO</w:t>
            </w:r>
          </w:p>
        </w:tc>
      </w:tr>
      <w:tr w:rsidR="00346315" w:rsidRPr="00346315" w:rsidTr="00346315">
        <w:trPr>
          <w:trHeight w:val="308"/>
        </w:trPr>
        <w:tc>
          <w:tcPr>
            <w:tcW w:w="2122"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P-3</w:t>
            </w:r>
          </w:p>
        </w:tc>
        <w:tc>
          <w:tcPr>
            <w:tcW w:w="1259"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104"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F3</w:t>
            </w:r>
          </w:p>
        </w:tc>
        <w:tc>
          <w:tcPr>
            <w:tcW w:w="98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R-2(</w:t>
            </w:r>
            <w:proofErr w:type="spellStart"/>
            <w:r w:rsidRPr="00346315">
              <w:rPr>
                <w:rFonts w:ascii="Verdana" w:hAnsi="Verdana"/>
                <w:bCs/>
                <w:sz w:val="20"/>
              </w:rPr>
              <w:t>high</w:t>
            </w:r>
            <w:proofErr w:type="spellEnd"/>
            <w:r w:rsidRPr="00346315">
              <w:rPr>
                <w:rFonts w:ascii="Verdana" w:hAnsi="Verdana"/>
                <w:bCs/>
                <w:sz w:val="20"/>
              </w:rPr>
              <w:t>)</w:t>
            </w:r>
          </w:p>
        </w:tc>
      </w:tr>
      <w:tr w:rsidR="00346315" w:rsidRPr="00346315" w:rsidTr="00346315">
        <w:trPr>
          <w:trHeight w:val="308"/>
        </w:trPr>
        <w:tc>
          <w:tcPr>
            <w:tcW w:w="2122" w:type="dxa"/>
            <w:tcBorders>
              <w:top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1259"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104" w:type="dxa"/>
            <w:tcBorders>
              <w:top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980" w:type="dxa"/>
            <w:tcBorders>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R-2(</w:t>
            </w:r>
            <w:proofErr w:type="spellStart"/>
            <w:r w:rsidRPr="00346315">
              <w:rPr>
                <w:rFonts w:ascii="Verdana" w:hAnsi="Verdana"/>
                <w:bCs/>
                <w:sz w:val="20"/>
              </w:rPr>
              <w:t>middle</w:t>
            </w:r>
            <w:proofErr w:type="spellEnd"/>
            <w:r w:rsidRPr="00346315">
              <w:rPr>
                <w:rFonts w:ascii="Verdana" w:hAnsi="Verdana"/>
                <w:bCs/>
                <w:sz w:val="20"/>
              </w:rPr>
              <w:t>)</w:t>
            </w:r>
          </w:p>
        </w:tc>
      </w:tr>
      <w:tr w:rsidR="00346315" w:rsidRPr="00346315" w:rsidTr="00346315">
        <w:trPr>
          <w:trHeight w:val="308"/>
        </w:trPr>
        <w:tc>
          <w:tcPr>
            <w:tcW w:w="2122"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1259"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104"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980" w:type="dxa"/>
            <w:tcBorders>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R-2(</w:t>
            </w:r>
            <w:proofErr w:type="spellStart"/>
            <w:r w:rsidRPr="00346315">
              <w:rPr>
                <w:rFonts w:ascii="Verdana" w:hAnsi="Verdana"/>
                <w:bCs/>
                <w:sz w:val="20"/>
              </w:rPr>
              <w:t>low</w:t>
            </w:r>
            <w:proofErr w:type="spellEnd"/>
            <w:r w:rsidRPr="00346315">
              <w:rPr>
                <w:rFonts w:ascii="Verdana" w:hAnsi="Verdana"/>
                <w:bCs/>
                <w:sz w:val="20"/>
              </w:rPr>
              <w:t>)</w:t>
            </w:r>
          </w:p>
        </w:tc>
      </w:tr>
      <w:tr w:rsidR="00346315" w:rsidRPr="00346315" w:rsidTr="00346315">
        <w:trPr>
          <w:trHeight w:val="318"/>
        </w:trPr>
        <w:tc>
          <w:tcPr>
            <w:tcW w:w="2122"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1259"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104"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980" w:type="dxa"/>
            <w:tcBorders>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R-3</w:t>
            </w:r>
          </w:p>
        </w:tc>
      </w:tr>
    </w:tbl>
    <w:p w:rsidR="00346315" w:rsidRPr="00346315" w:rsidRDefault="00346315" w:rsidP="00346315">
      <w:pPr>
        <w:jc w:val="both"/>
        <w:rPr>
          <w:rFonts w:ascii="Verdana" w:hAnsi="Verdana"/>
          <w:bCs/>
          <w:sz w:val="20"/>
        </w:rPr>
      </w:pPr>
      <w:r w:rsidRPr="00346315">
        <w:rPr>
          <w:rFonts w:ascii="Verdana" w:hAnsi="Verdana"/>
          <w:bCs/>
          <w:sz w:val="20"/>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49"/>
        <w:gridCol w:w="1440"/>
        <w:gridCol w:w="2351"/>
      </w:tblGrid>
      <w:tr w:rsidR="00346315" w:rsidRPr="00346315" w:rsidTr="00346315">
        <w:tc>
          <w:tcPr>
            <w:tcW w:w="2149"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STANDARD &amp; POOR'S</w:t>
            </w:r>
          </w:p>
        </w:tc>
        <w:tc>
          <w:tcPr>
            <w:tcW w:w="144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51"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RATINGS DE MEXICO</w:t>
            </w:r>
          </w:p>
        </w:tc>
      </w:tr>
      <w:tr w:rsidR="00346315" w:rsidRPr="00346315" w:rsidTr="00346315">
        <w:tc>
          <w:tcPr>
            <w:tcW w:w="2149"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A-3</w:t>
            </w:r>
          </w:p>
        </w:tc>
        <w:tc>
          <w:tcPr>
            <w:tcW w:w="144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5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HR3(G)</w:t>
            </w:r>
          </w:p>
        </w:tc>
      </w:tr>
    </w:tbl>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
          <w:bCs/>
          <w:sz w:val="20"/>
        </w:rPr>
        <w:t>Emisiones de mediano y largo plazo</w:t>
      </w:r>
    </w:p>
    <w:p w:rsidR="00346315" w:rsidRPr="00346315" w:rsidRDefault="00346315" w:rsidP="00346315">
      <w:pPr>
        <w:jc w:val="both"/>
        <w:rPr>
          <w:rFonts w:ascii="Verdana" w:hAnsi="Verdana"/>
          <w:bCs/>
          <w:sz w:val="20"/>
        </w:rPr>
      </w:pPr>
      <w:r w:rsidRPr="00346315">
        <w:rPr>
          <w:rFonts w:ascii="Verdana" w:hAnsi="Verdana"/>
          <w:bCs/>
          <w:sz w:val="20"/>
        </w:rPr>
        <w:t>(Con vencimiento mayor a un año)</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144"/>
        <w:gridCol w:w="1252"/>
        <w:gridCol w:w="2094"/>
        <w:gridCol w:w="976"/>
        <w:gridCol w:w="2246"/>
      </w:tblGrid>
      <w:tr w:rsidR="00346315" w:rsidRPr="00346315" w:rsidTr="00346315">
        <w:trPr>
          <w:trHeight w:val="341"/>
        </w:trPr>
        <w:tc>
          <w:tcPr>
            <w:tcW w:w="2144"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MOODY'S</w:t>
            </w:r>
          </w:p>
        </w:tc>
        <w:tc>
          <w:tcPr>
            <w:tcW w:w="1252"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094"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FITCH IBCA</w:t>
            </w:r>
          </w:p>
        </w:tc>
        <w:tc>
          <w:tcPr>
            <w:tcW w:w="976"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46"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DBRS RATINGS MEXICO</w:t>
            </w:r>
          </w:p>
        </w:tc>
      </w:tr>
      <w:tr w:rsidR="00346315" w:rsidRPr="00346315" w:rsidTr="00346315">
        <w:trPr>
          <w:trHeight w:val="351"/>
        </w:trPr>
        <w:tc>
          <w:tcPr>
            <w:tcW w:w="2144"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Baa2/ Baa3</w:t>
            </w:r>
          </w:p>
        </w:tc>
        <w:tc>
          <w:tcPr>
            <w:tcW w:w="1252"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094"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BBB/ BBB-</w:t>
            </w:r>
          </w:p>
        </w:tc>
        <w:tc>
          <w:tcPr>
            <w:tcW w:w="976"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4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BBB/BBB(</w:t>
            </w:r>
            <w:proofErr w:type="spellStart"/>
            <w:r w:rsidRPr="00346315">
              <w:rPr>
                <w:rFonts w:ascii="Verdana" w:hAnsi="Verdana"/>
                <w:bCs/>
                <w:sz w:val="20"/>
              </w:rPr>
              <w:t>low</w:t>
            </w:r>
            <w:proofErr w:type="spellEnd"/>
            <w:r w:rsidRPr="00346315">
              <w:rPr>
                <w:rFonts w:ascii="Verdana" w:hAnsi="Verdana"/>
                <w:bCs/>
                <w:sz w:val="20"/>
              </w:rPr>
              <w:t>)</w:t>
            </w:r>
          </w:p>
        </w:tc>
      </w:tr>
    </w:tbl>
    <w:p w:rsidR="00346315" w:rsidRPr="00346315" w:rsidRDefault="00346315" w:rsidP="00346315">
      <w:pPr>
        <w:jc w:val="both"/>
        <w:rPr>
          <w:rFonts w:ascii="Verdana" w:hAnsi="Verdana"/>
          <w:bCs/>
          <w:sz w:val="20"/>
        </w:rPr>
      </w:pPr>
      <w:r w:rsidRPr="00346315">
        <w:rPr>
          <w:rFonts w:ascii="Verdana" w:hAnsi="Verdana"/>
          <w:bCs/>
          <w:sz w:val="20"/>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54"/>
        <w:gridCol w:w="1984"/>
        <w:gridCol w:w="2489"/>
      </w:tblGrid>
      <w:tr w:rsidR="00346315" w:rsidRPr="00346315" w:rsidTr="00346315">
        <w:tc>
          <w:tcPr>
            <w:tcW w:w="2154"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STANDARD &amp; POOR'S</w:t>
            </w:r>
          </w:p>
        </w:tc>
        <w:tc>
          <w:tcPr>
            <w:tcW w:w="1984"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89"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RATINGS DE MEXICO</w:t>
            </w:r>
          </w:p>
        </w:tc>
      </w:tr>
      <w:tr w:rsidR="00346315" w:rsidRPr="00346315" w:rsidTr="00346315">
        <w:tc>
          <w:tcPr>
            <w:tcW w:w="2154"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BBB/ BBB-</w:t>
            </w:r>
          </w:p>
        </w:tc>
        <w:tc>
          <w:tcPr>
            <w:tcW w:w="1984"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89"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BBB (G)/ HR BBB-(G)</w:t>
            </w:r>
          </w:p>
        </w:tc>
      </w:tr>
    </w:tbl>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8      Para dar cumplimiento a lo dispuesto en la disposición Cuarta de las presentes disposiciones, las Administradoras deberán verificar que al menos una de las agencias calificadoras crediticias que emita opinión a este respecto sobre el Activo Objeto de Inversión tenga cuando menos diez años de experiencia contados a partir de su autorización para organizarse y operar en el mercado mexicano o en alguno de los otros Países Elegibles para Inversiones.</w:t>
      </w:r>
    </w:p>
    <w:p w:rsidR="00346315" w:rsidRPr="00346315" w:rsidRDefault="00346315" w:rsidP="00346315">
      <w:pPr>
        <w:jc w:val="both"/>
        <w:rPr>
          <w:rFonts w:ascii="Verdana" w:hAnsi="Verdana"/>
          <w:bCs/>
          <w:sz w:val="20"/>
        </w:rPr>
      </w:pPr>
      <w:r w:rsidRPr="00346315">
        <w:rPr>
          <w:rFonts w:ascii="Verdana" w:hAnsi="Verdana"/>
          <w:b/>
          <w:bCs/>
          <w:sz w:val="20"/>
        </w:rPr>
        <w:lastRenderedPageBreak/>
        <w:t>ANEXO H9</w:t>
      </w:r>
    </w:p>
    <w:p w:rsidR="00346315" w:rsidRPr="00346315" w:rsidRDefault="00346315" w:rsidP="00346315">
      <w:pPr>
        <w:jc w:val="both"/>
        <w:rPr>
          <w:rFonts w:ascii="Verdana" w:hAnsi="Verdana"/>
          <w:bCs/>
          <w:sz w:val="20"/>
        </w:rPr>
      </w:pPr>
      <w:r w:rsidRPr="00346315">
        <w:rPr>
          <w:rFonts w:ascii="Verdana" w:hAnsi="Verdana"/>
          <w:b/>
          <w:bCs/>
          <w:sz w:val="20"/>
        </w:rPr>
        <w:t>Calificaciones para Instrumentos denominados en Divisas.</w:t>
      </w:r>
    </w:p>
    <w:p w:rsidR="00346315" w:rsidRPr="00346315" w:rsidRDefault="00346315" w:rsidP="00346315">
      <w:pPr>
        <w:jc w:val="both"/>
        <w:rPr>
          <w:rFonts w:ascii="Verdana" w:hAnsi="Verdana"/>
          <w:bCs/>
          <w:sz w:val="20"/>
        </w:rPr>
      </w:pPr>
      <w:r w:rsidRPr="00346315">
        <w:rPr>
          <w:rFonts w:ascii="Verdana" w:hAnsi="Verdana"/>
          <w:b/>
          <w:bCs/>
          <w:sz w:val="20"/>
        </w:rPr>
        <w:t>Emisiones de mediano y largo plazo</w:t>
      </w:r>
    </w:p>
    <w:p w:rsidR="00346315" w:rsidRPr="00346315" w:rsidRDefault="00346315" w:rsidP="00346315">
      <w:pPr>
        <w:jc w:val="both"/>
        <w:rPr>
          <w:rFonts w:ascii="Verdana" w:hAnsi="Verdana"/>
          <w:bCs/>
          <w:sz w:val="20"/>
        </w:rPr>
      </w:pPr>
      <w:r w:rsidRPr="00346315">
        <w:rPr>
          <w:rFonts w:ascii="Verdana" w:hAnsi="Verdana"/>
          <w:bCs/>
          <w:sz w:val="20"/>
        </w:rPr>
        <w:t>(Con vencimiento mayor a un año)</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142"/>
        <w:gridCol w:w="1254"/>
        <w:gridCol w:w="2097"/>
        <w:gridCol w:w="976"/>
        <w:gridCol w:w="2243"/>
      </w:tblGrid>
      <w:tr w:rsidR="00346315" w:rsidRPr="00346315" w:rsidTr="00346315">
        <w:trPr>
          <w:trHeight w:val="341"/>
        </w:trPr>
        <w:tc>
          <w:tcPr>
            <w:tcW w:w="2142"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MOODY'S</w:t>
            </w:r>
          </w:p>
        </w:tc>
        <w:tc>
          <w:tcPr>
            <w:tcW w:w="1254"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097"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FITCH IBCA</w:t>
            </w:r>
          </w:p>
        </w:tc>
        <w:tc>
          <w:tcPr>
            <w:tcW w:w="976"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43"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DBRS RATINGS MEXICO</w:t>
            </w:r>
          </w:p>
        </w:tc>
      </w:tr>
      <w:tr w:rsidR="00346315" w:rsidRPr="00346315" w:rsidTr="00346315">
        <w:trPr>
          <w:trHeight w:val="351"/>
        </w:trPr>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Ba1/ Ba2</w:t>
            </w:r>
          </w:p>
        </w:tc>
        <w:tc>
          <w:tcPr>
            <w:tcW w:w="1254"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09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 BB</w:t>
            </w:r>
          </w:p>
        </w:tc>
        <w:tc>
          <w:tcPr>
            <w:tcW w:w="976"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w:t>
            </w:r>
            <w:proofErr w:type="spellStart"/>
            <w:r w:rsidRPr="00346315">
              <w:rPr>
                <w:rFonts w:ascii="Verdana" w:hAnsi="Verdana"/>
                <w:bCs/>
                <w:sz w:val="20"/>
              </w:rPr>
              <w:t>high</w:t>
            </w:r>
            <w:proofErr w:type="spellEnd"/>
            <w:r w:rsidRPr="00346315">
              <w:rPr>
                <w:rFonts w:ascii="Verdana" w:hAnsi="Verdana"/>
                <w:bCs/>
                <w:sz w:val="20"/>
              </w:rPr>
              <w:t>)/BB</w:t>
            </w:r>
          </w:p>
        </w:tc>
      </w:tr>
    </w:tbl>
    <w:p w:rsidR="00346315" w:rsidRPr="00346315" w:rsidRDefault="00346315" w:rsidP="00346315">
      <w:pPr>
        <w:jc w:val="both"/>
        <w:rPr>
          <w:rFonts w:ascii="Verdana" w:hAnsi="Verdana"/>
          <w:bCs/>
          <w:sz w:val="20"/>
        </w:rPr>
      </w:pPr>
      <w:r w:rsidRPr="00346315">
        <w:rPr>
          <w:rFonts w:ascii="Verdana" w:hAnsi="Verdana"/>
          <w:bCs/>
          <w:sz w:val="20"/>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74"/>
        <w:gridCol w:w="1080"/>
        <w:gridCol w:w="2576"/>
      </w:tblGrid>
      <w:tr w:rsidR="00346315" w:rsidRPr="00346315" w:rsidTr="00346315">
        <w:tc>
          <w:tcPr>
            <w:tcW w:w="2374"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STANDARD &amp; POOR'S</w:t>
            </w:r>
          </w:p>
        </w:tc>
        <w:tc>
          <w:tcPr>
            <w:tcW w:w="108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576"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RATINGS DE MEXICO</w:t>
            </w:r>
          </w:p>
        </w:tc>
      </w:tr>
      <w:tr w:rsidR="00346315" w:rsidRPr="00346315" w:rsidTr="00346315">
        <w:tc>
          <w:tcPr>
            <w:tcW w:w="23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 BB</w:t>
            </w:r>
          </w:p>
        </w:tc>
        <w:tc>
          <w:tcPr>
            <w:tcW w:w="108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57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BB+ (G)/ HR BB(G)</w:t>
            </w:r>
          </w:p>
        </w:tc>
      </w:tr>
    </w:tbl>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9      Para dar cumplimiento a lo dispuesto en la disposición Cuarta de las presentes disposiciones, las Administradoras deberán verificar que al menos una de las agencias calificadoras crediticias que emita opinión a este respecto sobre el Activo Objeto de Inversión tenga cuando menos diez años de experiencia contados a partir de su autorización para organizarse y operar en el mercado mexicano o en alguno de los otros Países Elegibles para Inversiones.</w:t>
      </w:r>
    </w:p>
    <w:p w:rsidR="00346315" w:rsidRPr="00346315" w:rsidRDefault="00346315" w:rsidP="00346315">
      <w:pPr>
        <w:jc w:val="both"/>
        <w:rPr>
          <w:rFonts w:ascii="Verdana" w:hAnsi="Verdana"/>
          <w:bCs/>
          <w:sz w:val="20"/>
        </w:rPr>
      </w:pPr>
      <w:r w:rsidRPr="00346315">
        <w:rPr>
          <w:rFonts w:ascii="Verdana" w:hAnsi="Verdana"/>
          <w:b/>
          <w:bCs/>
          <w:sz w:val="20"/>
        </w:rPr>
        <w:t>ANEXO I10</w:t>
      </w:r>
    </w:p>
    <w:p w:rsidR="00346315" w:rsidRPr="00346315" w:rsidRDefault="00346315" w:rsidP="00346315">
      <w:pPr>
        <w:jc w:val="both"/>
        <w:rPr>
          <w:rFonts w:ascii="Verdana" w:hAnsi="Verdana"/>
          <w:bCs/>
          <w:sz w:val="20"/>
        </w:rPr>
      </w:pPr>
      <w:r w:rsidRPr="00346315">
        <w:rPr>
          <w:rFonts w:ascii="Verdana" w:hAnsi="Verdana"/>
          <w:b/>
          <w:bCs/>
          <w:sz w:val="20"/>
        </w:rPr>
        <w:t>Calificaciones para Obligaciones Subordinadas denominados en Divisas.11</w:t>
      </w:r>
    </w:p>
    <w:p w:rsidR="00346315" w:rsidRPr="00346315" w:rsidRDefault="00346315" w:rsidP="00346315">
      <w:pPr>
        <w:jc w:val="both"/>
        <w:rPr>
          <w:rFonts w:ascii="Verdana" w:hAnsi="Verdana"/>
          <w:bCs/>
          <w:sz w:val="20"/>
        </w:rPr>
      </w:pPr>
      <w:r w:rsidRPr="00346315">
        <w:rPr>
          <w:rFonts w:ascii="Verdana" w:hAnsi="Verdana"/>
          <w:b/>
          <w:bCs/>
          <w:sz w:val="20"/>
        </w:rPr>
        <w:t>Emisiones de corto plazo</w:t>
      </w:r>
    </w:p>
    <w:p w:rsidR="00346315" w:rsidRPr="00346315" w:rsidRDefault="00346315" w:rsidP="00346315">
      <w:pPr>
        <w:jc w:val="both"/>
        <w:rPr>
          <w:rFonts w:ascii="Verdana" w:hAnsi="Verdana"/>
          <w:bCs/>
          <w:sz w:val="20"/>
        </w:rPr>
      </w:pPr>
      <w:r w:rsidRPr="00346315">
        <w:rPr>
          <w:rFonts w:ascii="Verdana" w:hAnsi="Verdana"/>
          <w:bCs/>
          <w:sz w:val="20"/>
        </w:rPr>
        <w:t>(Con vencimiento hasta de un año)</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142"/>
        <w:gridCol w:w="1254"/>
        <w:gridCol w:w="2098"/>
        <w:gridCol w:w="977"/>
        <w:gridCol w:w="2241"/>
      </w:tblGrid>
      <w:tr w:rsidR="00346315" w:rsidRPr="00346315" w:rsidTr="00346315">
        <w:trPr>
          <w:trHeight w:val="341"/>
        </w:trPr>
        <w:tc>
          <w:tcPr>
            <w:tcW w:w="2142"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MOODY'S</w:t>
            </w:r>
          </w:p>
        </w:tc>
        <w:tc>
          <w:tcPr>
            <w:tcW w:w="1254"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098"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FITCH IBCA</w:t>
            </w:r>
          </w:p>
        </w:tc>
        <w:tc>
          <w:tcPr>
            <w:tcW w:w="977"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41"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DBRS RATINGS MEXICO</w:t>
            </w:r>
          </w:p>
        </w:tc>
      </w:tr>
      <w:tr w:rsidR="00346315" w:rsidRPr="00346315" w:rsidTr="00346315">
        <w:trPr>
          <w:trHeight w:val="341"/>
        </w:trPr>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P-3</w:t>
            </w:r>
          </w:p>
        </w:tc>
        <w:tc>
          <w:tcPr>
            <w:tcW w:w="1254"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F3</w:t>
            </w:r>
          </w:p>
        </w:tc>
        <w:tc>
          <w:tcPr>
            <w:tcW w:w="977"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4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R-2(</w:t>
            </w:r>
            <w:proofErr w:type="spellStart"/>
            <w:r w:rsidRPr="00346315">
              <w:rPr>
                <w:rFonts w:ascii="Verdana" w:hAnsi="Verdana"/>
                <w:bCs/>
                <w:sz w:val="20"/>
              </w:rPr>
              <w:t>high</w:t>
            </w:r>
            <w:proofErr w:type="spellEnd"/>
            <w:r w:rsidRPr="00346315">
              <w:rPr>
                <w:rFonts w:ascii="Verdana" w:hAnsi="Verdana"/>
                <w:bCs/>
                <w:sz w:val="20"/>
              </w:rPr>
              <w:t>)</w:t>
            </w:r>
          </w:p>
        </w:tc>
      </w:tr>
      <w:tr w:rsidR="00346315" w:rsidRPr="00346315" w:rsidTr="00346315">
        <w:trPr>
          <w:trHeight w:val="341"/>
        </w:trPr>
        <w:tc>
          <w:tcPr>
            <w:tcW w:w="2142" w:type="dxa"/>
            <w:tcBorders>
              <w:top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1254"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098" w:type="dxa"/>
            <w:tcBorders>
              <w:top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977" w:type="dxa"/>
            <w:tcBorders>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4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R-2(</w:t>
            </w:r>
            <w:proofErr w:type="spellStart"/>
            <w:r w:rsidRPr="00346315">
              <w:rPr>
                <w:rFonts w:ascii="Verdana" w:hAnsi="Verdana"/>
                <w:bCs/>
                <w:sz w:val="20"/>
              </w:rPr>
              <w:t>middle</w:t>
            </w:r>
            <w:proofErr w:type="spellEnd"/>
            <w:r w:rsidRPr="00346315">
              <w:rPr>
                <w:rFonts w:ascii="Verdana" w:hAnsi="Verdana"/>
                <w:bCs/>
                <w:sz w:val="20"/>
              </w:rPr>
              <w:t>)</w:t>
            </w:r>
          </w:p>
        </w:tc>
      </w:tr>
      <w:tr w:rsidR="00346315" w:rsidRPr="00346315" w:rsidTr="00346315">
        <w:trPr>
          <w:trHeight w:val="341"/>
        </w:trPr>
        <w:tc>
          <w:tcPr>
            <w:tcW w:w="2142"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1254"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098"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977" w:type="dxa"/>
            <w:tcBorders>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4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R-2(</w:t>
            </w:r>
            <w:proofErr w:type="spellStart"/>
            <w:r w:rsidRPr="00346315">
              <w:rPr>
                <w:rFonts w:ascii="Verdana" w:hAnsi="Verdana"/>
                <w:bCs/>
                <w:sz w:val="20"/>
              </w:rPr>
              <w:t>low</w:t>
            </w:r>
            <w:proofErr w:type="spellEnd"/>
            <w:r w:rsidRPr="00346315">
              <w:rPr>
                <w:rFonts w:ascii="Verdana" w:hAnsi="Verdana"/>
                <w:bCs/>
                <w:sz w:val="20"/>
              </w:rPr>
              <w:t>)</w:t>
            </w:r>
          </w:p>
        </w:tc>
      </w:tr>
      <w:tr w:rsidR="00346315" w:rsidRPr="00346315" w:rsidTr="00346315">
        <w:trPr>
          <w:trHeight w:val="351"/>
        </w:trPr>
        <w:tc>
          <w:tcPr>
            <w:tcW w:w="2142"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1254"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098"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977" w:type="dxa"/>
            <w:tcBorders>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4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R-3</w:t>
            </w:r>
          </w:p>
        </w:tc>
      </w:tr>
    </w:tbl>
    <w:p w:rsidR="00346315" w:rsidRPr="00346315" w:rsidRDefault="00346315" w:rsidP="00346315">
      <w:pPr>
        <w:jc w:val="both"/>
        <w:rPr>
          <w:rFonts w:ascii="Verdana" w:hAnsi="Verdana"/>
          <w:bCs/>
          <w:sz w:val="20"/>
        </w:rPr>
      </w:pPr>
      <w:r w:rsidRPr="00346315">
        <w:rPr>
          <w:rFonts w:ascii="Verdana" w:hAnsi="Verdana"/>
          <w:bCs/>
          <w:sz w:val="20"/>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49"/>
        <w:gridCol w:w="1350"/>
        <w:gridCol w:w="2441"/>
      </w:tblGrid>
      <w:tr w:rsidR="00346315" w:rsidRPr="00346315" w:rsidTr="00346315">
        <w:tc>
          <w:tcPr>
            <w:tcW w:w="2149"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lastRenderedPageBreak/>
              <w:t>STANDARD &amp; POOR'S</w:t>
            </w:r>
          </w:p>
        </w:tc>
        <w:tc>
          <w:tcPr>
            <w:tcW w:w="135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41"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RATINGS DE MEXICO</w:t>
            </w:r>
          </w:p>
        </w:tc>
      </w:tr>
      <w:tr w:rsidR="00346315" w:rsidRPr="00346315" w:rsidTr="00346315">
        <w:tc>
          <w:tcPr>
            <w:tcW w:w="2149"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A-3</w:t>
            </w:r>
          </w:p>
        </w:tc>
        <w:tc>
          <w:tcPr>
            <w:tcW w:w="135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4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HR3(G)</w:t>
            </w:r>
          </w:p>
        </w:tc>
      </w:tr>
    </w:tbl>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
          <w:bCs/>
          <w:sz w:val="20"/>
        </w:rPr>
        <w:t>Emisiones de mediano y largo plazo</w:t>
      </w:r>
    </w:p>
    <w:p w:rsidR="00346315" w:rsidRPr="00346315" w:rsidRDefault="00346315" w:rsidP="00346315">
      <w:pPr>
        <w:jc w:val="both"/>
        <w:rPr>
          <w:rFonts w:ascii="Verdana" w:hAnsi="Verdana"/>
          <w:bCs/>
          <w:sz w:val="20"/>
        </w:rPr>
      </w:pPr>
      <w:r w:rsidRPr="00346315">
        <w:rPr>
          <w:rFonts w:ascii="Verdana" w:hAnsi="Verdana"/>
          <w:bCs/>
          <w:sz w:val="20"/>
        </w:rPr>
        <w:t>(Con vencimiento mayor a un año)</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143"/>
        <w:gridCol w:w="1252"/>
        <w:gridCol w:w="2095"/>
        <w:gridCol w:w="975"/>
        <w:gridCol w:w="2247"/>
      </w:tblGrid>
      <w:tr w:rsidR="00346315" w:rsidRPr="00346315" w:rsidTr="00346315">
        <w:trPr>
          <w:trHeight w:val="323"/>
        </w:trPr>
        <w:tc>
          <w:tcPr>
            <w:tcW w:w="2143"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MOODY'S</w:t>
            </w:r>
          </w:p>
        </w:tc>
        <w:tc>
          <w:tcPr>
            <w:tcW w:w="1252"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095"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FITCH IBCA</w:t>
            </w:r>
          </w:p>
        </w:tc>
        <w:tc>
          <w:tcPr>
            <w:tcW w:w="975"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47"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DBRS RATINGS MEXICO</w:t>
            </w:r>
          </w:p>
        </w:tc>
      </w:tr>
      <w:tr w:rsidR="00346315" w:rsidRPr="00346315" w:rsidTr="00346315">
        <w:trPr>
          <w:trHeight w:val="333"/>
        </w:trPr>
        <w:tc>
          <w:tcPr>
            <w:tcW w:w="21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Ba3/ B1</w:t>
            </w:r>
          </w:p>
        </w:tc>
        <w:tc>
          <w:tcPr>
            <w:tcW w:w="1252"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095"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 B+</w:t>
            </w:r>
          </w:p>
        </w:tc>
        <w:tc>
          <w:tcPr>
            <w:tcW w:w="975"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4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w:t>
            </w:r>
            <w:proofErr w:type="spellStart"/>
            <w:r w:rsidRPr="00346315">
              <w:rPr>
                <w:rFonts w:ascii="Verdana" w:hAnsi="Verdana"/>
                <w:bCs/>
                <w:sz w:val="20"/>
              </w:rPr>
              <w:t>low</w:t>
            </w:r>
            <w:proofErr w:type="spellEnd"/>
            <w:r w:rsidRPr="00346315">
              <w:rPr>
                <w:rFonts w:ascii="Verdana" w:hAnsi="Verdana"/>
                <w:bCs/>
                <w:sz w:val="20"/>
              </w:rPr>
              <w:t>)/B(</w:t>
            </w:r>
            <w:proofErr w:type="spellStart"/>
            <w:r w:rsidRPr="00346315">
              <w:rPr>
                <w:rFonts w:ascii="Verdana" w:hAnsi="Verdana"/>
                <w:bCs/>
                <w:sz w:val="20"/>
              </w:rPr>
              <w:t>high</w:t>
            </w:r>
            <w:proofErr w:type="spellEnd"/>
            <w:r w:rsidRPr="00346315">
              <w:rPr>
                <w:rFonts w:ascii="Verdana" w:hAnsi="Verdana"/>
                <w:bCs/>
                <w:sz w:val="20"/>
              </w:rPr>
              <w:t>)</w:t>
            </w:r>
          </w:p>
        </w:tc>
      </w:tr>
    </w:tbl>
    <w:p w:rsidR="00346315" w:rsidRPr="00346315" w:rsidRDefault="00346315" w:rsidP="00346315">
      <w:pPr>
        <w:jc w:val="both"/>
        <w:rPr>
          <w:rFonts w:ascii="Verdana" w:hAnsi="Verdana"/>
          <w:bCs/>
          <w:sz w:val="20"/>
        </w:rPr>
      </w:pPr>
      <w:r w:rsidRPr="00346315">
        <w:rPr>
          <w:rFonts w:ascii="Verdana" w:hAnsi="Verdana"/>
          <w:bCs/>
          <w:sz w:val="20"/>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74"/>
        <w:gridCol w:w="1170"/>
        <w:gridCol w:w="2486"/>
      </w:tblGrid>
      <w:tr w:rsidR="00346315" w:rsidRPr="00346315" w:rsidTr="00346315">
        <w:tc>
          <w:tcPr>
            <w:tcW w:w="2374"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STANDARD &amp; POOR'S</w:t>
            </w:r>
          </w:p>
        </w:tc>
        <w:tc>
          <w:tcPr>
            <w:tcW w:w="117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86"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RATINGS DE MEXICO</w:t>
            </w:r>
          </w:p>
        </w:tc>
      </w:tr>
      <w:tr w:rsidR="00346315" w:rsidRPr="00346315" w:rsidTr="00346315">
        <w:tc>
          <w:tcPr>
            <w:tcW w:w="2374"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 B+</w:t>
            </w:r>
          </w:p>
        </w:tc>
        <w:tc>
          <w:tcPr>
            <w:tcW w:w="117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8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BB-(G)/ HR B+(G)</w:t>
            </w:r>
          </w:p>
        </w:tc>
      </w:tr>
    </w:tbl>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10    Para dar cumplimiento a lo dispuesto en la disposición Cuarta de las presentes disposiciones, las Administradoras deberán verificar que al menos una de las agencias calificadoras crediticias que emita opinión a este respecto sobre el Activo Objeto de Inversión tenga cuando menos diez años de experiencia contados a partir de su autorización para organizarse y operar en el mercado mexicano o en alguno de los otros Países Elegibles para Inversiones.</w:t>
      </w:r>
    </w:p>
    <w:p w:rsidR="00346315" w:rsidRPr="00346315" w:rsidRDefault="00346315" w:rsidP="00346315">
      <w:pPr>
        <w:jc w:val="both"/>
        <w:rPr>
          <w:rFonts w:ascii="Verdana" w:hAnsi="Verdana"/>
          <w:bCs/>
          <w:sz w:val="20"/>
        </w:rPr>
      </w:pPr>
      <w:r w:rsidRPr="00346315">
        <w:rPr>
          <w:rFonts w:ascii="Verdana" w:hAnsi="Verdana"/>
          <w:bCs/>
          <w:sz w:val="20"/>
        </w:rPr>
        <w:t>11    Obligaciones subordinadas a las definidas en la fracción XLIX incisos c), d) y e) de la disposición Segunda de las presentes disposiciones.</w:t>
      </w:r>
    </w:p>
    <w:p w:rsidR="00346315" w:rsidRPr="00346315" w:rsidRDefault="00346315" w:rsidP="00346315">
      <w:pPr>
        <w:jc w:val="both"/>
        <w:rPr>
          <w:rFonts w:ascii="Verdana" w:hAnsi="Verdana"/>
          <w:bCs/>
          <w:sz w:val="20"/>
        </w:rPr>
      </w:pPr>
      <w:r w:rsidRPr="00346315">
        <w:rPr>
          <w:rFonts w:ascii="Verdana" w:hAnsi="Verdana"/>
          <w:b/>
          <w:bCs/>
          <w:sz w:val="20"/>
        </w:rPr>
        <w:t>ANEXO J12</w:t>
      </w:r>
    </w:p>
    <w:p w:rsidR="00346315" w:rsidRPr="00346315" w:rsidRDefault="00346315" w:rsidP="00346315">
      <w:pPr>
        <w:jc w:val="both"/>
        <w:rPr>
          <w:rFonts w:ascii="Verdana" w:hAnsi="Verdana"/>
          <w:bCs/>
          <w:sz w:val="20"/>
        </w:rPr>
      </w:pPr>
      <w:r w:rsidRPr="00346315">
        <w:rPr>
          <w:rFonts w:ascii="Verdana" w:hAnsi="Verdana"/>
          <w:b/>
          <w:bCs/>
          <w:sz w:val="20"/>
        </w:rPr>
        <w:t>Calificaciones para Valores Extranjeros y para Contrapartes Extranjeras.</w:t>
      </w:r>
    </w:p>
    <w:p w:rsidR="00346315" w:rsidRPr="00346315" w:rsidRDefault="00346315" w:rsidP="00346315">
      <w:pPr>
        <w:jc w:val="both"/>
        <w:rPr>
          <w:rFonts w:ascii="Verdana" w:hAnsi="Verdana"/>
          <w:bCs/>
          <w:sz w:val="20"/>
        </w:rPr>
      </w:pPr>
      <w:r w:rsidRPr="00346315">
        <w:rPr>
          <w:rFonts w:ascii="Verdana" w:hAnsi="Verdana"/>
          <w:b/>
          <w:bCs/>
          <w:sz w:val="20"/>
        </w:rPr>
        <w:t>Emisiones de corto plazo</w:t>
      </w:r>
    </w:p>
    <w:p w:rsidR="00346315" w:rsidRPr="00346315" w:rsidRDefault="00346315" w:rsidP="00346315">
      <w:pPr>
        <w:jc w:val="both"/>
        <w:rPr>
          <w:rFonts w:ascii="Verdana" w:hAnsi="Verdana"/>
          <w:bCs/>
          <w:sz w:val="20"/>
        </w:rPr>
      </w:pPr>
      <w:r w:rsidRPr="00346315">
        <w:rPr>
          <w:rFonts w:ascii="Verdana" w:hAnsi="Verdana"/>
          <w:bCs/>
          <w:sz w:val="20"/>
        </w:rPr>
        <w:t>(Con vencimiento hasta de un año)</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142"/>
        <w:gridCol w:w="1254"/>
        <w:gridCol w:w="2099"/>
        <w:gridCol w:w="891"/>
        <w:gridCol w:w="2326"/>
      </w:tblGrid>
      <w:tr w:rsidR="00346315" w:rsidRPr="00346315" w:rsidTr="00346315">
        <w:trPr>
          <w:trHeight w:val="323"/>
        </w:trPr>
        <w:tc>
          <w:tcPr>
            <w:tcW w:w="2142"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MOODY'S</w:t>
            </w:r>
          </w:p>
        </w:tc>
        <w:tc>
          <w:tcPr>
            <w:tcW w:w="1254"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099"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FITCH IBCA</w:t>
            </w:r>
          </w:p>
        </w:tc>
        <w:tc>
          <w:tcPr>
            <w:tcW w:w="891"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6"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DBRS RATINGS MEXICO</w:t>
            </w:r>
          </w:p>
        </w:tc>
      </w:tr>
      <w:tr w:rsidR="00346315" w:rsidRPr="00346315" w:rsidTr="00346315">
        <w:trPr>
          <w:trHeight w:val="323"/>
        </w:trPr>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P-1</w:t>
            </w:r>
          </w:p>
        </w:tc>
        <w:tc>
          <w:tcPr>
            <w:tcW w:w="1254"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F1+/F1</w:t>
            </w:r>
          </w:p>
        </w:tc>
        <w:tc>
          <w:tcPr>
            <w:tcW w:w="891"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R-1(</w:t>
            </w:r>
            <w:proofErr w:type="spellStart"/>
            <w:r w:rsidRPr="00346315">
              <w:rPr>
                <w:rFonts w:ascii="Verdana" w:hAnsi="Verdana"/>
                <w:bCs/>
                <w:sz w:val="20"/>
              </w:rPr>
              <w:t>high</w:t>
            </w:r>
            <w:proofErr w:type="spellEnd"/>
            <w:r w:rsidRPr="00346315">
              <w:rPr>
                <w:rFonts w:ascii="Verdana" w:hAnsi="Verdana"/>
                <w:bCs/>
                <w:sz w:val="20"/>
              </w:rPr>
              <w:t>) / R-1(</w:t>
            </w:r>
            <w:proofErr w:type="spellStart"/>
            <w:r w:rsidRPr="00346315">
              <w:rPr>
                <w:rFonts w:ascii="Verdana" w:hAnsi="Verdana"/>
                <w:bCs/>
                <w:sz w:val="20"/>
              </w:rPr>
              <w:t>middle</w:t>
            </w:r>
            <w:proofErr w:type="spellEnd"/>
            <w:r w:rsidRPr="00346315">
              <w:rPr>
                <w:rFonts w:ascii="Verdana" w:hAnsi="Verdana"/>
                <w:bCs/>
                <w:sz w:val="20"/>
              </w:rPr>
              <w:t>)</w:t>
            </w:r>
          </w:p>
        </w:tc>
      </w:tr>
      <w:tr w:rsidR="00346315" w:rsidRPr="00346315" w:rsidTr="00346315">
        <w:trPr>
          <w:trHeight w:val="333"/>
        </w:trPr>
        <w:tc>
          <w:tcPr>
            <w:tcW w:w="2142"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lastRenderedPageBreak/>
              <w:t>P-2</w:t>
            </w:r>
          </w:p>
        </w:tc>
        <w:tc>
          <w:tcPr>
            <w:tcW w:w="1254"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099"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F2</w:t>
            </w:r>
          </w:p>
        </w:tc>
        <w:tc>
          <w:tcPr>
            <w:tcW w:w="891"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R-1(</w:t>
            </w:r>
            <w:proofErr w:type="spellStart"/>
            <w:r w:rsidRPr="00346315">
              <w:rPr>
                <w:rFonts w:ascii="Verdana" w:hAnsi="Verdana"/>
                <w:bCs/>
                <w:sz w:val="20"/>
              </w:rPr>
              <w:t>low</w:t>
            </w:r>
            <w:proofErr w:type="spellEnd"/>
            <w:r w:rsidRPr="00346315">
              <w:rPr>
                <w:rFonts w:ascii="Verdana" w:hAnsi="Verdana"/>
                <w:bCs/>
                <w:sz w:val="20"/>
              </w:rPr>
              <w:t>)</w:t>
            </w:r>
          </w:p>
        </w:tc>
      </w:tr>
    </w:tbl>
    <w:p w:rsidR="00346315" w:rsidRPr="00346315" w:rsidRDefault="00346315" w:rsidP="00346315">
      <w:pPr>
        <w:jc w:val="both"/>
        <w:rPr>
          <w:rFonts w:ascii="Verdana" w:hAnsi="Verdana"/>
          <w:bCs/>
          <w:sz w:val="20"/>
        </w:rPr>
      </w:pPr>
      <w:r w:rsidRPr="00346315">
        <w:rPr>
          <w:rFonts w:ascii="Verdana" w:hAnsi="Verdana"/>
          <w:bCs/>
          <w:sz w:val="20"/>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131"/>
        <w:gridCol w:w="2250"/>
        <w:gridCol w:w="2423"/>
      </w:tblGrid>
      <w:tr w:rsidR="00346315" w:rsidRPr="00346315" w:rsidTr="00346315">
        <w:tc>
          <w:tcPr>
            <w:tcW w:w="2131"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STANDARD &amp; POOR'S</w:t>
            </w:r>
          </w:p>
        </w:tc>
        <w:tc>
          <w:tcPr>
            <w:tcW w:w="225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23"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RATINGS DE MEXICO</w:t>
            </w:r>
          </w:p>
        </w:tc>
      </w:tr>
      <w:tr w:rsidR="00346315" w:rsidRPr="00346315" w:rsidTr="00346315">
        <w:trPr>
          <w:trHeight w:val="323"/>
        </w:trPr>
        <w:tc>
          <w:tcPr>
            <w:tcW w:w="213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A-1+/A-1</w:t>
            </w:r>
          </w:p>
        </w:tc>
        <w:tc>
          <w:tcPr>
            <w:tcW w:w="225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HR+1(G)/ HR1(G)</w:t>
            </w:r>
          </w:p>
        </w:tc>
      </w:tr>
      <w:tr w:rsidR="00346315" w:rsidRPr="00346315" w:rsidTr="00346315">
        <w:tc>
          <w:tcPr>
            <w:tcW w:w="2131"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A-2</w:t>
            </w:r>
          </w:p>
        </w:tc>
        <w:tc>
          <w:tcPr>
            <w:tcW w:w="2250"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42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HR2(G)</w:t>
            </w:r>
          </w:p>
        </w:tc>
      </w:tr>
    </w:tbl>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
          <w:bCs/>
          <w:sz w:val="20"/>
        </w:rPr>
        <w:t>Emisiones de mediano y largo plazo</w:t>
      </w:r>
    </w:p>
    <w:p w:rsidR="00346315" w:rsidRPr="00346315" w:rsidRDefault="00346315" w:rsidP="00346315">
      <w:pPr>
        <w:jc w:val="both"/>
        <w:rPr>
          <w:rFonts w:ascii="Verdana" w:hAnsi="Verdana"/>
          <w:bCs/>
          <w:sz w:val="20"/>
        </w:rPr>
      </w:pPr>
      <w:r w:rsidRPr="00346315">
        <w:rPr>
          <w:rFonts w:ascii="Verdana" w:hAnsi="Verdana"/>
          <w:bCs/>
          <w:sz w:val="20"/>
        </w:rPr>
        <w:t>(Con vencimiento mayor a un año)</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143"/>
        <w:gridCol w:w="1254"/>
        <w:gridCol w:w="2098"/>
        <w:gridCol w:w="837"/>
        <w:gridCol w:w="2380"/>
      </w:tblGrid>
      <w:tr w:rsidR="00346315" w:rsidRPr="00346315" w:rsidTr="00346315">
        <w:trPr>
          <w:trHeight w:val="323"/>
        </w:trPr>
        <w:tc>
          <w:tcPr>
            <w:tcW w:w="2143"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MOODY'S</w:t>
            </w:r>
          </w:p>
        </w:tc>
        <w:tc>
          <w:tcPr>
            <w:tcW w:w="1254"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098"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FITCH IBCA</w:t>
            </w:r>
          </w:p>
        </w:tc>
        <w:tc>
          <w:tcPr>
            <w:tcW w:w="837"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80"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DBRS RATINGS MEXICO</w:t>
            </w:r>
          </w:p>
        </w:tc>
      </w:tr>
      <w:tr w:rsidR="00346315" w:rsidRPr="00346315" w:rsidTr="00346315">
        <w:trPr>
          <w:trHeight w:val="323"/>
        </w:trPr>
        <w:tc>
          <w:tcPr>
            <w:tcW w:w="21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proofErr w:type="spellStart"/>
            <w:r w:rsidRPr="00346315">
              <w:rPr>
                <w:rFonts w:ascii="Verdana" w:hAnsi="Verdana"/>
                <w:bCs/>
                <w:sz w:val="20"/>
              </w:rPr>
              <w:t>Aaa</w:t>
            </w:r>
            <w:proofErr w:type="spellEnd"/>
          </w:p>
        </w:tc>
        <w:tc>
          <w:tcPr>
            <w:tcW w:w="1254"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AAA</w:t>
            </w:r>
          </w:p>
        </w:tc>
        <w:tc>
          <w:tcPr>
            <w:tcW w:w="837"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AAA</w:t>
            </w:r>
          </w:p>
        </w:tc>
      </w:tr>
      <w:tr w:rsidR="00346315" w:rsidRPr="00346315" w:rsidTr="00346315">
        <w:trPr>
          <w:trHeight w:val="323"/>
        </w:trPr>
        <w:tc>
          <w:tcPr>
            <w:tcW w:w="21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Aa1/ Aa2/ Aa3</w:t>
            </w:r>
          </w:p>
        </w:tc>
        <w:tc>
          <w:tcPr>
            <w:tcW w:w="1254"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AA+/ AA/ AA-</w:t>
            </w:r>
          </w:p>
        </w:tc>
        <w:tc>
          <w:tcPr>
            <w:tcW w:w="837"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AA(</w:t>
            </w:r>
            <w:proofErr w:type="spellStart"/>
            <w:r w:rsidRPr="00346315">
              <w:rPr>
                <w:rFonts w:ascii="Verdana" w:hAnsi="Verdana"/>
                <w:bCs/>
                <w:sz w:val="20"/>
              </w:rPr>
              <w:t>high</w:t>
            </w:r>
            <w:proofErr w:type="spellEnd"/>
            <w:r w:rsidRPr="00346315">
              <w:rPr>
                <w:rFonts w:ascii="Verdana" w:hAnsi="Verdana"/>
                <w:bCs/>
                <w:sz w:val="20"/>
              </w:rPr>
              <w:t>) / AA / AA(</w:t>
            </w:r>
            <w:proofErr w:type="spellStart"/>
            <w:r w:rsidRPr="00346315">
              <w:rPr>
                <w:rFonts w:ascii="Verdana" w:hAnsi="Verdana"/>
                <w:bCs/>
                <w:sz w:val="20"/>
              </w:rPr>
              <w:t>low</w:t>
            </w:r>
            <w:proofErr w:type="spellEnd"/>
            <w:r w:rsidRPr="00346315">
              <w:rPr>
                <w:rFonts w:ascii="Verdana" w:hAnsi="Verdana"/>
                <w:bCs/>
                <w:sz w:val="20"/>
              </w:rPr>
              <w:t>)</w:t>
            </w:r>
          </w:p>
        </w:tc>
      </w:tr>
      <w:tr w:rsidR="00346315" w:rsidRPr="00346315" w:rsidTr="00346315">
        <w:trPr>
          <w:trHeight w:val="333"/>
        </w:trPr>
        <w:tc>
          <w:tcPr>
            <w:tcW w:w="2143"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A1/ A2 /A3</w:t>
            </w:r>
          </w:p>
        </w:tc>
        <w:tc>
          <w:tcPr>
            <w:tcW w:w="1254"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098"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 A/ A-</w:t>
            </w:r>
          </w:p>
        </w:tc>
        <w:tc>
          <w:tcPr>
            <w:tcW w:w="837"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w:t>
            </w:r>
            <w:proofErr w:type="spellStart"/>
            <w:r w:rsidRPr="00346315">
              <w:rPr>
                <w:rFonts w:ascii="Verdana" w:hAnsi="Verdana"/>
                <w:bCs/>
                <w:sz w:val="20"/>
              </w:rPr>
              <w:t>high</w:t>
            </w:r>
            <w:proofErr w:type="spellEnd"/>
            <w:r w:rsidRPr="00346315">
              <w:rPr>
                <w:rFonts w:ascii="Verdana" w:hAnsi="Verdana"/>
                <w:bCs/>
                <w:sz w:val="20"/>
              </w:rPr>
              <w:t>) / A / A(</w:t>
            </w:r>
            <w:proofErr w:type="spellStart"/>
            <w:r w:rsidRPr="00346315">
              <w:rPr>
                <w:rFonts w:ascii="Verdana" w:hAnsi="Verdana"/>
                <w:bCs/>
                <w:sz w:val="20"/>
              </w:rPr>
              <w:t>low</w:t>
            </w:r>
            <w:proofErr w:type="spellEnd"/>
            <w:r w:rsidRPr="00346315">
              <w:rPr>
                <w:rFonts w:ascii="Verdana" w:hAnsi="Verdana"/>
                <w:bCs/>
                <w:sz w:val="20"/>
              </w:rPr>
              <w:t>)</w:t>
            </w:r>
          </w:p>
        </w:tc>
      </w:tr>
    </w:tbl>
    <w:p w:rsidR="00346315" w:rsidRPr="00346315" w:rsidRDefault="00346315" w:rsidP="00346315">
      <w:pPr>
        <w:jc w:val="both"/>
        <w:rPr>
          <w:rFonts w:ascii="Verdana" w:hAnsi="Verdana"/>
          <w:bCs/>
          <w:sz w:val="20"/>
        </w:rPr>
      </w:pPr>
      <w:r w:rsidRPr="00346315">
        <w:rPr>
          <w:rFonts w:ascii="Verdana" w:hAnsi="Verdana"/>
          <w:bCs/>
          <w:sz w:val="20"/>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596"/>
        <w:gridCol w:w="1276"/>
        <w:gridCol w:w="3357"/>
      </w:tblGrid>
      <w:tr w:rsidR="00346315" w:rsidRPr="00346315" w:rsidTr="00346315">
        <w:tc>
          <w:tcPr>
            <w:tcW w:w="2596"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STANDARD &amp; POOR'S</w:t>
            </w:r>
          </w:p>
        </w:tc>
        <w:tc>
          <w:tcPr>
            <w:tcW w:w="1276"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3357" w:type="dxa"/>
            <w:tcBorders>
              <w:bottom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RATINGS DE MEXICO</w:t>
            </w:r>
          </w:p>
        </w:tc>
      </w:tr>
      <w:tr w:rsidR="00346315" w:rsidRPr="00346315" w:rsidTr="00346315">
        <w:tc>
          <w:tcPr>
            <w:tcW w:w="25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AAA</w:t>
            </w:r>
          </w:p>
        </w:tc>
        <w:tc>
          <w:tcPr>
            <w:tcW w:w="1276"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33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AAA(G)</w:t>
            </w:r>
          </w:p>
        </w:tc>
      </w:tr>
      <w:tr w:rsidR="00346315" w:rsidRPr="00346315" w:rsidTr="00346315">
        <w:tc>
          <w:tcPr>
            <w:tcW w:w="25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AA+/ AA/ AA-</w:t>
            </w:r>
          </w:p>
        </w:tc>
        <w:tc>
          <w:tcPr>
            <w:tcW w:w="1276"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33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AA+ (G)/ HR AA(G)/ HR AA-(G)</w:t>
            </w:r>
          </w:p>
        </w:tc>
      </w:tr>
      <w:tr w:rsidR="00346315" w:rsidRPr="00346315" w:rsidTr="00346315">
        <w:tc>
          <w:tcPr>
            <w:tcW w:w="2596"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 A/ A-</w:t>
            </w:r>
          </w:p>
        </w:tc>
        <w:tc>
          <w:tcPr>
            <w:tcW w:w="1276" w:type="dxa"/>
            <w:tcBorders>
              <w:left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3357" w:type="dxa"/>
            <w:tcBorders>
              <w:top w:val="single" w:sz="4" w:space="0" w:color="000000"/>
              <w:left w:val="single" w:sz="4" w:space="0" w:color="000000"/>
              <w:bottom w:val="single" w:sz="4" w:space="0" w:color="000000"/>
              <w:right w:val="single" w:sz="4"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A+(G)/ HR A(G)/ HR A-(G)</w:t>
            </w:r>
          </w:p>
        </w:tc>
      </w:tr>
    </w:tbl>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
          <w:bCs/>
          <w:sz w:val="20"/>
        </w:rPr>
        <w:t>12</w:t>
      </w:r>
      <w:r w:rsidRPr="00346315">
        <w:rPr>
          <w:rFonts w:ascii="Verdana" w:hAnsi="Verdana"/>
          <w:bCs/>
          <w:sz w:val="20"/>
        </w:rPr>
        <w:t>    Para dar cumplimiento a lo dispuesto en la disposición Cuarta de las presentes disposiciones, las Administradoras deberán verificar que al menos una de las agencias calificadoras crediticias que emita opinión a este respecto sobre el Activo Objeto de Inversión tenga cuando menos diez años de experiencia contados a partir de su autorización para organizarse y operar en el mercado mexicano o</w:t>
      </w:r>
    </w:p>
    <w:p w:rsidR="00346315" w:rsidRPr="00346315" w:rsidRDefault="00346315" w:rsidP="00346315">
      <w:pPr>
        <w:jc w:val="both"/>
        <w:rPr>
          <w:rFonts w:ascii="Verdana" w:hAnsi="Verdana"/>
          <w:bCs/>
          <w:sz w:val="20"/>
        </w:rPr>
      </w:pPr>
      <w:proofErr w:type="gramStart"/>
      <w:r w:rsidRPr="00346315">
        <w:rPr>
          <w:rFonts w:ascii="Verdana" w:hAnsi="Verdana"/>
          <w:bCs/>
          <w:sz w:val="20"/>
        </w:rPr>
        <w:t>en</w:t>
      </w:r>
      <w:proofErr w:type="gramEnd"/>
      <w:r w:rsidRPr="00346315">
        <w:rPr>
          <w:rFonts w:ascii="Verdana" w:hAnsi="Verdana"/>
          <w:bCs/>
          <w:sz w:val="20"/>
        </w:rPr>
        <w:t xml:space="preserve"> alguno de los otros Países Elegibles para Inversiones.</w:t>
      </w:r>
    </w:p>
    <w:p w:rsidR="00346315" w:rsidRPr="00346315" w:rsidRDefault="00346315" w:rsidP="00346315">
      <w:pPr>
        <w:jc w:val="both"/>
        <w:rPr>
          <w:rFonts w:ascii="Verdana" w:hAnsi="Verdana"/>
          <w:bCs/>
          <w:sz w:val="20"/>
        </w:rPr>
      </w:pPr>
      <w:r w:rsidRPr="00346315">
        <w:rPr>
          <w:rFonts w:ascii="Verdana" w:hAnsi="Verdana"/>
          <w:b/>
          <w:bCs/>
          <w:sz w:val="20"/>
        </w:rPr>
        <w:t>ANEXO K13</w:t>
      </w:r>
    </w:p>
    <w:p w:rsidR="00346315" w:rsidRPr="00346315" w:rsidRDefault="00346315" w:rsidP="00346315">
      <w:pPr>
        <w:jc w:val="both"/>
        <w:rPr>
          <w:rFonts w:ascii="Verdana" w:hAnsi="Verdana"/>
          <w:bCs/>
          <w:sz w:val="20"/>
        </w:rPr>
      </w:pPr>
      <w:r w:rsidRPr="00346315">
        <w:rPr>
          <w:rFonts w:ascii="Verdana" w:hAnsi="Verdana"/>
          <w:b/>
          <w:bCs/>
          <w:sz w:val="20"/>
        </w:rPr>
        <w:lastRenderedPageBreak/>
        <w:t>Calificaciones para Valores Extranjeros y para Contrapartes Extranjeras</w:t>
      </w:r>
    </w:p>
    <w:p w:rsidR="00346315" w:rsidRPr="00346315" w:rsidRDefault="00346315" w:rsidP="00346315">
      <w:pPr>
        <w:jc w:val="both"/>
        <w:rPr>
          <w:rFonts w:ascii="Verdana" w:hAnsi="Verdana"/>
          <w:bCs/>
          <w:sz w:val="20"/>
        </w:rPr>
      </w:pPr>
      <w:r w:rsidRPr="00346315">
        <w:rPr>
          <w:rFonts w:ascii="Verdana" w:hAnsi="Verdana"/>
          <w:b/>
          <w:bCs/>
          <w:sz w:val="20"/>
        </w:rPr>
        <w:t>Emisiones de corto plazo</w:t>
      </w:r>
    </w:p>
    <w:p w:rsidR="00346315" w:rsidRPr="00346315" w:rsidRDefault="00346315" w:rsidP="00346315">
      <w:pPr>
        <w:jc w:val="both"/>
        <w:rPr>
          <w:rFonts w:ascii="Verdana" w:hAnsi="Verdana"/>
          <w:bCs/>
          <w:sz w:val="20"/>
        </w:rPr>
      </w:pPr>
      <w:r w:rsidRPr="00346315">
        <w:rPr>
          <w:rFonts w:ascii="Verdana" w:hAnsi="Verdana"/>
          <w:bCs/>
          <w:sz w:val="20"/>
        </w:rPr>
        <w:t>(Con vencimiento hasta de un año)</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142"/>
        <w:gridCol w:w="1254"/>
        <w:gridCol w:w="2098"/>
        <w:gridCol w:w="977"/>
        <w:gridCol w:w="2241"/>
      </w:tblGrid>
      <w:tr w:rsidR="00346315" w:rsidRPr="00346315" w:rsidTr="00346315">
        <w:trPr>
          <w:trHeight w:val="317"/>
        </w:trPr>
        <w:tc>
          <w:tcPr>
            <w:tcW w:w="2142" w:type="dxa"/>
            <w:tcBorders>
              <w:bottom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MOODY'S</w:t>
            </w:r>
          </w:p>
        </w:tc>
        <w:tc>
          <w:tcPr>
            <w:tcW w:w="1254"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098" w:type="dxa"/>
            <w:tcBorders>
              <w:bottom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FITCH IBCA</w:t>
            </w:r>
          </w:p>
        </w:tc>
        <w:tc>
          <w:tcPr>
            <w:tcW w:w="977"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41" w:type="dxa"/>
            <w:tcBorders>
              <w:bottom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DBRS RATINGS MEXICO</w:t>
            </w:r>
          </w:p>
        </w:tc>
      </w:tr>
      <w:tr w:rsidR="00346315" w:rsidRPr="00346315" w:rsidTr="00346315">
        <w:trPr>
          <w:trHeight w:val="317"/>
        </w:trPr>
        <w:tc>
          <w:tcPr>
            <w:tcW w:w="21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P-3</w:t>
            </w:r>
          </w:p>
        </w:tc>
        <w:tc>
          <w:tcPr>
            <w:tcW w:w="1254" w:type="dxa"/>
            <w:tcBorders>
              <w:left w:val="single" w:sz="6" w:space="0" w:color="000000"/>
              <w:right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0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F3</w:t>
            </w:r>
          </w:p>
        </w:tc>
        <w:tc>
          <w:tcPr>
            <w:tcW w:w="977" w:type="dxa"/>
            <w:tcBorders>
              <w:left w:val="single" w:sz="6" w:space="0" w:color="000000"/>
              <w:right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R-2(</w:t>
            </w:r>
            <w:proofErr w:type="spellStart"/>
            <w:r w:rsidRPr="00346315">
              <w:rPr>
                <w:rFonts w:ascii="Verdana" w:hAnsi="Verdana"/>
                <w:bCs/>
                <w:sz w:val="20"/>
              </w:rPr>
              <w:t>high</w:t>
            </w:r>
            <w:proofErr w:type="spellEnd"/>
            <w:r w:rsidRPr="00346315">
              <w:rPr>
                <w:rFonts w:ascii="Verdana" w:hAnsi="Verdana"/>
                <w:bCs/>
                <w:sz w:val="20"/>
              </w:rPr>
              <w:t>)</w:t>
            </w:r>
          </w:p>
        </w:tc>
      </w:tr>
      <w:tr w:rsidR="00346315" w:rsidRPr="00346315" w:rsidTr="00346315">
        <w:trPr>
          <w:trHeight w:val="317"/>
        </w:trPr>
        <w:tc>
          <w:tcPr>
            <w:tcW w:w="2142" w:type="dxa"/>
            <w:tcBorders>
              <w:top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1254"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098" w:type="dxa"/>
            <w:tcBorders>
              <w:top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977" w:type="dxa"/>
            <w:tcBorders>
              <w:right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R-2(</w:t>
            </w:r>
            <w:proofErr w:type="spellStart"/>
            <w:r w:rsidRPr="00346315">
              <w:rPr>
                <w:rFonts w:ascii="Verdana" w:hAnsi="Verdana"/>
                <w:bCs/>
                <w:sz w:val="20"/>
              </w:rPr>
              <w:t>middle</w:t>
            </w:r>
            <w:proofErr w:type="spellEnd"/>
            <w:r w:rsidRPr="00346315">
              <w:rPr>
                <w:rFonts w:ascii="Verdana" w:hAnsi="Verdana"/>
                <w:bCs/>
                <w:sz w:val="20"/>
              </w:rPr>
              <w:t>)</w:t>
            </w:r>
          </w:p>
        </w:tc>
      </w:tr>
      <w:tr w:rsidR="00346315" w:rsidRPr="00346315" w:rsidTr="00346315">
        <w:trPr>
          <w:trHeight w:val="317"/>
        </w:trPr>
        <w:tc>
          <w:tcPr>
            <w:tcW w:w="2142"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1254"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098"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977" w:type="dxa"/>
            <w:tcBorders>
              <w:right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R-2(</w:t>
            </w:r>
            <w:proofErr w:type="spellStart"/>
            <w:r w:rsidRPr="00346315">
              <w:rPr>
                <w:rFonts w:ascii="Verdana" w:hAnsi="Verdana"/>
                <w:bCs/>
                <w:sz w:val="20"/>
              </w:rPr>
              <w:t>low</w:t>
            </w:r>
            <w:proofErr w:type="spellEnd"/>
            <w:r w:rsidRPr="00346315">
              <w:rPr>
                <w:rFonts w:ascii="Verdana" w:hAnsi="Verdana"/>
                <w:bCs/>
                <w:sz w:val="20"/>
              </w:rPr>
              <w:t>)</w:t>
            </w:r>
          </w:p>
        </w:tc>
      </w:tr>
      <w:tr w:rsidR="00346315" w:rsidRPr="00346315" w:rsidTr="00346315">
        <w:trPr>
          <w:trHeight w:val="332"/>
        </w:trPr>
        <w:tc>
          <w:tcPr>
            <w:tcW w:w="2142"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1254"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098"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977" w:type="dxa"/>
            <w:tcBorders>
              <w:right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R-3</w:t>
            </w:r>
          </w:p>
        </w:tc>
      </w:tr>
    </w:tbl>
    <w:p w:rsidR="00346315" w:rsidRPr="00346315" w:rsidRDefault="00346315" w:rsidP="00346315">
      <w:pPr>
        <w:jc w:val="both"/>
        <w:rPr>
          <w:rFonts w:ascii="Verdana" w:hAnsi="Verdana"/>
          <w:bCs/>
          <w:sz w:val="20"/>
        </w:rPr>
      </w:pPr>
      <w:r w:rsidRPr="00346315">
        <w:rPr>
          <w:rFonts w:ascii="Verdana" w:hAnsi="Verdana"/>
          <w:bCs/>
          <w:sz w:val="20"/>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311"/>
        <w:gridCol w:w="2160"/>
        <w:gridCol w:w="2333"/>
      </w:tblGrid>
      <w:tr w:rsidR="00346315" w:rsidRPr="00346315" w:rsidTr="00346315">
        <w:tc>
          <w:tcPr>
            <w:tcW w:w="2311" w:type="dxa"/>
            <w:tcBorders>
              <w:bottom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STANDARD &amp; POOR'S</w:t>
            </w:r>
          </w:p>
        </w:tc>
        <w:tc>
          <w:tcPr>
            <w:tcW w:w="2160"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33" w:type="dxa"/>
            <w:tcBorders>
              <w:bottom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RATINGS DE MEXICO</w:t>
            </w:r>
          </w:p>
        </w:tc>
      </w:tr>
      <w:tr w:rsidR="00346315" w:rsidRPr="00346315" w:rsidTr="00346315">
        <w:tc>
          <w:tcPr>
            <w:tcW w:w="231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A-3</w:t>
            </w:r>
          </w:p>
        </w:tc>
        <w:tc>
          <w:tcPr>
            <w:tcW w:w="2160" w:type="dxa"/>
            <w:tcBorders>
              <w:left w:val="single" w:sz="6" w:space="0" w:color="000000"/>
              <w:right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3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HR3(G)</w:t>
            </w:r>
          </w:p>
        </w:tc>
      </w:tr>
    </w:tbl>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
          <w:bCs/>
          <w:sz w:val="20"/>
        </w:rPr>
        <w:t>Emisiones de mediano y largo plazo</w:t>
      </w:r>
    </w:p>
    <w:p w:rsidR="00346315" w:rsidRPr="00346315" w:rsidRDefault="00346315" w:rsidP="00346315">
      <w:pPr>
        <w:jc w:val="both"/>
        <w:rPr>
          <w:rFonts w:ascii="Verdana" w:hAnsi="Verdana"/>
          <w:bCs/>
          <w:sz w:val="20"/>
        </w:rPr>
      </w:pPr>
      <w:r w:rsidRPr="00346315">
        <w:rPr>
          <w:rFonts w:ascii="Verdana" w:hAnsi="Verdana"/>
          <w:bCs/>
          <w:sz w:val="20"/>
        </w:rPr>
        <w:t>(Con vencimiento mayor a un año)</w:t>
      </w:r>
    </w:p>
    <w:tbl>
      <w:tblPr>
        <w:tblW w:w="0" w:type="auto"/>
        <w:tblInd w:w="74" w:type="dxa"/>
        <w:shd w:val="clear" w:color="auto" w:fill="FFFFFF"/>
        <w:tblCellMar>
          <w:top w:w="15" w:type="dxa"/>
          <w:left w:w="15" w:type="dxa"/>
          <w:bottom w:w="15" w:type="dxa"/>
          <w:right w:w="15" w:type="dxa"/>
        </w:tblCellMar>
        <w:tblLook w:val="04A0" w:firstRow="1" w:lastRow="0" w:firstColumn="1" w:lastColumn="0" w:noHBand="0" w:noVBand="1"/>
      </w:tblPr>
      <w:tblGrid>
        <w:gridCol w:w="2142"/>
        <w:gridCol w:w="1254"/>
        <w:gridCol w:w="2098"/>
        <w:gridCol w:w="977"/>
        <w:gridCol w:w="2241"/>
      </w:tblGrid>
      <w:tr w:rsidR="00346315" w:rsidRPr="00346315" w:rsidTr="00346315">
        <w:trPr>
          <w:trHeight w:val="317"/>
        </w:trPr>
        <w:tc>
          <w:tcPr>
            <w:tcW w:w="2142" w:type="dxa"/>
            <w:tcBorders>
              <w:bottom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MOODY'S</w:t>
            </w:r>
          </w:p>
        </w:tc>
        <w:tc>
          <w:tcPr>
            <w:tcW w:w="1254"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098" w:type="dxa"/>
            <w:tcBorders>
              <w:bottom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FITCH IBCA</w:t>
            </w:r>
          </w:p>
        </w:tc>
        <w:tc>
          <w:tcPr>
            <w:tcW w:w="977"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41" w:type="dxa"/>
            <w:tcBorders>
              <w:bottom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DBRS RATINGS MEXICO</w:t>
            </w:r>
          </w:p>
        </w:tc>
      </w:tr>
      <w:tr w:rsidR="00346315" w:rsidRPr="00346315" w:rsidTr="00346315">
        <w:trPr>
          <w:trHeight w:val="332"/>
        </w:trPr>
        <w:tc>
          <w:tcPr>
            <w:tcW w:w="214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Baa1 / Baa2 / Baa3</w:t>
            </w:r>
          </w:p>
        </w:tc>
        <w:tc>
          <w:tcPr>
            <w:tcW w:w="1254" w:type="dxa"/>
            <w:tcBorders>
              <w:left w:val="single" w:sz="6" w:space="0" w:color="000000"/>
              <w:right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09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BBB+ / BBB / BBB-</w:t>
            </w:r>
          </w:p>
        </w:tc>
        <w:tc>
          <w:tcPr>
            <w:tcW w:w="977" w:type="dxa"/>
            <w:tcBorders>
              <w:left w:val="single" w:sz="6" w:space="0" w:color="000000"/>
              <w:right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22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BBB(</w:t>
            </w:r>
            <w:proofErr w:type="spellStart"/>
            <w:r w:rsidRPr="00346315">
              <w:rPr>
                <w:rFonts w:ascii="Verdana" w:hAnsi="Verdana"/>
                <w:bCs/>
                <w:sz w:val="20"/>
              </w:rPr>
              <w:t>high</w:t>
            </w:r>
            <w:proofErr w:type="spellEnd"/>
            <w:r w:rsidRPr="00346315">
              <w:rPr>
                <w:rFonts w:ascii="Verdana" w:hAnsi="Verdana"/>
                <w:bCs/>
                <w:sz w:val="20"/>
              </w:rPr>
              <w:t>) / BBB / BBB(</w:t>
            </w:r>
            <w:proofErr w:type="spellStart"/>
            <w:r w:rsidRPr="00346315">
              <w:rPr>
                <w:rFonts w:ascii="Verdana" w:hAnsi="Verdana"/>
                <w:bCs/>
                <w:sz w:val="20"/>
              </w:rPr>
              <w:t>low</w:t>
            </w:r>
            <w:proofErr w:type="spellEnd"/>
            <w:r w:rsidRPr="00346315">
              <w:rPr>
                <w:rFonts w:ascii="Verdana" w:hAnsi="Verdana"/>
                <w:bCs/>
                <w:sz w:val="20"/>
              </w:rPr>
              <w:t>)</w:t>
            </w:r>
          </w:p>
        </w:tc>
      </w:tr>
    </w:tbl>
    <w:p w:rsidR="00346315" w:rsidRPr="00346315" w:rsidRDefault="00346315" w:rsidP="00346315">
      <w:pPr>
        <w:jc w:val="both"/>
        <w:rPr>
          <w:rFonts w:ascii="Verdana" w:hAnsi="Verdana"/>
          <w:bCs/>
          <w:sz w:val="20"/>
        </w:rPr>
      </w:pPr>
      <w:r w:rsidRPr="00346315">
        <w:rPr>
          <w:rFonts w:ascii="Verdana" w:hAnsi="Verdana"/>
          <w:bCs/>
          <w:sz w:val="20"/>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596"/>
        <w:gridCol w:w="1276"/>
        <w:gridCol w:w="3546"/>
      </w:tblGrid>
      <w:tr w:rsidR="00346315" w:rsidRPr="00346315" w:rsidTr="00346315">
        <w:tc>
          <w:tcPr>
            <w:tcW w:w="2596" w:type="dxa"/>
            <w:tcBorders>
              <w:bottom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STANDARD &amp; POOR'S</w:t>
            </w:r>
          </w:p>
        </w:tc>
        <w:tc>
          <w:tcPr>
            <w:tcW w:w="1276" w:type="dxa"/>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3546" w:type="dxa"/>
            <w:tcBorders>
              <w:bottom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RATINGS DE MEXICO</w:t>
            </w:r>
          </w:p>
        </w:tc>
      </w:tr>
      <w:tr w:rsidR="00346315" w:rsidRPr="00346315" w:rsidTr="00346315">
        <w:tc>
          <w:tcPr>
            <w:tcW w:w="259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BBB+ / BBB / BBB-</w:t>
            </w:r>
          </w:p>
        </w:tc>
        <w:tc>
          <w:tcPr>
            <w:tcW w:w="1276" w:type="dxa"/>
            <w:tcBorders>
              <w:left w:val="single" w:sz="6" w:space="0" w:color="000000"/>
              <w:right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c>
          <w:tcPr>
            <w:tcW w:w="35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346315" w:rsidRPr="00346315" w:rsidRDefault="00346315" w:rsidP="00346315">
            <w:pPr>
              <w:jc w:val="both"/>
              <w:rPr>
                <w:rFonts w:ascii="Verdana" w:hAnsi="Verdana"/>
                <w:bCs/>
                <w:sz w:val="20"/>
              </w:rPr>
            </w:pPr>
            <w:r w:rsidRPr="00346315">
              <w:rPr>
                <w:rFonts w:ascii="Verdana" w:hAnsi="Verdana"/>
                <w:bCs/>
                <w:sz w:val="20"/>
              </w:rPr>
              <w:t>HR BBB+(G) / HR BBB(G) / HR BBB-(G)</w:t>
            </w:r>
          </w:p>
        </w:tc>
      </w:tr>
    </w:tbl>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13</w:t>
      </w:r>
      <w:r w:rsidRPr="00346315">
        <w:rPr>
          <w:rFonts w:ascii="Verdana" w:hAnsi="Verdana"/>
          <w:bCs/>
          <w:sz w:val="20"/>
          <w:vertAlign w:val="superscript"/>
        </w:rPr>
        <w:t> </w:t>
      </w:r>
      <w:r w:rsidRPr="00346315">
        <w:rPr>
          <w:rFonts w:ascii="Verdana" w:hAnsi="Verdana"/>
          <w:bCs/>
          <w:sz w:val="20"/>
        </w:rPr>
        <w:t xml:space="preserve">    Para dar cumplimiento a lo dispuesto en la disposición Cuarta de las presentes disposiciones, las Administradoras deberán verificar que al menos una de las agencias calificadoras crediticias que emita opinión a este respecto sobre el Activo Objeto de Inversión tenga cuando menos diez años de experiencia contados a partir de su </w:t>
      </w:r>
      <w:r w:rsidRPr="00346315">
        <w:rPr>
          <w:rFonts w:ascii="Verdana" w:hAnsi="Verdana"/>
          <w:bCs/>
          <w:sz w:val="20"/>
        </w:rPr>
        <w:lastRenderedPageBreak/>
        <w:t>autorización para organizarse y operar en el mercado mexicano o en alguno de los otros Países Elegibles para Inversiones.</w:t>
      </w:r>
    </w:p>
    <w:p w:rsidR="00346315" w:rsidRPr="00346315" w:rsidRDefault="00346315" w:rsidP="00346315">
      <w:pPr>
        <w:jc w:val="both"/>
        <w:rPr>
          <w:rFonts w:ascii="Verdana" w:hAnsi="Verdana"/>
          <w:b/>
          <w:bCs/>
          <w:sz w:val="20"/>
        </w:rPr>
      </w:pPr>
      <w:r w:rsidRPr="00346315">
        <w:rPr>
          <w:rFonts w:ascii="Verdana" w:hAnsi="Verdana"/>
          <w:b/>
          <w:bCs/>
          <w:sz w:val="20"/>
        </w:rPr>
        <w:t>ANEXO L</w:t>
      </w:r>
    </w:p>
    <w:p w:rsidR="00346315" w:rsidRPr="00346315" w:rsidRDefault="00346315" w:rsidP="00346315">
      <w:pPr>
        <w:jc w:val="both"/>
        <w:rPr>
          <w:rFonts w:ascii="Verdana" w:hAnsi="Verdana"/>
          <w:bCs/>
          <w:sz w:val="20"/>
        </w:rPr>
      </w:pPr>
      <w:r w:rsidRPr="00346315">
        <w:rPr>
          <w:rFonts w:ascii="Verdana" w:hAnsi="Verdana"/>
          <w:b/>
          <w:bCs/>
          <w:sz w:val="20"/>
        </w:rPr>
        <w:t>I. Metodología para el cálculo del Valor en Riesgo (</w:t>
      </w:r>
      <w:proofErr w:type="spellStart"/>
      <w:r w:rsidRPr="00346315">
        <w:rPr>
          <w:rFonts w:ascii="Verdana" w:hAnsi="Verdana"/>
          <w:b/>
          <w:bCs/>
          <w:sz w:val="20"/>
        </w:rPr>
        <w:t>VaR</w:t>
      </w:r>
      <w:proofErr w:type="spellEnd"/>
      <w:r w:rsidRPr="00346315">
        <w:rPr>
          <w:rFonts w:ascii="Verdana" w:hAnsi="Verdana"/>
          <w:b/>
          <w:bCs/>
          <w:sz w:val="20"/>
        </w:rPr>
        <w:t>) a un día usando datos históricos.</w:t>
      </w:r>
    </w:p>
    <w:p w:rsidR="00346315" w:rsidRPr="00346315" w:rsidRDefault="00346315" w:rsidP="00346315">
      <w:pPr>
        <w:jc w:val="both"/>
        <w:rPr>
          <w:rFonts w:ascii="Verdana" w:hAnsi="Verdana"/>
          <w:bCs/>
          <w:sz w:val="20"/>
        </w:rPr>
      </w:pPr>
      <w:r w:rsidRPr="00346315">
        <w:rPr>
          <w:rFonts w:ascii="Verdana" w:hAnsi="Verdana"/>
          <w:bCs/>
          <w:sz w:val="20"/>
        </w:rPr>
        <w:t xml:space="preserve">Para calcular el </w:t>
      </w:r>
      <w:proofErr w:type="spellStart"/>
      <w:r w:rsidRPr="00346315">
        <w:rPr>
          <w:rFonts w:ascii="Verdana" w:hAnsi="Verdana"/>
          <w:bCs/>
          <w:sz w:val="20"/>
        </w:rPr>
        <w:t>VaR</w:t>
      </w:r>
      <w:proofErr w:type="spellEnd"/>
      <w:r w:rsidRPr="00346315">
        <w:rPr>
          <w:rFonts w:ascii="Verdana" w:hAnsi="Verdana"/>
          <w:bCs/>
          <w:sz w:val="20"/>
        </w:rPr>
        <w:t xml:space="preserve"> de cada Sociedad de Inversión considerando los Activos Administrados por la Sociedad de Inversión en cuestión, usando datos históricos, la Administradora o en su caso la Sociedad Valuadora que les preste servicios, calculará el </w:t>
      </w:r>
      <w:proofErr w:type="spellStart"/>
      <w:r w:rsidRPr="00346315">
        <w:rPr>
          <w:rFonts w:ascii="Verdana" w:hAnsi="Verdana"/>
          <w:bCs/>
          <w:sz w:val="20"/>
        </w:rPr>
        <w:t>VaR</w:t>
      </w:r>
      <w:proofErr w:type="spellEnd"/>
      <w:r w:rsidRPr="00346315">
        <w:rPr>
          <w:rFonts w:ascii="Verdana" w:hAnsi="Verdana"/>
          <w:bCs/>
          <w:sz w:val="20"/>
        </w:rPr>
        <w:t xml:space="preserve"> con base en la información que le proporciona el Proveedor de Precios correspondiente y las posiciones de los diferentes Activos Objeto de Inversión que conforman el portafolio de la propia Sociedad de Inversión, de conformidad con las disposiciones de carácter general en materia financiera emitidas por la Comisión. No se considerarán los depósitos bancarios denominados en pesos ni los Instrumentos Estructurados.</w:t>
      </w:r>
    </w:p>
    <w:p w:rsidR="00346315" w:rsidRPr="00346315" w:rsidRDefault="00346315" w:rsidP="00346315">
      <w:pPr>
        <w:jc w:val="both"/>
        <w:rPr>
          <w:rFonts w:ascii="Verdana" w:hAnsi="Verdana"/>
          <w:bCs/>
          <w:sz w:val="20"/>
        </w:rPr>
      </w:pPr>
      <w:r w:rsidRPr="00346315">
        <w:rPr>
          <w:rFonts w:ascii="Verdana" w:hAnsi="Verdana"/>
          <w:b/>
          <w:bCs/>
          <w:sz w:val="20"/>
        </w:rPr>
        <w:t>Información proporcionada por el Proveedor de Precios:</w:t>
      </w:r>
    </w:p>
    <w:p w:rsidR="00346315" w:rsidRPr="00346315" w:rsidRDefault="00346315" w:rsidP="00346315">
      <w:pPr>
        <w:jc w:val="both"/>
        <w:rPr>
          <w:rFonts w:ascii="Verdana" w:hAnsi="Verdana"/>
          <w:bCs/>
          <w:sz w:val="20"/>
        </w:rPr>
      </w:pPr>
      <w:r w:rsidRPr="00346315">
        <w:rPr>
          <w:rFonts w:ascii="Verdana" w:hAnsi="Verdana"/>
          <w:bCs/>
          <w:sz w:val="20"/>
        </w:rPr>
        <w:t>Los Instrumentos, Valores Extranjeros, Derivados, operaciones de reporto y préstamo de valores que son factibles de ser adquiridos u operados por la Sociedad de Inversión serán referidos como los Activos Permitidos o Activo Permitido en caso de referirse a uno solo de éstos.</w:t>
      </w:r>
    </w:p>
    <w:p w:rsidR="00346315" w:rsidRPr="00346315" w:rsidRDefault="00346315" w:rsidP="00346315">
      <w:pPr>
        <w:jc w:val="both"/>
        <w:rPr>
          <w:rFonts w:ascii="Verdana" w:hAnsi="Verdana"/>
          <w:bCs/>
          <w:sz w:val="20"/>
        </w:rPr>
      </w:pPr>
      <w:r w:rsidRPr="00346315">
        <w:rPr>
          <w:rFonts w:ascii="Verdana" w:hAnsi="Verdana"/>
          <w:bCs/>
          <w:sz w:val="20"/>
        </w:rPr>
        <w:t xml:space="preserve">Cada día hábil anterior a la fecha de cálculo del </w:t>
      </w:r>
      <w:proofErr w:type="spellStart"/>
      <w:r w:rsidRPr="00346315">
        <w:rPr>
          <w:rFonts w:ascii="Verdana" w:hAnsi="Verdana"/>
          <w:bCs/>
          <w:sz w:val="20"/>
        </w:rPr>
        <w:t>VaR</w:t>
      </w:r>
      <w:proofErr w:type="spellEnd"/>
      <w:r w:rsidRPr="00346315">
        <w:rPr>
          <w:rFonts w:ascii="Verdana" w:hAnsi="Verdana"/>
          <w:bCs/>
          <w:sz w:val="20"/>
        </w:rPr>
        <w:t xml:space="preserve"> representa un posible escenario para el valor de los factores que determinan el precio de los Activos Permitidos. Se les llamará Escenarios a los 1,000 días hábiles anteriores al día de cálculo del </w:t>
      </w:r>
      <w:proofErr w:type="spellStart"/>
      <w:r w:rsidRPr="00346315">
        <w:rPr>
          <w:rFonts w:ascii="Verdana" w:hAnsi="Verdana"/>
          <w:bCs/>
          <w:sz w:val="20"/>
        </w:rPr>
        <w:t>VaR</w:t>
      </w:r>
      <w:proofErr w:type="spellEnd"/>
      <w:r w:rsidRPr="00346315">
        <w:rPr>
          <w:rFonts w:ascii="Verdana" w:hAnsi="Verdana"/>
          <w:bCs/>
          <w:sz w:val="20"/>
        </w:rPr>
        <w:t>. A partir de la información obtenida en los Escenarios, se puede obtener una estimación de la distribución de los precios.</w:t>
      </w:r>
    </w:p>
    <w:p w:rsidR="00346315" w:rsidRPr="00346315" w:rsidRDefault="00346315" w:rsidP="00346315">
      <w:pPr>
        <w:jc w:val="both"/>
        <w:rPr>
          <w:rFonts w:ascii="Verdana" w:hAnsi="Verdana"/>
          <w:bCs/>
          <w:sz w:val="20"/>
        </w:rPr>
      </w:pPr>
      <w:r w:rsidRPr="00346315">
        <w:rPr>
          <w:rFonts w:ascii="Verdana" w:hAnsi="Verdana"/>
          <w:bCs/>
          <w:sz w:val="20"/>
        </w:rPr>
        <w:t>El precio de cada uno de los Activos Permitidos es determinado por una fórmula de valuación de acuerdo con la metodología del Proveedor de Precios autorizado por la Comisión Nacional Bancaria y de Valores que involucra k factores de riesgo </w:t>
      </w:r>
      <w:r w:rsidRPr="00346315">
        <w:rPr>
          <w:rFonts w:ascii="Verdana" w:hAnsi="Verdana"/>
          <w:bCs/>
          <w:sz w:val="20"/>
        </w:rPr>
        <w:drawing>
          <wp:inline distT="0" distB="0" distL="0" distR="0">
            <wp:extent cx="606425" cy="114300"/>
            <wp:effectExtent l="0" t="0" r="3175" b="0"/>
            <wp:docPr id="13" name="Imagen 13" descr="http://www.dof.gob.mx/imagenes_diarios/2018/01/05/MAT/shcp13_Cimg_34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f.gob.mx/imagenes_diarios/2018/01/05/MAT/shcp13_Cimg_34038.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6425" cy="114300"/>
                    </a:xfrm>
                    <a:prstGeom prst="rect">
                      <a:avLst/>
                    </a:prstGeom>
                    <a:noFill/>
                    <a:ln>
                      <a:noFill/>
                    </a:ln>
                  </pic:spPr>
                </pic:pic>
              </a:graphicData>
            </a:graphic>
          </wp:inline>
        </w:drawing>
      </w:r>
      <w:r w:rsidRPr="00346315">
        <w:rPr>
          <w:rFonts w:ascii="Verdana" w:hAnsi="Verdana"/>
          <w:bCs/>
          <w:sz w:val="20"/>
        </w:rPr>
        <w:t> como pueden ser inflación, tasas de interés, tipos de cambio, etc. dependiendo de cada uno de los Activos Permitidos a ser evaluado. El precio del Activo Permitido j en el día h se expresa en términos de estos factores como la fórmula f de valuación:</w:t>
      </w:r>
    </w:p>
    <w:p w:rsidR="00346315" w:rsidRPr="00346315" w:rsidRDefault="00346315" w:rsidP="00346315">
      <w:pPr>
        <w:jc w:val="both"/>
        <w:rPr>
          <w:rFonts w:ascii="Verdana" w:hAnsi="Verdana"/>
          <w:bCs/>
          <w:sz w:val="20"/>
        </w:rPr>
      </w:pPr>
      <w:r w:rsidRPr="00346315">
        <w:rPr>
          <w:rFonts w:ascii="Verdana" w:hAnsi="Verdana"/>
          <w:bCs/>
          <w:sz w:val="20"/>
        </w:rPr>
        <w:lastRenderedPageBreak/>
        <w:t>  </w:t>
      </w:r>
      <w:r w:rsidRPr="00346315">
        <w:rPr>
          <w:rFonts w:ascii="Verdana" w:hAnsi="Verdana"/>
          <w:bCs/>
          <w:sz w:val="20"/>
        </w:rPr>
        <w:lastRenderedPageBreak/>
        <w:drawing>
          <wp:inline distT="0" distB="0" distL="0" distR="0">
            <wp:extent cx="5609590" cy="8484870"/>
            <wp:effectExtent l="0" t="0" r="0" b="0"/>
            <wp:docPr id="12" name="Imagen 12" descr="http://www.dof.gob.mx/imagenes_diarios/2018/01/05/MAT/shcp13_Cimg_35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of.gob.mx/imagenes_diarios/2018/01/05/MAT/shcp13_Cimg_3514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9590" cy="8484870"/>
                    </a:xfrm>
                    <a:prstGeom prst="rect">
                      <a:avLst/>
                    </a:prstGeom>
                    <a:noFill/>
                    <a:ln>
                      <a:noFill/>
                    </a:ln>
                  </pic:spPr>
                </pic:pic>
              </a:graphicData>
            </a:graphic>
          </wp:inline>
        </w:drawing>
      </w:r>
    </w:p>
    <w:p w:rsidR="00346315" w:rsidRPr="00346315" w:rsidRDefault="00346315" w:rsidP="00346315">
      <w:pPr>
        <w:jc w:val="both"/>
        <w:rPr>
          <w:rFonts w:ascii="Verdana" w:hAnsi="Verdana"/>
          <w:bCs/>
          <w:sz w:val="20"/>
        </w:rPr>
      </w:pPr>
      <w:r w:rsidRPr="00346315">
        <w:rPr>
          <w:rFonts w:ascii="Verdana" w:hAnsi="Verdana"/>
          <w:bCs/>
          <w:sz w:val="20"/>
        </w:rPr>
        <w:lastRenderedPageBreak/>
        <w:drawing>
          <wp:inline distT="0" distB="0" distL="0" distR="0">
            <wp:extent cx="5618480" cy="8467090"/>
            <wp:effectExtent l="0" t="0" r="1270" b="0"/>
            <wp:docPr id="11" name="Imagen 11" descr="http://www.dof.gob.mx/imagenes_diarios/2018/01/05/MAT/shcp13_Cimg_189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of.gob.mx/imagenes_diarios/2018/01/05/MAT/shcp13_Cimg_18947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8480" cy="8467090"/>
                    </a:xfrm>
                    <a:prstGeom prst="rect">
                      <a:avLst/>
                    </a:prstGeom>
                    <a:noFill/>
                    <a:ln>
                      <a:noFill/>
                    </a:ln>
                  </pic:spPr>
                </pic:pic>
              </a:graphicData>
            </a:graphic>
          </wp:inline>
        </w:drawing>
      </w:r>
    </w:p>
    <w:p w:rsidR="00346315" w:rsidRPr="00346315" w:rsidRDefault="00346315" w:rsidP="00346315">
      <w:pPr>
        <w:jc w:val="both"/>
        <w:rPr>
          <w:rFonts w:ascii="Verdana" w:hAnsi="Verdana"/>
          <w:bCs/>
          <w:sz w:val="20"/>
        </w:rPr>
      </w:pPr>
      <w:r w:rsidRPr="00346315">
        <w:rPr>
          <w:rFonts w:ascii="Verdana" w:hAnsi="Verdana"/>
          <w:bCs/>
          <w:sz w:val="20"/>
        </w:rPr>
        <w:lastRenderedPageBreak/>
        <w:t>  </w:t>
      </w:r>
      <w:r w:rsidRPr="00346315">
        <w:rPr>
          <w:rFonts w:ascii="Verdana" w:hAnsi="Verdana"/>
          <w:bCs/>
          <w:sz w:val="20"/>
        </w:rPr>
        <w:drawing>
          <wp:inline distT="0" distB="0" distL="0" distR="0">
            <wp:extent cx="5618480" cy="5064125"/>
            <wp:effectExtent l="0" t="0" r="1270" b="3175"/>
            <wp:docPr id="10" name="Imagen 10" descr="http://www.dof.gob.mx/imagenes_diarios/2018/01/05/MAT/shcp13_Cimg_352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of.gob.mx/imagenes_diarios/2018/01/05/MAT/shcp13_Cimg_35214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8480" cy="5064125"/>
                    </a:xfrm>
                    <a:prstGeom prst="rect">
                      <a:avLst/>
                    </a:prstGeom>
                    <a:noFill/>
                    <a:ln>
                      <a:noFill/>
                    </a:ln>
                  </pic:spPr>
                </pic:pic>
              </a:graphicData>
            </a:graphic>
          </wp:inline>
        </w:drawing>
      </w:r>
    </w:p>
    <w:p w:rsidR="00346315" w:rsidRPr="00346315" w:rsidRDefault="00346315" w:rsidP="00346315">
      <w:pPr>
        <w:jc w:val="both"/>
        <w:rPr>
          <w:rFonts w:ascii="Verdana" w:hAnsi="Verdana"/>
          <w:bCs/>
          <w:sz w:val="20"/>
        </w:rPr>
      </w:pPr>
      <w:r w:rsidRPr="00346315">
        <w:rPr>
          <w:rFonts w:ascii="Verdana" w:hAnsi="Verdana"/>
          <w:bCs/>
          <w:sz w:val="20"/>
        </w:rPr>
        <w:t xml:space="preserve">Específicamente, los </w:t>
      </w:r>
      <w:proofErr w:type="spellStart"/>
      <w:r w:rsidRPr="00346315">
        <w:rPr>
          <w:rFonts w:ascii="Verdana" w:hAnsi="Verdana"/>
          <w:bCs/>
          <w:sz w:val="20"/>
        </w:rPr>
        <w:t>PRs</w:t>
      </w:r>
      <w:proofErr w:type="spellEnd"/>
      <w:r w:rsidRPr="00346315">
        <w:rPr>
          <w:rFonts w:ascii="Verdana" w:hAnsi="Verdana"/>
          <w:bCs/>
          <w:sz w:val="20"/>
        </w:rPr>
        <w:t xml:space="preserve"> se construyen asumiendo que el porcentaje de la cartera destinado a la inversión en renta variable se realiza completamente en el </w:t>
      </w:r>
      <w:proofErr w:type="spellStart"/>
      <w:r w:rsidRPr="00346315">
        <w:rPr>
          <w:rFonts w:ascii="Verdana" w:hAnsi="Verdana"/>
          <w:bCs/>
          <w:sz w:val="20"/>
        </w:rPr>
        <w:t>Indice</w:t>
      </w:r>
      <w:proofErr w:type="spellEnd"/>
      <w:r w:rsidRPr="00346315">
        <w:rPr>
          <w:rFonts w:ascii="Verdana" w:hAnsi="Verdana"/>
          <w:bCs/>
          <w:sz w:val="20"/>
        </w:rPr>
        <w:t xml:space="preserve"> de Precios y Cotizaciones de la Bolsa Mexicana de Valores. Similarmente, se asume que el porcentaje de la cartera destinado a la inversión en renta fija se realiza a través de una canasta de valores de deuda gubernamentales con ponderadores para cada título definido como el porcentaje que dicho valor representa respecto del monto en circulación de valores gubernamentales.</w:t>
      </w:r>
    </w:p>
    <w:p w:rsidR="00346315" w:rsidRPr="00346315" w:rsidRDefault="00346315" w:rsidP="00346315">
      <w:pPr>
        <w:jc w:val="both"/>
        <w:rPr>
          <w:rFonts w:ascii="Verdana" w:hAnsi="Verdana"/>
          <w:bCs/>
          <w:sz w:val="20"/>
        </w:rPr>
      </w:pPr>
      <w:r w:rsidRPr="00346315">
        <w:rPr>
          <w:rFonts w:ascii="Verdana" w:hAnsi="Verdana"/>
          <w:bCs/>
          <w:sz w:val="20"/>
        </w:rPr>
        <w:t>El Comité de Análisis de Riesgos podrá efectuar ajustes, cuando las condiciones de los mercados lo impongan, sobre los parámetros empleados en la determinación del valor de </w:t>
      </w:r>
      <w:r w:rsidRPr="00346315">
        <w:rPr>
          <w:rFonts w:ascii="Verdana" w:hAnsi="Verdana"/>
          <w:bCs/>
          <w:sz w:val="20"/>
        </w:rPr>
        <w:drawing>
          <wp:inline distT="0" distB="0" distL="0" distR="0">
            <wp:extent cx="175895" cy="149225"/>
            <wp:effectExtent l="0" t="0" r="0" b="3175"/>
            <wp:docPr id="9" name="Imagen 9" descr="http://www.dof.gob.mx/imagenes_diarios/2018/01/05/MAT/shcp13_Cimg_4459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of.gob.mx/imagenes_diarios/2018/01/05/MAT/shcp13_Cimg_44596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895" cy="149225"/>
                    </a:xfrm>
                    <a:prstGeom prst="rect">
                      <a:avLst/>
                    </a:prstGeom>
                    <a:noFill/>
                    <a:ln>
                      <a:noFill/>
                    </a:ln>
                  </pic:spPr>
                </pic:pic>
              </a:graphicData>
            </a:graphic>
          </wp:inline>
        </w:drawing>
      </w:r>
      <w:r w:rsidRPr="00346315">
        <w:rPr>
          <w:rFonts w:ascii="Verdana" w:hAnsi="Verdana"/>
          <w:bCs/>
          <w:sz w:val="20"/>
        </w:rPr>
        <w:t xml:space="preserve"> así como en el PR para asegurar que dicha cartera continúe siendo representativa de las oportunidades de inversión del tipo de Sociedad de Inversión de que se trate. La Comisión publicará a través de su sitio de la red mundial las características a detalle de los </w:t>
      </w:r>
      <w:proofErr w:type="spellStart"/>
      <w:r w:rsidRPr="00346315">
        <w:rPr>
          <w:rFonts w:ascii="Verdana" w:hAnsi="Verdana"/>
          <w:bCs/>
          <w:sz w:val="20"/>
        </w:rPr>
        <w:t>PRs</w:t>
      </w:r>
      <w:proofErr w:type="spellEnd"/>
      <w:r w:rsidRPr="00346315">
        <w:rPr>
          <w:rFonts w:ascii="Verdana" w:hAnsi="Verdana"/>
          <w:bCs/>
          <w:sz w:val="20"/>
        </w:rPr>
        <w:t>, así como el valor vigente del número de escenario correspondiente al </w:t>
      </w:r>
      <w:proofErr w:type="spellStart"/>
      <w:r w:rsidRPr="00346315">
        <w:rPr>
          <w:rFonts w:ascii="Verdana" w:hAnsi="Verdana"/>
          <w:bCs/>
          <w:sz w:val="20"/>
        </w:rPr>
        <w:t>VaR</w:t>
      </w:r>
      <w:proofErr w:type="spellEnd"/>
      <w:r w:rsidRPr="00346315">
        <w:rPr>
          <w:rFonts w:ascii="Verdana" w:hAnsi="Verdana"/>
          <w:bCs/>
          <w:sz w:val="20"/>
        </w:rPr>
        <w:t xml:space="preserve"> de cada Sociedad de Inversión que se obtenga considerando los insumos proporcionados por </w:t>
      </w:r>
      <w:proofErr w:type="spellStart"/>
      <w:r w:rsidRPr="00346315">
        <w:rPr>
          <w:rFonts w:ascii="Verdana" w:hAnsi="Verdana"/>
          <w:bCs/>
          <w:sz w:val="20"/>
        </w:rPr>
        <w:t>losProveedores</w:t>
      </w:r>
      <w:proofErr w:type="spellEnd"/>
      <w:r w:rsidRPr="00346315">
        <w:rPr>
          <w:rFonts w:ascii="Verdana" w:hAnsi="Verdana"/>
          <w:bCs/>
          <w:sz w:val="20"/>
        </w:rPr>
        <w:t xml:space="preserve"> de Precios.</w:t>
      </w:r>
    </w:p>
    <w:p w:rsidR="00346315" w:rsidRPr="00346315" w:rsidRDefault="00346315" w:rsidP="00346315">
      <w:pPr>
        <w:jc w:val="both"/>
        <w:rPr>
          <w:rFonts w:ascii="Verdana" w:hAnsi="Verdana"/>
          <w:bCs/>
          <w:sz w:val="20"/>
        </w:rPr>
      </w:pPr>
      <w:r w:rsidRPr="00346315">
        <w:rPr>
          <w:rFonts w:ascii="Verdana" w:hAnsi="Verdana"/>
          <w:bCs/>
          <w:sz w:val="20"/>
        </w:rPr>
        <w:lastRenderedPageBreak/>
        <w:t xml:space="preserve">Para calcular el </w:t>
      </w:r>
      <w:proofErr w:type="spellStart"/>
      <w:r w:rsidRPr="00346315">
        <w:rPr>
          <w:rFonts w:ascii="Verdana" w:hAnsi="Verdana"/>
          <w:bCs/>
          <w:sz w:val="20"/>
        </w:rPr>
        <w:t>VaR</w:t>
      </w:r>
      <w:proofErr w:type="spellEnd"/>
      <w:r w:rsidRPr="00346315">
        <w:rPr>
          <w:rFonts w:ascii="Verdana" w:hAnsi="Verdana"/>
          <w:bCs/>
          <w:sz w:val="20"/>
        </w:rPr>
        <w:t xml:space="preserve">, se utilizarán ocho posiciones decimales truncando el último dígito, lo cual es equivalente a que cuando el </w:t>
      </w:r>
      <w:proofErr w:type="spellStart"/>
      <w:r w:rsidRPr="00346315">
        <w:rPr>
          <w:rFonts w:ascii="Verdana" w:hAnsi="Verdana"/>
          <w:bCs/>
          <w:sz w:val="20"/>
        </w:rPr>
        <w:t>VaR</w:t>
      </w:r>
      <w:proofErr w:type="spellEnd"/>
      <w:r w:rsidRPr="00346315">
        <w:rPr>
          <w:rFonts w:ascii="Verdana" w:hAnsi="Verdana"/>
          <w:bCs/>
          <w:sz w:val="20"/>
        </w:rPr>
        <w:t xml:space="preserve"> se encuentre expresado en términos porcentuales se deberán utilizar seis decimales truncados.</w:t>
      </w:r>
    </w:p>
    <w:p w:rsidR="00346315" w:rsidRPr="00346315" w:rsidRDefault="00346315" w:rsidP="00346315">
      <w:pPr>
        <w:jc w:val="both"/>
        <w:rPr>
          <w:rFonts w:ascii="Verdana" w:hAnsi="Verdana"/>
          <w:bCs/>
          <w:sz w:val="20"/>
        </w:rPr>
      </w:pPr>
      <w:r w:rsidRPr="00346315">
        <w:rPr>
          <w:rFonts w:ascii="Verdana" w:hAnsi="Verdana"/>
          <w:b/>
          <w:bCs/>
          <w:sz w:val="20"/>
        </w:rPr>
        <w:t>III.</w:t>
      </w:r>
      <w:r w:rsidRPr="00346315">
        <w:rPr>
          <w:rFonts w:ascii="Verdana" w:hAnsi="Verdana"/>
          <w:bCs/>
          <w:sz w:val="20"/>
        </w:rPr>
        <w:t>    </w:t>
      </w:r>
      <w:r w:rsidRPr="00346315">
        <w:rPr>
          <w:rFonts w:ascii="Verdana" w:hAnsi="Verdana"/>
          <w:b/>
          <w:bCs/>
          <w:sz w:val="20"/>
        </w:rPr>
        <w:t>Cálculo del Diferencial del Valor en Riesgo Condicional aplicable a las Sociedades de Inversión</w:t>
      </w:r>
    </w:p>
    <w:p w:rsidR="00346315" w:rsidRPr="00346315" w:rsidRDefault="00346315" w:rsidP="00346315">
      <w:pPr>
        <w:jc w:val="both"/>
        <w:rPr>
          <w:rFonts w:ascii="Verdana" w:hAnsi="Verdana"/>
          <w:bCs/>
          <w:sz w:val="20"/>
        </w:rPr>
      </w:pPr>
      <w:r w:rsidRPr="00346315">
        <w:rPr>
          <w:rFonts w:ascii="Verdana" w:hAnsi="Verdana"/>
          <w:bCs/>
          <w:sz w:val="20"/>
        </w:rPr>
        <w:t>Para calcular el Diferencial del Valor en Riesgo Condicional para cada Sociedad de Inversión considerando únicamente los Activos Administrados por la Sociedad de Inversión se estará a lo siguiente:</w:t>
      </w:r>
    </w:p>
    <w:p w:rsidR="00346315" w:rsidRPr="00346315" w:rsidRDefault="00346315" w:rsidP="00346315">
      <w:pPr>
        <w:jc w:val="both"/>
        <w:rPr>
          <w:rFonts w:ascii="Verdana" w:hAnsi="Verdana"/>
          <w:bCs/>
          <w:sz w:val="20"/>
        </w:rPr>
      </w:pPr>
      <w:r w:rsidRPr="00346315">
        <w:rPr>
          <w:rFonts w:ascii="Verdana" w:hAnsi="Verdana"/>
          <w:bCs/>
          <w:sz w:val="20"/>
        </w:rPr>
        <w:t xml:space="preserve">1.     Se calcula el </w:t>
      </w:r>
      <w:proofErr w:type="spellStart"/>
      <w:r w:rsidRPr="00346315">
        <w:rPr>
          <w:rFonts w:ascii="Verdana" w:hAnsi="Verdana"/>
          <w:bCs/>
          <w:sz w:val="20"/>
        </w:rPr>
        <w:t>CVaR</w:t>
      </w:r>
      <w:proofErr w:type="spellEnd"/>
      <w:r w:rsidRPr="00346315">
        <w:rPr>
          <w:rFonts w:ascii="Verdana" w:hAnsi="Verdana"/>
          <w:bCs/>
          <w:sz w:val="20"/>
        </w:rPr>
        <w:t xml:space="preserve"> de cada Sociedad de Inversión, utilizando la distribución de los rendimientos</w:t>
      </w:r>
    </w:p>
    <w:p w:rsidR="00346315" w:rsidRPr="00346315" w:rsidRDefault="00346315" w:rsidP="00346315">
      <w:pPr>
        <w:jc w:val="both"/>
        <w:rPr>
          <w:rFonts w:ascii="Verdana" w:hAnsi="Verdana"/>
          <w:bCs/>
          <w:sz w:val="20"/>
        </w:rPr>
      </w:pPr>
      <w:r w:rsidRPr="00346315">
        <w:rPr>
          <w:rFonts w:ascii="Verdana" w:hAnsi="Verdana"/>
          <w:bCs/>
          <w:sz w:val="20"/>
        </w:rPr>
        <w:t xml:space="preserve">ordenada de menor a mayor obtenida para el cálculo del </w:t>
      </w:r>
      <w:proofErr w:type="spellStart"/>
      <w:r w:rsidRPr="00346315">
        <w:rPr>
          <w:rFonts w:ascii="Verdana" w:hAnsi="Verdana"/>
          <w:bCs/>
          <w:sz w:val="20"/>
        </w:rPr>
        <w:t>VaR</w:t>
      </w:r>
      <w:proofErr w:type="spellEnd"/>
      <w:r w:rsidRPr="00346315">
        <w:rPr>
          <w:rFonts w:ascii="Verdana" w:hAnsi="Verdana"/>
          <w:bCs/>
          <w:sz w:val="20"/>
        </w:rPr>
        <w:t xml:space="preserve"> detallado en la sección I del presente Anexo como el promedio simple de aquellas observaciones, expresadas en términos positivos, que se encuentren por arriba del escenario 26 incluyendo este escenario.</w:t>
      </w:r>
    </w:p>
    <w:p w:rsidR="00346315" w:rsidRPr="00346315" w:rsidRDefault="00346315" w:rsidP="00346315">
      <w:pPr>
        <w:jc w:val="both"/>
        <w:rPr>
          <w:rFonts w:ascii="Verdana" w:hAnsi="Verdana"/>
          <w:bCs/>
          <w:sz w:val="20"/>
        </w:rPr>
      </w:pPr>
      <w:r w:rsidRPr="00346315">
        <w:rPr>
          <w:rFonts w:ascii="Verdana" w:hAnsi="Verdana"/>
          <w:bCs/>
          <w:sz w:val="20"/>
        </w:rPr>
        <w:t xml:space="preserve">2.     Se calcula el </w:t>
      </w:r>
      <w:proofErr w:type="spellStart"/>
      <w:r w:rsidRPr="00346315">
        <w:rPr>
          <w:rFonts w:ascii="Verdana" w:hAnsi="Verdana"/>
          <w:bCs/>
          <w:sz w:val="20"/>
        </w:rPr>
        <w:t>CVaR</w:t>
      </w:r>
      <w:proofErr w:type="spellEnd"/>
      <w:r w:rsidRPr="00346315">
        <w:rPr>
          <w:rFonts w:ascii="Verdana" w:hAnsi="Verdana"/>
          <w:bCs/>
          <w:sz w:val="20"/>
        </w:rPr>
        <w:t xml:space="preserve"> de cada Sociedad de Inversión, siguiendo el mismo procedimiento señalado en el numeral anterior, pero excluyendo para su cómputo las posiciones en instrumentos Derivados.</w:t>
      </w:r>
    </w:p>
    <w:p w:rsidR="00346315" w:rsidRPr="00346315" w:rsidRDefault="00346315" w:rsidP="00346315">
      <w:pPr>
        <w:jc w:val="both"/>
        <w:rPr>
          <w:rFonts w:ascii="Verdana" w:hAnsi="Verdana"/>
          <w:bCs/>
          <w:sz w:val="20"/>
        </w:rPr>
      </w:pPr>
      <w:r w:rsidRPr="00346315">
        <w:rPr>
          <w:rFonts w:ascii="Verdana" w:hAnsi="Verdana"/>
          <w:bCs/>
          <w:sz w:val="20"/>
        </w:rPr>
        <w:t xml:space="preserve">3.     Se calcula el valor de la diferencia del </w:t>
      </w:r>
      <w:proofErr w:type="spellStart"/>
      <w:r w:rsidRPr="00346315">
        <w:rPr>
          <w:rFonts w:ascii="Verdana" w:hAnsi="Verdana"/>
          <w:bCs/>
          <w:sz w:val="20"/>
        </w:rPr>
        <w:t>CVaR</w:t>
      </w:r>
      <w:proofErr w:type="spellEnd"/>
      <w:r w:rsidRPr="00346315">
        <w:rPr>
          <w:rFonts w:ascii="Verdana" w:hAnsi="Verdana"/>
          <w:bCs/>
          <w:sz w:val="20"/>
        </w:rPr>
        <w:t xml:space="preserve"> determinado en el numeral 1 anterior menos el </w:t>
      </w:r>
      <w:proofErr w:type="spellStart"/>
      <w:r w:rsidRPr="00346315">
        <w:rPr>
          <w:rFonts w:ascii="Verdana" w:hAnsi="Verdana"/>
          <w:bCs/>
          <w:sz w:val="20"/>
        </w:rPr>
        <w:t>CVaR</w:t>
      </w:r>
      <w:proofErr w:type="spellEnd"/>
      <w:r w:rsidRPr="00346315">
        <w:rPr>
          <w:rFonts w:ascii="Verdana" w:hAnsi="Verdana"/>
          <w:bCs/>
          <w:sz w:val="20"/>
        </w:rPr>
        <w:t xml:space="preserve"> determinado en el numeral 2 anterior; para tales efectos, el Comité de Análisis de Riesgos determinará los escenarios con los que se computarán los valores del </w:t>
      </w:r>
      <w:proofErr w:type="spellStart"/>
      <w:r w:rsidRPr="00346315">
        <w:rPr>
          <w:rFonts w:ascii="Verdana" w:hAnsi="Verdana"/>
          <w:bCs/>
          <w:sz w:val="20"/>
        </w:rPr>
        <w:t>CVaR</w:t>
      </w:r>
      <w:proofErr w:type="spellEnd"/>
      <w:r w:rsidRPr="00346315">
        <w:rPr>
          <w:rFonts w:ascii="Verdana" w:hAnsi="Verdana"/>
          <w:bCs/>
          <w:sz w:val="20"/>
        </w:rPr>
        <w:t xml:space="preserve">, mismos que permanecerán vigentes hasta que el Comité de Análisis de Riesgos defina un nuevo conjunto de escenarios. El Comité de Análisis de Riesgos evaluará y en su caso definirá cuando menos cada dos años al conjunto de escenarios considerados en los cómputos descritos en el presente </w:t>
      </w:r>
      <w:proofErr w:type="spellStart"/>
      <w:r w:rsidRPr="00346315">
        <w:rPr>
          <w:rFonts w:ascii="Verdana" w:hAnsi="Verdana"/>
          <w:bCs/>
          <w:sz w:val="20"/>
        </w:rPr>
        <w:t>párrafo.Adicionalmente</w:t>
      </w:r>
      <w:proofErr w:type="spellEnd"/>
      <w:r w:rsidRPr="00346315">
        <w:rPr>
          <w:rFonts w:ascii="Verdana" w:hAnsi="Verdana"/>
          <w:bCs/>
          <w:sz w:val="20"/>
        </w:rPr>
        <w:t>, el Comité de Análisis de Riesgos en cualquier tiempo podrá determinar en un plazo menor al señalado un conjunto de escenarios distintos, considerando la seguridad de las inversiones y el desarrollo de los mercados, así como otros elementos que dicho cuerpo colegiado juzgue que es necesario analizar, en este último supuesto, la Comisión hará del conocimiento de las Administradoras los escenarios aplicables en un plazo no menor a cinco días hábiles previo a su entrada en vigor.</w:t>
      </w:r>
    </w:p>
    <w:p w:rsidR="00346315" w:rsidRPr="00346315" w:rsidRDefault="00346315" w:rsidP="00346315">
      <w:pPr>
        <w:jc w:val="both"/>
        <w:rPr>
          <w:rFonts w:ascii="Verdana" w:hAnsi="Verdana"/>
          <w:bCs/>
          <w:sz w:val="20"/>
        </w:rPr>
      </w:pPr>
      <w:r w:rsidRPr="00346315">
        <w:rPr>
          <w:rFonts w:ascii="Verdana" w:hAnsi="Verdana"/>
          <w:bCs/>
          <w:sz w:val="20"/>
        </w:rPr>
        <w:t xml:space="preserve">En la estimación del </w:t>
      </w:r>
      <w:proofErr w:type="spellStart"/>
      <w:r w:rsidRPr="00346315">
        <w:rPr>
          <w:rFonts w:ascii="Verdana" w:hAnsi="Verdana"/>
          <w:bCs/>
          <w:sz w:val="20"/>
        </w:rPr>
        <w:t>CVaR</w:t>
      </w:r>
      <w:proofErr w:type="spellEnd"/>
      <w:r w:rsidRPr="00346315">
        <w:rPr>
          <w:rFonts w:ascii="Verdana" w:hAnsi="Verdana"/>
          <w:bCs/>
          <w:sz w:val="20"/>
        </w:rPr>
        <w:t xml:space="preserve"> y del Diferencial del </w:t>
      </w:r>
      <w:proofErr w:type="spellStart"/>
      <w:r w:rsidRPr="00346315">
        <w:rPr>
          <w:rFonts w:ascii="Verdana" w:hAnsi="Verdana"/>
          <w:bCs/>
          <w:sz w:val="20"/>
        </w:rPr>
        <w:t>CVaR</w:t>
      </w:r>
      <w:proofErr w:type="spellEnd"/>
      <w:r w:rsidRPr="00346315">
        <w:rPr>
          <w:rFonts w:ascii="Verdana" w:hAnsi="Verdana"/>
          <w:bCs/>
          <w:sz w:val="20"/>
        </w:rPr>
        <w:t xml:space="preserve"> se utilizarán ocho posiciones decimales truncando el último dígito, lo cual equivale a que, cuando el </w:t>
      </w:r>
      <w:proofErr w:type="spellStart"/>
      <w:r w:rsidRPr="00346315">
        <w:rPr>
          <w:rFonts w:ascii="Verdana" w:hAnsi="Verdana"/>
          <w:bCs/>
          <w:sz w:val="20"/>
        </w:rPr>
        <w:t>CVaR</w:t>
      </w:r>
      <w:proofErr w:type="spellEnd"/>
      <w:r w:rsidRPr="00346315">
        <w:rPr>
          <w:rFonts w:ascii="Verdana" w:hAnsi="Verdana"/>
          <w:bCs/>
          <w:sz w:val="20"/>
        </w:rPr>
        <w:t xml:space="preserve"> se encuentre expresado en términos porcentuales, se deberán utilizar seis decimales truncados.</w:t>
      </w:r>
    </w:p>
    <w:p w:rsidR="00346315" w:rsidRPr="00346315" w:rsidRDefault="00346315" w:rsidP="00346315">
      <w:pPr>
        <w:jc w:val="both"/>
        <w:rPr>
          <w:rFonts w:ascii="Verdana" w:hAnsi="Verdana"/>
          <w:b/>
          <w:bCs/>
          <w:sz w:val="20"/>
        </w:rPr>
      </w:pPr>
      <w:r w:rsidRPr="00346315">
        <w:rPr>
          <w:rFonts w:ascii="Verdana" w:hAnsi="Verdana"/>
          <w:b/>
          <w:bCs/>
          <w:sz w:val="20"/>
        </w:rPr>
        <w:t>ANEXO M</w:t>
      </w:r>
    </w:p>
    <w:p w:rsidR="00346315" w:rsidRPr="00346315" w:rsidRDefault="00346315" w:rsidP="00346315">
      <w:pPr>
        <w:jc w:val="both"/>
        <w:rPr>
          <w:rFonts w:ascii="Verdana" w:hAnsi="Verdana"/>
          <w:bCs/>
          <w:sz w:val="20"/>
        </w:rPr>
      </w:pPr>
      <w:r w:rsidRPr="00346315">
        <w:rPr>
          <w:rFonts w:ascii="Verdana" w:hAnsi="Verdana"/>
          <w:b/>
          <w:bCs/>
          <w:sz w:val="20"/>
        </w:rPr>
        <w:t>Índices Accionarios e Índices Inmobiliarios de Países Elegibles para Inversiones.</w:t>
      </w:r>
    </w:p>
    <w:p w:rsidR="00346315" w:rsidRPr="00346315" w:rsidRDefault="00346315" w:rsidP="00346315">
      <w:pPr>
        <w:jc w:val="both"/>
        <w:rPr>
          <w:rFonts w:ascii="Verdana" w:hAnsi="Verdana"/>
          <w:bCs/>
          <w:sz w:val="20"/>
        </w:rPr>
      </w:pPr>
      <w:r w:rsidRPr="00346315">
        <w:rPr>
          <w:rFonts w:ascii="Verdana" w:hAnsi="Verdana"/>
          <w:bCs/>
          <w:sz w:val="20"/>
        </w:rPr>
        <w:t xml:space="preserve">Los Índices Accionarios de Países Elegibles para Inversiones, Índices de Deuda de Países Elegibles para Inversiones o Índices Inmobiliarios de Países Elegibles para </w:t>
      </w:r>
      <w:r w:rsidRPr="00346315">
        <w:rPr>
          <w:rFonts w:ascii="Verdana" w:hAnsi="Verdana"/>
          <w:bCs/>
          <w:sz w:val="20"/>
        </w:rPr>
        <w:lastRenderedPageBreak/>
        <w:t xml:space="preserve">Inversiones adquiridos directamente, a través de Vehículos o Derivados por las Sociedades de Inversión en mercados de capitales elegibles, sólo podrán referirse a los índices dictaminados por el experto independiente a que se refiere la disposición Novena de las presentes disposiciones que cuenten con un dictamen aprobatorio vigente. Para tales efectos, la Comisión solicitará a las Administradoras la información relativa a la </w:t>
      </w:r>
      <w:proofErr w:type="spellStart"/>
      <w:r w:rsidRPr="00346315">
        <w:rPr>
          <w:rFonts w:ascii="Verdana" w:hAnsi="Verdana"/>
          <w:bCs/>
          <w:sz w:val="20"/>
        </w:rPr>
        <w:t>dictaminación</w:t>
      </w:r>
      <w:proofErr w:type="spellEnd"/>
      <w:r w:rsidRPr="00346315">
        <w:rPr>
          <w:rFonts w:ascii="Verdana" w:hAnsi="Verdana"/>
          <w:bCs/>
          <w:sz w:val="20"/>
        </w:rPr>
        <w:t xml:space="preserve"> realizada por el experto independiente de los índices y en su caso Vehículos de conformidad con lo que se establezca en las disposiciones de carácter general en materia financiera de los Sistemas de Ahorro para el Retiro y las reglas generales a las que deberá sujetarse la información que las administradoras de fondos para el retiro, las sociedades de inversión especializadas de fondos para el retiro, las entidades receptoras y las empresas operadoras de la Base de Datos Nacional SAR, entreguen a la Comisión Nacional del Sistema de Ahorro para el Retiro.</w:t>
      </w:r>
    </w:p>
    <w:p w:rsidR="00346315" w:rsidRPr="00346315" w:rsidRDefault="00346315" w:rsidP="00346315">
      <w:pPr>
        <w:jc w:val="both"/>
        <w:rPr>
          <w:rFonts w:ascii="Verdana" w:hAnsi="Verdana"/>
          <w:bCs/>
          <w:sz w:val="20"/>
        </w:rPr>
      </w:pPr>
      <w:r w:rsidRPr="00346315">
        <w:rPr>
          <w:rFonts w:ascii="Verdana" w:hAnsi="Verdana"/>
          <w:bCs/>
          <w:sz w:val="20"/>
        </w:rPr>
        <w:t>Será responsabilidad de las Administradoras verificar que los activos incluidos en el índice de referencia del Valor Extranjero de Renta Variable, del Valor Extranjero de Deuda, de los Instrumentos de Renta Variable, de los Instrumentos de Deuda, de las FIBRAS o de Vehículos de Inversión Inmobiliaria, o los Vehículos que las representan cuenten con un dictamen aprobatorio vigente emitido por el experto independiente a que se refiere la disposición Novena de las presentes disposiciones.</w:t>
      </w:r>
    </w:p>
    <w:p w:rsidR="00346315" w:rsidRPr="00346315" w:rsidRDefault="00346315" w:rsidP="00346315">
      <w:pPr>
        <w:jc w:val="both"/>
        <w:rPr>
          <w:rFonts w:ascii="Verdana" w:hAnsi="Verdana"/>
          <w:bCs/>
          <w:sz w:val="20"/>
        </w:rPr>
      </w:pPr>
      <w:r w:rsidRPr="00346315">
        <w:rPr>
          <w:rFonts w:ascii="Verdana" w:hAnsi="Verdana"/>
          <w:bCs/>
          <w:sz w:val="20"/>
        </w:rPr>
        <w:t xml:space="preserve">Las inversiones realizadas en Valores Extranjeros de Renta Variable, Valores Extranjeros de Deuda y los Vehículos de Inversión Inmobiliaria adquiridos a través de Mandatarios sólo podrán ser </w:t>
      </w:r>
      <w:proofErr w:type="gramStart"/>
      <w:r w:rsidRPr="00346315">
        <w:rPr>
          <w:rFonts w:ascii="Verdana" w:hAnsi="Verdana"/>
          <w:bCs/>
          <w:sz w:val="20"/>
        </w:rPr>
        <w:t>negociados</w:t>
      </w:r>
      <w:proofErr w:type="gramEnd"/>
      <w:r w:rsidRPr="00346315">
        <w:rPr>
          <w:rFonts w:ascii="Verdana" w:hAnsi="Verdana"/>
          <w:bCs/>
          <w:sz w:val="20"/>
        </w:rPr>
        <w:t xml:space="preserve"> en mercados de capitales de Países Elegibles para Inversiones.</w:t>
      </w:r>
    </w:p>
    <w:p w:rsidR="00346315" w:rsidRPr="00346315" w:rsidRDefault="00346315" w:rsidP="00346315">
      <w:pPr>
        <w:jc w:val="both"/>
        <w:rPr>
          <w:rFonts w:ascii="Verdana" w:hAnsi="Verdana"/>
          <w:bCs/>
          <w:sz w:val="20"/>
        </w:rPr>
      </w:pPr>
      <w:r w:rsidRPr="00346315">
        <w:rPr>
          <w:rFonts w:ascii="Verdana" w:hAnsi="Verdana"/>
          <w:b/>
          <w:bCs/>
          <w:sz w:val="20"/>
        </w:rPr>
        <w:t>I. Criterios de replicación de índices y otros</w:t>
      </w:r>
    </w:p>
    <w:p w:rsidR="00346315" w:rsidRPr="00346315" w:rsidRDefault="00346315" w:rsidP="00346315">
      <w:pPr>
        <w:jc w:val="both"/>
        <w:rPr>
          <w:rFonts w:ascii="Verdana" w:hAnsi="Verdana"/>
          <w:bCs/>
          <w:sz w:val="20"/>
        </w:rPr>
      </w:pPr>
      <w:r w:rsidRPr="00346315">
        <w:rPr>
          <w:rFonts w:ascii="Verdana" w:hAnsi="Verdana"/>
          <w:bCs/>
          <w:sz w:val="20"/>
        </w:rPr>
        <w:t xml:space="preserve">Los Valores Extranjeros de Renta Variable, los Valores Extranjeros de Deuda y los Vehículos de Inversión Inmobiliaria adquiridos directamente por las Sociedades de Inversión en mercados de capitales internacionales, deberán referirse a las acciones, a los Valores Extranjeros de Deuda y los Vehículos de Inversión Inmobiliaria que conforman los índices y los subíndices, siguiendo las ponderaciones oficiales de cada una de las emisoras, de los Valores Extranjeros de Deuda y/o los Vehículos de Inversión Inmobiliaria que conforman los citados índices y subíndices. En este caso, considerando los índices accionarios, de deuda o de Vehículos de Inversión Inmobiliaria que cuenten con un dictamen aprobatorio vigente emitido por el experto independiente a que se refiere la disposición Novena de las presentes disposiciones, los ponderadores oficiales podrán ser modificados por efectos de </w:t>
      </w:r>
      <w:proofErr w:type="spellStart"/>
      <w:r w:rsidRPr="00346315">
        <w:rPr>
          <w:rFonts w:ascii="Verdana" w:hAnsi="Verdana"/>
          <w:bCs/>
          <w:sz w:val="20"/>
        </w:rPr>
        <w:t>bursatilidad</w:t>
      </w:r>
      <w:proofErr w:type="spellEnd"/>
      <w:r w:rsidRPr="00346315">
        <w:rPr>
          <w:rFonts w:ascii="Verdana" w:hAnsi="Verdana"/>
          <w:bCs/>
          <w:sz w:val="20"/>
        </w:rPr>
        <w:t xml:space="preserve"> en un rango que no exceda de +/- 6.5 puntos porcentuales, evitando que el ponderador de cada emisora, Valor Extranjero de Deuda y/o Vehículo de Inversión Inmobiliaria sea negativo.</w:t>
      </w:r>
    </w:p>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El Comité de Análisis de Riesgos podrá modificar el rango descrito en el párrafo anterior si derivado de la correcta operación de los Valores Extranjeros de Renta Variable, de los Valores Extranjeros de Deuda y/o Vehículos de Inversión Inmobiliaria se fomenta la diversificación de las carteras de las Sociedades de Inversión.</w:t>
      </w:r>
    </w:p>
    <w:p w:rsidR="00346315" w:rsidRPr="00346315" w:rsidRDefault="00346315" w:rsidP="00346315">
      <w:pPr>
        <w:jc w:val="both"/>
        <w:rPr>
          <w:rFonts w:ascii="Verdana" w:hAnsi="Verdana"/>
          <w:bCs/>
          <w:sz w:val="20"/>
        </w:rPr>
      </w:pPr>
      <w:r w:rsidRPr="00346315">
        <w:rPr>
          <w:rFonts w:ascii="Verdana" w:hAnsi="Verdana"/>
          <w:bCs/>
          <w:sz w:val="20"/>
        </w:rPr>
        <w:lastRenderedPageBreak/>
        <w:t>Las Sociedades de Inversión, cuando inviertan en índices en directo, o en su caso, a través de Derivados, deberán observar que dichos índices estén conformados con al menos el 97.5% de empresas supervisadas por alguna autoridad de los Países Elegibles para Inversiones.</w:t>
      </w:r>
    </w:p>
    <w:p w:rsidR="00346315" w:rsidRPr="00346315" w:rsidRDefault="00346315" w:rsidP="00346315">
      <w:pPr>
        <w:jc w:val="both"/>
        <w:rPr>
          <w:rFonts w:ascii="Verdana" w:hAnsi="Verdana"/>
          <w:bCs/>
          <w:sz w:val="20"/>
        </w:rPr>
      </w:pPr>
      <w:r w:rsidRPr="00346315">
        <w:rPr>
          <w:rFonts w:ascii="Verdana" w:hAnsi="Verdana"/>
          <w:bCs/>
          <w:sz w:val="20"/>
        </w:rPr>
        <w:t>En el caso de que existan modificaciones en la denominación de los índices o subíndices enunciados en el presente Anexo, o bien por su conveniencia se pretenda modificar o incluir nuevos índices o subíndices en la relación de índices que cuenten con un dictamen aprobatorio emitido por el experto independiente a que se refiere la disposición Novena de las presentes disposiciones, este último deberá evaluar nuevamente los índices o subíndices si se realizan dichas modificaciones o adiciones y determinará los cambios que deban efectuarse en dicha relación.</w:t>
      </w:r>
    </w:p>
    <w:p w:rsidR="00346315" w:rsidRPr="00346315" w:rsidRDefault="00346315" w:rsidP="00346315">
      <w:pPr>
        <w:jc w:val="both"/>
        <w:rPr>
          <w:rFonts w:ascii="Verdana" w:hAnsi="Verdana"/>
          <w:bCs/>
          <w:sz w:val="20"/>
        </w:rPr>
      </w:pPr>
      <w:r w:rsidRPr="00346315">
        <w:rPr>
          <w:rFonts w:ascii="Verdana" w:hAnsi="Verdana"/>
          <w:bCs/>
          <w:sz w:val="20"/>
        </w:rPr>
        <w:t>Se informará de las modificaciones y adiciones del conjunto de índices al Comité Consultivo y de Vigilancia y a la Junta de Gobierno de la Comisión en la primera sesión que estos órganos realicen con posterioridad a la actualización realizada por el experto independiente a que se refiere la disposición Novena de las presentes disposiciones .</w:t>
      </w:r>
    </w:p>
    <w:p w:rsidR="00346315" w:rsidRPr="00346315" w:rsidRDefault="00346315" w:rsidP="00346315">
      <w:pPr>
        <w:jc w:val="both"/>
        <w:rPr>
          <w:rFonts w:ascii="Verdana" w:hAnsi="Verdana"/>
          <w:b/>
          <w:bCs/>
          <w:sz w:val="20"/>
        </w:rPr>
      </w:pPr>
      <w:r w:rsidRPr="00346315">
        <w:rPr>
          <w:rFonts w:ascii="Verdana" w:hAnsi="Verdana"/>
          <w:b/>
          <w:bCs/>
          <w:sz w:val="20"/>
        </w:rPr>
        <w:t>ANEXO N</w:t>
      </w:r>
    </w:p>
    <w:p w:rsidR="00346315" w:rsidRPr="00346315" w:rsidRDefault="00346315" w:rsidP="00346315">
      <w:pPr>
        <w:jc w:val="both"/>
        <w:rPr>
          <w:rFonts w:ascii="Verdana" w:hAnsi="Verdana"/>
          <w:bCs/>
          <w:sz w:val="20"/>
        </w:rPr>
      </w:pPr>
      <w:r w:rsidRPr="00346315">
        <w:rPr>
          <w:rFonts w:ascii="Verdana" w:hAnsi="Verdana"/>
          <w:b/>
          <w:bCs/>
          <w:sz w:val="20"/>
        </w:rPr>
        <w:t>Metodología para calcular la exposición de las inversiones a través del Componente de Renta Variable</w:t>
      </w:r>
      <w:r w:rsidRPr="00346315">
        <w:rPr>
          <w:rFonts w:ascii="Verdana" w:hAnsi="Verdana"/>
          <w:bCs/>
          <w:sz w:val="20"/>
        </w:rPr>
        <w:br/>
      </w:r>
      <w:r w:rsidRPr="00346315">
        <w:rPr>
          <w:rFonts w:ascii="Verdana" w:hAnsi="Verdana"/>
          <w:b/>
          <w:bCs/>
          <w:sz w:val="20"/>
        </w:rPr>
        <w:t>o bien a FIBRAS y Vehículos de Inversión Inmobiliaria.</w:t>
      </w:r>
    </w:p>
    <w:p w:rsidR="00346315" w:rsidRPr="00346315" w:rsidRDefault="00346315" w:rsidP="00346315">
      <w:pPr>
        <w:jc w:val="both"/>
        <w:rPr>
          <w:rFonts w:ascii="Verdana" w:hAnsi="Verdana"/>
          <w:bCs/>
          <w:sz w:val="20"/>
        </w:rPr>
      </w:pPr>
      <w:r w:rsidRPr="00346315">
        <w:rPr>
          <w:rFonts w:ascii="Verdana" w:hAnsi="Verdana"/>
          <w:b/>
          <w:bCs/>
          <w:sz w:val="20"/>
        </w:rPr>
        <w:t>Sección I. Cálculo de la exposición de las inversiones a través de Componentes de Renta Variable.</w:t>
      </w:r>
    </w:p>
    <w:p w:rsidR="00346315" w:rsidRPr="00346315" w:rsidRDefault="00346315" w:rsidP="00346315">
      <w:pPr>
        <w:jc w:val="both"/>
        <w:rPr>
          <w:rFonts w:ascii="Verdana" w:hAnsi="Verdana"/>
          <w:bCs/>
          <w:sz w:val="20"/>
        </w:rPr>
      </w:pPr>
      <w:r w:rsidRPr="00346315">
        <w:rPr>
          <w:rFonts w:ascii="Verdana" w:hAnsi="Verdana"/>
          <w:bCs/>
          <w:sz w:val="20"/>
        </w:rPr>
        <w:t>Se deberá calcular la exposición de las inversiones realizadas a través de Notas adquiridas o estructuradas, Estructuras Vinculadas a Subyacentes, así como de los Componentes de Renta Variable, mediante el procedimiento descrito en esta sección.</w:t>
      </w:r>
    </w:p>
    <w:p w:rsidR="00346315" w:rsidRPr="00346315" w:rsidRDefault="00346315" w:rsidP="00346315">
      <w:pPr>
        <w:jc w:val="both"/>
        <w:rPr>
          <w:rFonts w:ascii="Verdana" w:hAnsi="Verdana"/>
          <w:bCs/>
          <w:sz w:val="20"/>
        </w:rPr>
      </w:pPr>
      <w:r w:rsidRPr="00346315">
        <w:rPr>
          <w:rFonts w:ascii="Verdana" w:hAnsi="Verdana"/>
          <w:bCs/>
          <w:sz w:val="20"/>
        </w:rPr>
        <w:t>Para efectos de la presente sección, las Notas y las Estructuras Vinculadas a Subyacentes, se refieren a los Instrumentos de Deuda o Valores Extranjeros de Deuda cuyos retornos están vinculados a Componentes de Renta Variable.</w:t>
      </w:r>
    </w:p>
    <w:p w:rsidR="00346315" w:rsidRPr="00346315" w:rsidRDefault="00346315" w:rsidP="00346315">
      <w:pPr>
        <w:jc w:val="both"/>
        <w:rPr>
          <w:rFonts w:ascii="Verdana" w:hAnsi="Verdana"/>
          <w:bCs/>
          <w:sz w:val="20"/>
        </w:rPr>
      </w:pPr>
      <w:r w:rsidRPr="00346315">
        <w:rPr>
          <w:rFonts w:ascii="Verdana" w:hAnsi="Verdana"/>
          <w:bCs/>
          <w:sz w:val="20"/>
        </w:rPr>
        <w:t>Para el cómputo de la exposición a que se refiere la presente sección no se considerará el componente de deuda de las Notas ni de las Estructuras Vinculadas a Subyacentes.</w:t>
      </w:r>
    </w:p>
    <w:p w:rsidR="00346315" w:rsidRPr="00346315" w:rsidRDefault="00346315" w:rsidP="00346315">
      <w:pPr>
        <w:jc w:val="both"/>
        <w:rPr>
          <w:rFonts w:ascii="Verdana" w:hAnsi="Verdana"/>
          <w:bCs/>
          <w:sz w:val="20"/>
        </w:rPr>
      </w:pPr>
      <w:r w:rsidRPr="00346315">
        <w:rPr>
          <w:rFonts w:ascii="Verdana" w:hAnsi="Verdana"/>
          <w:b/>
          <w:bCs/>
          <w:sz w:val="20"/>
        </w:rPr>
        <w:t>I. Exposición de las inversiones a través de Notas, Estructuras Vinculadas a Subyacentes o Componente de Renta Variable:</w:t>
      </w:r>
    </w:p>
    <w:p w:rsidR="00346315" w:rsidRPr="00346315" w:rsidRDefault="00346315" w:rsidP="00346315">
      <w:pPr>
        <w:jc w:val="both"/>
        <w:rPr>
          <w:rFonts w:ascii="Verdana" w:hAnsi="Verdana"/>
          <w:bCs/>
          <w:sz w:val="20"/>
        </w:rPr>
      </w:pPr>
      <w:r w:rsidRPr="00346315">
        <w:rPr>
          <w:rFonts w:ascii="Verdana" w:hAnsi="Verdana"/>
          <w:bCs/>
          <w:sz w:val="20"/>
        </w:rPr>
        <w:t>Para determinar la exposición del portafolio de la Sociedad de Inversión, en su caso, de los portafolios de los Mandatarios que ésta hubiere contratado, al invertir en Notas, Estructuras Vinculadas a Subyacentes, o Componentes de Renta Variable, se utilizarán las Deltas' de los Instrumentos de Renta Variable, Valores Extranjeros de Renta Variable o Derivados, referidos a los Componentes de Renta Variable directamente o través de los Vehículos que los contengan.</w:t>
      </w:r>
    </w:p>
    <w:p w:rsidR="00346315" w:rsidRPr="00346315" w:rsidRDefault="00346315" w:rsidP="00346315">
      <w:pPr>
        <w:jc w:val="both"/>
        <w:rPr>
          <w:rFonts w:ascii="Verdana" w:hAnsi="Verdana"/>
          <w:bCs/>
          <w:sz w:val="20"/>
        </w:rPr>
      </w:pPr>
      <w:r w:rsidRPr="00346315">
        <w:rPr>
          <w:rFonts w:ascii="Verdana" w:hAnsi="Verdana"/>
          <w:bCs/>
          <w:sz w:val="20"/>
        </w:rPr>
        <w:t>La Delta' será:</w:t>
      </w:r>
    </w:p>
    <w:p w:rsidR="00346315" w:rsidRPr="00346315" w:rsidRDefault="00346315" w:rsidP="00346315">
      <w:pPr>
        <w:jc w:val="both"/>
        <w:rPr>
          <w:rFonts w:ascii="Verdana" w:hAnsi="Verdana"/>
          <w:bCs/>
          <w:sz w:val="20"/>
        </w:rPr>
      </w:pPr>
      <w:r w:rsidRPr="00346315">
        <w:rPr>
          <w:rFonts w:ascii="Verdana" w:hAnsi="Verdana"/>
          <w:bCs/>
          <w:sz w:val="20"/>
        </w:rPr>
        <w:lastRenderedPageBreak/>
        <w:t>a)    En el caso de Vehículos que confieran derechos sobre los Componentes de Renta Variable, acciones que los repliquen, futuros referidos a dichos subyacentes, igual a uno.</w:t>
      </w:r>
    </w:p>
    <w:p w:rsidR="00346315" w:rsidRPr="00346315" w:rsidRDefault="00346315" w:rsidP="00346315">
      <w:pPr>
        <w:jc w:val="both"/>
        <w:rPr>
          <w:rFonts w:ascii="Verdana" w:hAnsi="Verdana"/>
          <w:bCs/>
          <w:sz w:val="20"/>
        </w:rPr>
      </w:pPr>
      <w:r w:rsidRPr="00346315">
        <w:rPr>
          <w:rFonts w:ascii="Verdana" w:hAnsi="Verdana"/>
          <w:bCs/>
          <w:sz w:val="20"/>
        </w:rPr>
        <w:t>b)    En el caso de contratos de opciones o títulos opcionales a que se refiere la disposición segunda, fracción LII, inciso d) de las presentes disposiciones, serán calculadas por el Proveedor de Precios que tenga contratado la Sociedad de Inversión. Dicha Delta será calculada por unidad de contrato o título según corresponda y suponiendo una posición larga.</w:t>
      </w:r>
    </w:p>
    <w:p w:rsidR="00346315" w:rsidRPr="00346315" w:rsidRDefault="00346315" w:rsidP="00346315">
      <w:pPr>
        <w:jc w:val="both"/>
        <w:rPr>
          <w:rFonts w:ascii="Verdana" w:hAnsi="Verdana"/>
          <w:bCs/>
          <w:sz w:val="20"/>
        </w:rPr>
      </w:pPr>
      <w:r w:rsidRPr="00346315">
        <w:rPr>
          <w:rFonts w:ascii="Verdana" w:hAnsi="Verdana"/>
          <w:bCs/>
          <w:sz w:val="20"/>
        </w:rPr>
        <w:t>El monto expuesto a cada acción que forme parte del portafolio de inversión a través de Notas, Estructuras Vinculadas a Subyacentes o Componentes de Renta Variable, se calculará de la siguiente manera:</w:t>
      </w:r>
    </w:p>
    <w:p w:rsidR="00346315" w:rsidRPr="00346315" w:rsidRDefault="00346315" w:rsidP="00346315">
      <w:pPr>
        <w:jc w:val="both"/>
        <w:rPr>
          <w:rFonts w:ascii="Verdana" w:hAnsi="Verdana"/>
          <w:bCs/>
          <w:sz w:val="20"/>
        </w:rPr>
      </w:pPr>
      <w:r w:rsidRPr="00346315">
        <w:rPr>
          <w:rFonts w:ascii="Verdana" w:hAnsi="Verdana"/>
          <w:bCs/>
          <w:sz w:val="20"/>
        </w:rPr>
        <w:drawing>
          <wp:inline distT="0" distB="0" distL="0" distR="0">
            <wp:extent cx="2787015" cy="1116330"/>
            <wp:effectExtent l="0" t="0" r="0" b="7620"/>
            <wp:docPr id="8" name="Imagen 8" descr="http://www.dof.gob.mx/imagenes_diarios/2018/01/05/MAT/shcp13_Cimg_446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f.gob.mx/imagenes_diarios/2018/01/05/MAT/shcp13_Cimg_44652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7015" cy="1116330"/>
                    </a:xfrm>
                    <a:prstGeom prst="rect">
                      <a:avLst/>
                    </a:prstGeom>
                    <a:noFill/>
                    <a:ln>
                      <a:noFill/>
                    </a:ln>
                  </pic:spPr>
                </pic:pic>
              </a:graphicData>
            </a:graphic>
          </wp:inline>
        </w:drawing>
      </w:r>
    </w:p>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lastRenderedPageBreak/>
        <w:drawing>
          <wp:inline distT="0" distB="0" distL="0" distR="0">
            <wp:extent cx="5609590" cy="8229600"/>
            <wp:effectExtent l="0" t="0" r="0" b="0"/>
            <wp:docPr id="7" name="Imagen 7" descr="http://www.dof.gob.mx/imagenes_diarios/2018/01/05/MAT/shcp13_Cimg_456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of.gob.mx/imagenes_diarios/2018/01/05/MAT/shcp13_Cimg_45688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9590" cy="8229600"/>
                    </a:xfrm>
                    <a:prstGeom prst="rect">
                      <a:avLst/>
                    </a:prstGeom>
                    <a:noFill/>
                    <a:ln>
                      <a:noFill/>
                    </a:ln>
                  </pic:spPr>
                </pic:pic>
              </a:graphicData>
            </a:graphic>
          </wp:inline>
        </w:drawing>
      </w:r>
    </w:p>
    <w:p w:rsidR="00346315" w:rsidRPr="00346315" w:rsidRDefault="00346315" w:rsidP="00346315">
      <w:pPr>
        <w:jc w:val="both"/>
        <w:rPr>
          <w:rFonts w:ascii="Verdana" w:hAnsi="Verdana"/>
          <w:bCs/>
          <w:sz w:val="20"/>
        </w:rPr>
      </w:pPr>
      <w:r w:rsidRPr="00346315">
        <w:rPr>
          <w:rFonts w:ascii="Verdana" w:hAnsi="Verdana"/>
          <w:bCs/>
          <w:sz w:val="20"/>
        </w:rPr>
        <w:lastRenderedPageBreak/>
        <w:t>  </w:t>
      </w:r>
      <w:r w:rsidRPr="00346315">
        <w:rPr>
          <w:rFonts w:ascii="Verdana" w:hAnsi="Verdana"/>
          <w:bCs/>
          <w:sz w:val="20"/>
        </w:rPr>
        <w:lastRenderedPageBreak/>
        <w:drawing>
          <wp:inline distT="0" distB="0" distL="0" distR="0">
            <wp:extent cx="5600700" cy="8510905"/>
            <wp:effectExtent l="0" t="0" r="0" b="4445"/>
            <wp:docPr id="6" name="Imagen 6" descr="http://www.dof.gob.mx/imagenes_diarios/2018/01/05/MAT/shcp13_Cimg_634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of.gob.mx/imagenes_diarios/2018/01/05/MAT/shcp13_Cimg_63424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8510905"/>
                    </a:xfrm>
                    <a:prstGeom prst="rect">
                      <a:avLst/>
                    </a:prstGeom>
                    <a:noFill/>
                    <a:ln>
                      <a:noFill/>
                    </a:ln>
                  </pic:spPr>
                </pic:pic>
              </a:graphicData>
            </a:graphic>
          </wp:inline>
        </w:drawing>
      </w:r>
    </w:p>
    <w:p w:rsidR="00346315" w:rsidRPr="00346315" w:rsidRDefault="00346315" w:rsidP="00346315">
      <w:pPr>
        <w:jc w:val="both"/>
        <w:rPr>
          <w:rFonts w:ascii="Verdana" w:hAnsi="Verdana"/>
          <w:bCs/>
          <w:sz w:val="20"/>
        </w:rPr>
      </w:pPr>
      <w:r w:rsidRPr="00346315">
        <w:rPr>
          <w:rFonts w:ascii="Verdana" w:hAnsi="Verdana"/>
          <w:b/>
          <w:bCs/>
          <w:sz w:val="20"/>
        </w:rPr>
        <w:lastRenderedPageBreak/>
        <w:t>I. Exposición de las inversiones a través de Notas, Estructuras Vinculadas a Subyacentes, FIBRAS o Vehículos de Inversión Inmobiliaria:</w:t>
      </w:r>
    </w:p>
    <w:p w:rsidR="00346315" w:rsidRPr="00346315" w:rsidRDefault="00346315" w:rsidP="00346315">
      <w:pPr>
        <w:jc w:val="both"/>
        <w:rPr>
          <w:rFonts w:ascii="Verdana" w:hAnsi="Verdana"/>
          <w:bCs/>
          <w:sz w:val="20"/>
        </w:rPr>
      </w:pPr>
      <w:r w:rsidRPr="00346315">
        <w:rPr>
          <w:rFonts w:ascii="Verdana" w:hAnsi="Verdana"/>
          <w:bCs/>
          <w:sz w:val="20"/>
        </w:rPr>
        <w:t>Para determinar la exposición del portafolio de la Sociedad de Inversión, en su caso, de los portafolios de los Mandatarios que ésta hubiere contratado, al invertir en Notas, Estructuras Vinculadas a Subyacentes, FIBRAS o Vehículos de Inversión Inmobiliaria, se utilizarán las Deltas' de los Instrumentos de Derivados, referidos a las FIBRAS o Vehículos de Inversión Inmobiliaria directamente o través de los Vehículos que los contengan.</w:t>
      </w:r>
    </w:p>
    <w:p w:rsidR="00346315" w:rsidRPr="00346315" w:rsidRDefault="00346315" w:rsidP="00346315">
      <w:pPr>
        <w:jc w:val="both"/>
        <w:rPr>
          <w:rFonts w:ascii="Verdana" w:hAnsi="Verdana"/>
          <w:bCs/>
          <w:sz w:val="20"/>
        </w:rPr>
      </w:pPr>
      <w:r w:rsidRPr="00346315">
        <w:rPr>
          <w:rFonts w:ascii="Verdana" w:hAnsi="Verdana"/>
          <w:bCs/>
          <w:sz w:val="20"/>
        </w:rPr>
        <w:t>La Delta' será:</w:t>
      </w:r>
    </w:p>
    <w:p w:rsidR="00346315" w:rsidRPr="00346315" w:rsidRDefault="00346315" w:rsidP="00346315">
      <w:pPr>
        <w:jc w:val="both"/>
        <w:rPr>
          <w:rFonts w:ascii="Verdana" w:hAnsi="Verdana"/>
          <w:bCs/>
          <w:sz w:val="20"/>
        </w:rPr>
      </w:pPr>
      <w:r w:rsidRPr="00346315">
        <w:rPr>
          <w:rFonts w:ascii="Verdana" w:hAnsi="Verdana"/>
          <w:bCs/>
          <w:sz w:val="20"/>
        </w:rPr>
        <w:t>a)    En el caso de Vehículos que confieran derechos sobre las FIBRAS o Vehículos de Inversión Inmobiliaria, futuros referidos a dichos subyacentes, igual a uno.</w:t>
      </w:r>
    </w:p>
    <w:p w:rsidR="00346315" w:rsidRPr="00346315" w:rsidRDefault="00346315" w:rsidP="00346315">
      <w:pPr>
        <w:jc w:val="both"/>
        <w:rPr>
          <w:rFonts w:ascii="Verdana" w:hAnsi="Verdana"/>
          <w:bCs/>
          <w:sz w:val="20"/>
        </w:rPr>
      </w:pPr>
      <w:r w:rsidRPr="00346315">
        <w:rPr>
          <w:rFonts w:ascii="Verdana" w:hAnsi="Verdana"/>
          <w:bCs/>
          <w:sz w:val="20"/>
        </w:rPr>
        <w:t>b)    En el caso de contratos de opciones, serán calculadas por el Proveedor de Precios que tenga contratado la Sociedad de Inversión. Dicha Delta será calculada por unidad de contrato y suponiendo una posición larga.</w:t>
      </w:r>
    </w:p>
    <w:p w:rsidR="00346315" w:rsidRPr="00346315" w:rsidRDefault="00346315" w:rsidP="00346315">
      <w:pPr>
        <w:jc w:val="both"/>
        <w:rPr>
          <w:rFonts w:ascii="Verdana" w:hAnsi="Verdana"/>
          <w:bCs/>
          <w:sz w:val="20"/>
        </w:rPr>
      </w:pPr>
      <w:r w:rsidRPr="00346315">
        <w:rPr>
          <w:rFonts w:ascii="Verdana" w:hAnsi="Verdana"/>
          <w:bCs/>
          <w:sz w:val="20"/>
        </w:rPr>
        <w:t>El monto expuesto a cada FIBRA o Vehículo de Inversión Inmobiliaria que forme parte del portafolio de inversión a través de Notas, Estructuras Vinculadas a Subyacentes, se calculará de la siguiente manera:</w:t>
      </w:r>
    </w:p>
    <w:p w:rsidR="00346315" w:rsidRPr="00346315" w:rsidRDefault="00346315" w:rsidP="00346315">
      <w:pPr>
        <w:jc w:val="both"/>
        <w:rPr>
          <w:rFonts w:ascii="Verdana" w:hAnsi="Verdana"/>
          <w:bCs/>
          <w:sz w:val="20"/>
        </w:rPr>
      </w:pPr>
      <w:r w:rsidRPr="00346315">
        <w:rPr>
          <w:rFonts w:ascii="Verdana" w:hAnsi="Verdana"/>
          <w:bCs/>
          <w:sz w:val="20"/>
        </w:rPr>
        <w:lastRenderedPageBreak/>
        <w:drawing>
          <wp:inline distT="0" distB="0" distL="0" distR="0">
            <wp:extent cx="5618480" cy="5838190"/>
            <wp:effectExtent l="0" t="0" r="1270" b="0"/>
            <wp:docPr id="5" name="Imagen 5" descr="http://www.dof.gob.mx/imagenes_diarios/2018/01/05/MAT/shcp13_Cimg_800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of.gob.mx/imagenes_diarios/2018/01/05/MAT/shcp13_Cimg_80015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8480" cy="5838190"/>
                    </a:xfrm>
                    <a:prstGeom prst="rect">
                      <a:avLst/>
                    </a:prstGeom>
                    <a:noFill/>
                    <a:ln>
                      <a:noFill/>
                    </a:ln>
                  </pic:spPr>
                </pic:pic>
              </a:graphicData>
            </a:graphic>
          </wp:inline>
        </w:drawing>
      </w:r>
    </w:p>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lastRenderedPageBreak/>
        <w:drawing>
          <wp:inline distT="0" distB="0" distL="0" distR="0">
            <wp:extent cx="5609590" cy="8431530"/>
            <wp:effectExtent l="0" t="0" r="0" b="7620"/>
            <wp:docPr id="4" name="Imagen 4" descr="http://www.dof.gob.mx/imagenes_diarios/2018/01/05/MAT/shcp13_Cimg_933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of.gob.mx/imagenes_diarios/2018/01/05/MAT/shcp13_Cimg_93375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9590" cy="8431530"/>
                    </a:xfrm>
                    <a:prstGeom prst="rect">
                      <a:avLst/>
                    </a:prstGeom>
                    <a:noFill/>
                    <a:ln>
                      <a:noFill/>
                    </a:ln>
                  </pic:spPr>
                </pic:pic>
              </a:graphicData>
            </a:graphic>
          </wp:inline>
        </w:drawing>
      </w:r>
    </w:p>
    <w:p w:rsidR="00346315" w:rsidRPr="00346315" w:rsidRDefault="00346315" w:rsidP="00346315">
      <w:pPr>
        <w:jc w:val="both"/>
        <w:rPr>
          <w:rFonts w:ascii="Verdana" w:hAnsi="Verdana"/>
          <w:bCs/>
          <w:sz w:val="20"/>
        </w:rPr>
      </w:pPr>
      <w:r w:rsidRPr="00346315">
        <w:rPr>
          <w:rFonts w:ascii="Verdana" w:hAnsi="Verdana"/>
          <w:bCs/>
          <w:sz w:val="20"/>
        </w:rPr>
        <w:lastRenderedPageBreak/>
        <w:t> </w:t>
      </w:r>
    </w:p>
    <w:p w:rsidR="00346315" w:rsidRPr="00346315" w:rsidRDefault="00346315" w:rsidP="00346315">
      <w:pPr>
        <w:jc w:val="both"/>
        <w:rPr>
          <w:rFonts w:ascii="Verdana" w:hAnsi="Verdana"/>
          <w:bCs/>
          <w:sz w:val="20"/>
        </w:rPr>
      </w:pPr>
      <w:r w:rsidRPr="00346315">
        <w:rPr>
          <w:rFonts w:ascii="Verdana" w:hAnsi="Verdana"/>
          <w:bCs/>
          <w:sz w:val="20"/>
        </w:rPr>
        <w:lastRenderedPageBreak/>
        <w:drawing>
          <wp:inline distT="0" distB="0" distL="0" distR="0">
            <wp:extent cx="5609590" cy="8493125"/>
            <wp:effectExtent l="0" t="0" r="0" b="3175"/>
            <wp:docPr id="3" name="Imagen 3" descr="http://www.dof.gob.mx/imagenes_diarios/2018/01/05/MAT/shcp13_Cimg_1099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of.gob.mx/imagenes_diarios/2018/01/05/MAT/shcp13_Cimg_109982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9590" cy="8493125"/>
                    </a:xfrm>
                    <a:prstGeom prst="rect">
                      <a:avLst/>
                    </a:prstGeom>
                    <a:noFill/>
                    <a:ln>
                      <a:noFill/>
                    </a:ln>
                  </pic:spPr>
                </pic:pic>
              </a:graphicData>
            </a:graphic>
          </wp:inline>
        </w:drawing>
      </w:r>
    </w:p>
    <w:p w:rsidR="00346315" w:rsidRPr="00346315" w:rsidRDefault="00346315" w:rsidP="00346315">
      <w:pPr>
        <w:jc w:val="both"/>
        <w:rPr>
          <w:rFonts w:ascii="Verdana" w:hAnsi="Verdana"/>
          <w:bCs/>
          <w:sz w:val="20"/>
        </w:rPr>
      </w:pPr>
      <w:r w:rsidRPr="00346315">
        <w:rPr>
          <w:rFonts w:ascii="Verdana" w:hAnsi="Verdana"/>
          <w:bCs/>
          <w:sz w:val="20"/>
        </w:rPr>
        <w:lastRenderedPageBreak/>
        <w:drawing>
          <wp:inline distT="0" distB="0" distL="0" distR="0">
            <wp:extent cx="5618480" cy="8440420"/>
            <wp:effectExtent l="0" t="0" r="1270" b="0"/>
            <wp:docPr id="2" name="Imagen 2" descr="http://www.dof.gob.mx/imagenes_diarios/2018/01/05/MAT/shcp13_Cimg_1254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of.gob.mx/imagenes_diarios/2018/01/05/MAT/shcp13_Cimg_125403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8480" cy="8440420"/>
                    </a:xfrm>
                    <a:prstGeom prst="rect">
                      <a:avLst/>
                    </a:prstGeom>
                    <a:noFill/>
                    <a:ln>
                      <a:noFill/>
                    </a:ln>
                  </pic:spPr>
                </pic:pic>
              </a:graphicData>
            </a:graphic>
          </wp:inline>
        </w:drawing>
      </w:r>
    </w:p>
    <w:p w:rsidR="00346315" w:rsidRPr="00346315" w:rsidRDefault="00346315" w:rsidP="00346315">
      <w:pPr>
        <w:jc w:val="both"/>
        <w:rPr>
          <w:rFonts w:ascii="Verdana" w:hAnsi="Verdana"/>
          <w:bCs/>
          <w:sz w:val="20"/>
        </w:rPr>
      </w:pPr>
      <w:r w:rsidRPr="00346315">
        <w:rPr>
          <w:rFonts w:ascii="Verdana" w:hAnsi="Verdana"/>
          <w:bCs/>
          <w:sz w:val="20"/>
        </w:rPr>
        <w:lastRenderedPageBreak/>
        <w:t> </w:t>
      </w:r>
    </w:p>
    <w:p w:rsidR="00346315" w:rsidRPr="00346315" w:rsidRDefault="00346315" w:rsidP="00346315">
      <w:pPr>
        <w:jc w:val="both"/>
        <w:rPr>
          <w:rFonts w:ascii="Verdana" w:hAnsi="Verdana"/>
          <w:bCs/>
          <w:sz w:val="20"/>
        </w:rPr>
      </w:pPr>
      <w:r w:rsidRPr="00346315">
        <w:rPr>
          <w:rFonts w:ascii="Verdana" w:hAnsi="Verdana"/>
          <w:bCs/>
          <w:sz w:val="20"/>
        </w:rPr>
        <w:drawing>
          <wp:inline distT="0" distB="0" distL="0" distR="0">
            <wp:extent cx="5609590" cy="4070985"/>
            <wp:effectExtent l="0" t="0" r="0" b="5715"/>
            <wp:docPr id="1" name="Imagen 1" descr="http://www.dof.gob.mx/imagenes_diarios/2018/01/05/MAT/shcp13_Cimg_1392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of.gob.mx/imagenes_diarios/2018/01/05/MAT/shcp13_Cimg_139210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9590" cy="4070985"/>
                    </a:xfrm>
                    <a:prstGeom prst="rect">
                      <a:avLst/>
                    </a:prstGeom>
                    <a:noFill/>
                    <a:ln>
                      <a:noFill/>
                    </a:ln>
                  </pic:spPr>
                </pic:pic>
              </a:graphicData>
            </a:graphic>
          </wp:inline>
        </w:drawing>
      </w:r>
    </w:p>
    <w:p w:rsidR="00346315" w:rsidRPr="00346315" w:rsidRDefault="00346315" w:rsidP="00346315">
      <w:pPr>
        <w:jc w:val="both"/>
        <w:rPr>
          <w:rFonts w:ascii="Verdana" w:hAnsi="Verdana"/>
          <w:b/>
          <w:bCs/>
          <w:sz w:val="20"/>
        </w:rPr>
      </w:pPr>
      <w:r w:rsidRPr="00346315">
        <w:rPr>
          <w:rFonts w:ascii="Verdana" w:hAnsi="Verdana"/>
          <w:b/>
          <w:bCs/>
          <w:sz w:val="20"/>
        </w:rPr>
        <w:t>ANEXO P</w:t>
      </w:r>
    </w:p>
    <w:p w:rsidR="00346315" w:rsidRPr="00346315" w:rsidRDefault="00346315" w:rsidP="00346315">
      <w:pPr>
        <w:jc w:val="both"/>
        <w:rPr>
          <w:rFonts w:ascii="Verdana" w:hAnsi="Verdana"/>
          <w:bCs/>
          <w:sz w:val="20"/>
        </w:rPr>
      </w:pPr>
      <w:r w:rsidRPr="00346315">
        <w:rPr>
          <w:rFonts w:ascii="Verdana" w:hAnsi="Verdana"/>
          <w:b/>
          <w:bCs/>
          <w:sz w:val="20"/>
        </w:rPr>
        <w:t>Relación de Países Elegibles para Inversiones</w:t>
      </w:r>
    </w:p>
    <w:p w:rsidR="00346315" w:rsidRPr="00346315" w:rsidRDefault="00346315" w:rsidP="00346315">
      <w:pPr>
        <w:jc w:val="both"/>
        <w:rPr>
          <w:rFonts w:ascii="Verdana" w:hAnsi="Verdana"/>
          <w:bCs/>
          <w:sz w:val="20"/>
        </w:rPr>
      </w:pPr>
      <w:r w:rsidRPr="00346315">
        <w:rPr>
          <w:rFonts w:ascii="Verdana" w:hAnsi="Verdana"/>
          <w:bCs/>
          <w:sz w:val="20"/>
        </w:rPr>
        <w:t>De conformidad con la fracción LX de la disposición Segunda de las presentes disposiciones, se presenta la relación de Países Elegibles para Inversiones:</w:t>
      </w:r>
    </w:p>
    <w:p w:rsidR="00346315" w:rsidRPr="00346315" w:rsidRDefault="00346315" w:rsidP="00346315">
      <w:pPr>
        <w:jc w:val="both"/>
        <w:rPr>
          <w:rFonts w:ascii="Verdana" w:hAnsi="Verdana"/>
          <w:bCs/>
          <w:sz w:val="20"/>
        </w:rPr>
      </w:pPr>
      <w:r w:rsidRPr="00346315">
        <w:rPr>
          <w:rFonts w:ascii="Verdana" w:hAnsi="Verdana"/>
          <w:bCs/>
          <w:sz w:val="20"/>
        </w:rPr>
        <w:t>I.     Comité sobre el Sistema Financiero Global (CSFG) del Banco de Pagos Internacionales (BPI)</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631"/>
        <w:gridCol w:w="1469"/>
      </w:tblGrid>
      <w:tr w:rsidR="00346315" w:rsidRPr="00346315" w:rsidTr="00346315">
        <w:tc>
          <w:tcPr>
            <w:tcW w:w="16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Alemania</w:t>
            </w:r>
          </w:p>
        </w:tc>
        <w:tc>
          <w:tcPr>
            <w:tcW w:w="13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India</w:t>
            </w:r>
          </w:p>
        </w:tc>
      </w:tr>
      <w:tr w:rsidR="00346315" w:rsidRPr="00346315" w:rsidTr="00346315">
        <w:tc>
          <w:tcPr>
            <w:tcW w:w="16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Australia</w:t>
            </w:r>
          </w:p>
        </w:tc>
        <w:tc>
          <w:tcPr>
            <w:tcW w:w="13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Inglaterra</w:t>
            </w:r>
          </w:p>
        </w:tc>
      </w:tr>
      <w:tr w:rsidR="00346315" w:rsidRPr="00346315" w:rsidTr="00346315">
        <w:tc>
          <w:tcPr>
            <w:tcW w:w="16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Bélgica</w:t>
            </w:r>
          </w:p>
        </w:tc>
        <w:tc>
          <w:tcPr>
            <w:tcW w:w="13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Italia</w:t>
            </w:r>
          </w:p>
        </w:tc>
      </w:tr>
      <w:tr w:rsidR="00346315" w:rsidRPr="00346315" w:rsidTr="00346315">
        <w:tc>
          <w:tcPr>
            <w:tcW w:w="16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Brasil</w:t>
            </w:r>
          </w:p>
        </w:tc>
        <w:tc>
          <w:tcPr>
            <w:tcW w:w="13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Japón</w:t>
            </w:r>
          </w:p>
        </w:tc>
      </w:tr>
      <w:tr w:rsidR="00346315" w:rsidRPr="00346315" w:rsidTr="00346315">
        <w:tc>
          <w:tcPr>
            <w:tcW w:w="16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Canadá</w:t>
            </w:r>
          </w:p>
        </w:tc>
        <w:tc>
          <w:tcPr>
            <w:tcW w:w="13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Luxemburgo</w:t>
            </w:r>
          </w:p>
        </w:tc>
      </w:tr>
      <w:tr w:rsidR="00346315" w:rsidRPr="00346315" w:rsidTr="00346315">
        <w:tc>
          <w:tcPr>
            <w:tcW w:w="16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China</w:t>
            </w:r>
          </w:p>
        </w:tc>
        <w:tc>
          <w:tcPr>
            <w:tcW w:w="13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México</w:t>
            </w:r>
          </w:p>
        </w:tc>
      </w:tr>
      <w:tr w:rsidR="00346315" w:rsidRPr="00346315" w:rsidTr="00346315">
        <w:tc>
          <w:tcPr>
            <w:tcW w:w="16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lastRenderedPageBreak/>
              <w:t>Corea del sur</w:t>
            </w:r>
          </w:p>
        </w:tc>
        <w:tc>
          <w:tcPr>
            <w:tcW w:w="13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Países Bajos</w:t>
            </w:r>
          </w:p>
        </w:tc>
      </w:tr>
      <w:tr w:rsidR="00346315" w:rsidRPr="00346315" w:rsidTr="00346315">
        <w:tc>
          <w:tcPr>
            <w:tcW w:w="16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Estados Unidos</w:t>
            </w:r>
          </w:p>
        </w:tc>
        <w:tc>
          <w:tcPr>
            <w:tcW w:w="13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Singapur</w:t>
            </w:r>
          </w:p>
        </w:tc>
      </w:tr>
      <w:tr w:rsidR="00346315" w:rsidRPr="00346315" w:rsidTr="00346315">
        <w:tc>
          <w:tcPr>
            <w:tcW w:w="16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España</w:t>
            </w:r>
          </w:p>
        </w:tc>
        <w:tc>
          <w:tcPr>
            <w:tcW w:w="13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Suecia</w:t>
            </w:r>
          </w:p>
        </w:tc>
      </w:tr>
      <w:tr w:rsidR="00346315" w:rsidRPr="00346315" w:rsidTr="00346315">
        <w:tc>
          <w:tcPr>
            <w:tcW w:w="16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Francia</w:t>
            </w:r>
          </w:p>
        </w:tc>
        <w:tc>
          <w:tcPr>
            <w:tcW w:w="13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Suiza</w:t>
            </w:r>
          </w:p>
        </w:tc>
      </w:tr>
      <w:tr w:rsidR="00346315" w:rsidRPr="00346315" w:rsidTr="00346315">
        <w:tc>
          <w:tcPr>
            <w:tcW w:w="163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Hong Kong</w:t>
            </w:r>
          </w:p>
        </w:tc>
        <w:tc>
          <w:tcPr>
            <w:tcW w:w="13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 </w:t>
            </w:r>
          </w:p>
        </w:tc>
      </w:tr>
    </w:tbl>
    <w:p w:rsidR="00346315" w:rsidRPr="00346315" w:rsidRDefault="00346315" w:rsidP="00346315">
      <w:pPr>
        <w:jc w:val="both"/>
        <w:rPr>
          <w:rFonts w:ascii="Verdana" w:hAnsi="Verdana"/>
          <w:bCs/>
          <w:sz w:val="20"/>
        </w:rPr>
      </w:pPr>
      <w:r w:rsidRPr="00346315">
        <w:rPr>
          <w:rFonts w:ascii="Verdana" w:hAnsi="Verdana"/>
          <w:bCs/>
          <w:sz w:val="20"/>
        </w:rPr>
        <w:t>II.     Miembros de la Alianza del Pacífico (AP) con plenos derechos cuyas bolsas de valores pertenezcan</w:t>
      </w:r>
    </w:p>
    <w:p w:rsidR="00346315" w:rsidRPr="00346315" w:rsidRDefault="00346315" w:rsidP="00346315">
      <w:pPr>
        <w:jc w:val="both"/>
        <w:rPr>
          <w:rFonts w:ascii="Verdana" w:hAnsi="Verdana"/>
          <w:bCs/>
          <w:sz w:val="20"/>
        </w:rPr>
      </w:pPr>
      <w:proofErr w:type="gramStart"/>
      <w:r w:rsidRPr="00346315">
        <w:rPr>
          <w:rFonts w:ascii="Verdana" w:hAnsi="Verdana"/>
          <w:bCs/>
          <w:sz w:val="20"/>
        </w:rPr>
        <w:t>al</w:t>
      </w:r>
      <w:proofErr w:type="gramEnd"/>
      <w:r w:rsidRPr="00346315">
        <w:rPr>
          <w:rFonts w:ascii="Verdana" w:hAnsi="Verdana"/>
          <w:bCs/>
          <w:sz w:val="20"/>
        </w:rPr>
        <w:t xml:space="preserve"> Mercado Integrado Latinoamericano (MILA)</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629"/>
        <w:gridCol w:w="1339"/>
      </w:tblGrid>
      <w:tr w:rsidR="00346315" w:rsidRPr="00346315" w:rsidTr="00346315">
        <w:tc>
          <w:tcPr>
            <w:tcW w:w="162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Colombia</w:t>
            </w:r>
          </w:p>
        </w:tc>
        <w:tc>
          <w:tcPr>
            <w:tcW w:w="13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Perú</w:t>
            </w:r>
          </w:p>
        </w:tc>
      </w:tr>
    </w:tbl>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III.    Unión Europea</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96"/>
        <w:gridCol w:w="1664"/>
      </w:tblGrid>
      <w:tr w:rsidR="00346315" w:rsidRPr="00346315" w:rsidTr="00346315">
        <w:tc>
          <w:tcPr>
            <w:tcW w:w="12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Alemania</w:t>
            </w:r>
          </w:p>
        </w:tc>
        <w:tc>
          <w:tcPr>
            <w:tcW w:w="16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Hungría</w:t>
            </w:r>
          </w:p>
        </w:tc>
      </w:tr>
      <w:tr w:rsidR="00346315" w:rsidRPr="00346315" w:rsidTr="00346315">
        <w:tc>
          <w:tcPr>
            <w:tcW w:w="12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Austria</w:t>
            </w:r>
          </w:p>
        </w:tc>
        <w:tc>
          <w:tcPr>
            <w:tcW w:w="16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Irlanda</w:t>
            </w:r>
          </w:p>
        </w:tc>
      </w:tr>
      <w:tr w:rsidR="00346315" w:rsidRPr="00346315" w:rsidTr="00346315">
        <w:tc>
          <w:tcPr>
            <w:tcW w:w="12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Bélgica</w:t>
            </w:r>
          </w:p>
        </w:tc>
        <w:tc>
          <w:tcPr>
            <w:tcW w:w="16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Italia</w:t>
            </w:r>
          </w:p>
        </w:tc>
      </w:tr>
      <w:tr w:rsidR="00346315" w:rsidRPr="00346315" w:rsidTr="00346315">
        <w:tc>
          <w:tcPr>
            <w:tcW w:w="12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Bulgaria</w:t>
            </w:r>
          </w:p>
        </w:tc>
        <w:tc>
          <w:tcPr>
            <w:tcW w:w="16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Letonia</w:t>
            </w:r>
          </w:p>
        </w:tc>
      </w:tr>
      <w:tr w:rsidR="00346315" w:rsidRPr="00346315" w:rsidTr="00346315">
        <w:tc>
          <w:tcPr>
            <w:tcW w:w="12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Chipre</w:t>
            </w:r>
          </w:p>
        </w:tc>
        <w:tc>
          <w:tcPr>
            <w:tcW w:w="16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Lituania</w:t>
            </w:r>
          </w:p>
        </w:tc>
      </w:tr>
      <w:tr w:rsidR="00346315" w:rsidRPr="00346315" w:rsidTr="00346315">
        <w:tc>
          <w:tcPr>
            <w:tcW w:w="12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Croacia</w:t>
            </w:r>
          </w:p>
        </w:tc>
        <w:tc>
          <w:tcPr>
            <w:tcW w:w="16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Luxemburgo</w:t>
            </w:r>
          </w:p>
        </w:tc>
      </w:tr>
      <w:tr w:rsidR="00346315" w:rsidRPr="00346315" w:rsidTr="00346315">
        <w:tc>
          <w:tcPr>
            <w:tcW w:w="12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Dinamarca</w:t>
            </w:r>
          </w:p>
        </w:tc>
        <w:tc>
          <w:tcPr>
            <w:tcW w:w="16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Malta</w:t>
            </w:r>
          </w:p>
        </w:tc>
      </w:tr>
      <w:tr w:rsidR="00346315" w:rsidRPr="00346315" w:rsidTr="00346315">
        <w:tc>
          <w:tcPr>
            <w:tcW w:w="12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Eslovaquia</w:t>
            </w:r>
          </w:p>
        </w:tc>
        <w:tc>
          <w:tcPr>
            <w:tcW w:w="16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Países Bajos</w:t>
            </w:r>
          </w:p>
        </w:tc>
      </w:tr>
      <w:tr w:rsidR="00346315" w:rsidRPr="00346315" w:rsidTr="00346315">
        <w:tc>
          <w:tcPr>
            <w:tcW w:w="12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Eslovenia</w:t>
            </w:r>
          </w:p>
        </w:tc>
        <w:tc>
          <w:tcPr>
            <w:tcW w:w="16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Polonia</w:t>
            </w:r>
          </w:p>
        </w:tc>
      </w:tr>
      <w:tr w:rsidR="00346315" w:rsidRPr="00346315" w:rsidTr="00346315">
        <w:tc>
          <w:tcPr>
            <w:tcW w:w="12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España</w:t>
            </w:r>
          </w:p>
        </w:tc>
        <w:tc>
          <w:tcPr>
            <w:tcW w:w="16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Portugal</w:t>
            </w:r>
          </w:p>
        </w:tc>
      </w:tr>
      <w:tr w:rsidR="00346315" w:rsidRPr="00346315" w:rsidTr="00346315">
        <w:tc>
          <w:tcPr>
            <w:tcW w:w="12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Estonia</w:t>
            </w:r>
          </w:p>
        </w:tc>
        <w:tc>
          <w:tcPr>
            <w:tcW w:w="16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Reino Unido</w:t>
            </w:r>
          </w:p>
        </w:tc>
      </w:tr>
      <w:tr w:rsidR="00346315" w:rsidRPr="00346315" w:rsidTr="00346315">
        <w:tc>
          <w:tcPr>
            <w:tcW w:w="12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Finlandia</w:t>
            </w:r>
          </w:p>
        </w:tc>
        <w:tc>
          <w:tcPr>
            <w:tcW w:w="16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República Checa</w:t>
            </w:r>
          </w:p>
        </w:tc>
      </w:tr>
      <w:tr w:rsidR="00346315" w:rsidRPr="00346315" w:rsidTr="00346315">
        <w:tc>
          <w:tcPr>
            <w:tcW w:w="12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Francia</w:t>
            </w:r>
          </w:p>
        </w:tc>
        <w:tc>
          <w:tcPr>
            <w:tcW w:w="16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Rumanía</w:t>
            </w:r>
          </w:p>
        </w:tc>
      </w:tr>
      <w:tr w:rsidR="00346315" w:rsidRPr="00346315" w:rsidTr="00346315">
        <w:tc>
          <w:tcPr>
            <w:tcW w:w="1225"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lastRenderedPageBreak/>
              <w:t>Grecia</w:t>
            </w:r>
          </w:p>
        </w:tc>
        <w:tc>
          <w:tcPr>
            <w:tcW w:w="16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Suecia</w:t>
            </w:r>
          </w:p>
        </w:tc>
      </w:tr>
    </w:tbl>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IV.   Miembros de la Organización para la Cooperación y el Desarrollo Económico (OCDE) con los que México tenga tratados de libre comercio vigentes</w:t>
      </w:r>
    </w:p>
    <w:p w:rsidR="00346315" w:rsidRPr="00346315" w:rsidRDefault="00346315" w:rsidP="00346315">
      <w:pPr>
        <w:jc w:val="both"/>
        <w:rPr>
          <w:rFonts w:ascii="Verdana" w:hAnsi="Verdana"/>
          <w:bCs/>
          <w:sz w:val="20"/>
        </w:rPr>
      </w:pPr>
      <w:r w:rsidRPr="00346315">
        <w:rPr>
          <w:rFonts w:ascii="Verdana" w:hAnsi="Verdana"/>
          <w:bCs/>
          <w:sz w:val="20"/>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359"/>
        <w:gridCol w:w="1491"/>
      </w:tblGrid>
      <w:tr w:rsidR="00346315" w:rsidRPr="00346315" w:rsidTr="00346315">
        <w:tc>
          <w:tcPr>
            <w:tcW w:w="13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Chile</w:t>
            </w:r>
          </w:p>
        </w:tc>
        <w:tc>
          <w:tcPr>
            <w:tcW w:w="149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Israel</w:t>
            </w:r>
          </w:p>
        </w:tc>
      </w:tr>
      <w:tr w:rsidR="00346315" w:rsidRPr="00346315" w:rsidTr="00346315">
        <w:tc>
          <w:tcPr>
            <w:tcW w:w="135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Islandia</w:t>
            </w:r>
          </w:p>
        </w:tc>
        <w:tc>
          <w:tcPr>
            <w:tcW w:w="1491"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Noruega</w:t>
            </w:r>
          </w:p>
        </w:tc>
      </w:tr>
    </w:tbl>
    <w:p w:rsidR="00346315" w:rsidRPr="00346315" w:rsidRDefault="00346315" w:rsidP="00346315">
      <w:pPr>
        <w:jc w:val="both"/>
        <w:rPr>
          <w:rFonts w:ascii="Verdana" w:hAnsi="Verdana"/>
          <w:bCs/>
          <w:sz w:val="20"/>
        </w:rPr>
      </w:pPr>
      <w:r w:rsidRPr="00346315">
        <w:rPr>
          <w:rFonts w:ascii="Verdana" w:hAnsi="Verdana"/>
          <w:bCs/>
          <w:sz w:val="20"/>
        </w:rPr>
        <w:t> </w:t>
      </w:r>
    </w:p>
    <w:p w:rsidR="00346315" w:rsidRPr="00346315" w:rsidRDefault="00346315" w:rsidP="00346315">
      <w:pPr>
        <w:jc w:val="both"/>
        <w:rPr>
          <w:rFonts w:ascii="Verdana" w:hAnsi="Verdana"/>
          <w:bCs/>
          <w:sz w:val="20"/>
        </w:rPr>
      </w:pPr>
      <w:r w:rsidRPr="00346315">
        <w:rPr>
          <w:rFonts w:ascii="Verdana" w:hAnsi="Verdana"/>
          <w:bCs/>
          <w:sz w:val="20"/>
        </w:rPr>
        <w:t>V.    Países determinados considerando la seguridad de las inversiones y el desarrollo de los mercados</w:t>
      </w:r>
    </w:p>
    <w:p w:rsidR="00346315" w:rsidRPr="00346315" w:rsidRDefault="00346315" w:rsidP="00346315">
      <w:pPr>
        <w:jc w:val="both"/>
        <w:rPr>
          <w:rFonts w:ascii="Verdana" w:hAnsi="Verdana"/>
          <w:bCs/>
          <w:sz w:val="20"/>
        </w:rPr>
      </w:pPr>
      <w:r w:rsidRPr="00346315">
        <w:rPr>
          <w:rFonts w:ascii="Verdana" w:hAnsi="Verdana"/>
          <w:bCs/>
          <w:sz w:val="20"/>
        </w:rPr>
        <w:t>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449"/>
        <w:gridCol w:w="1320"/>
      </w:tblGrid>
      <w:tr w:rsidR="00346315" w:rsidRPr="00346315" w:rsidTr="00346315">
        <w:tc>
          <w:tcPr>
            <w:tcW w:w="14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Malasia</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Sudáfrica</w:t>
            </w:r>
          </w:p>
        </w:tc>
      </w:tr>
      <w:tr w:rsidR="00346315" w:rsidRPr="00346315" w:rsidTr="00346315">
        <w:tc>
          <w:tcPr>
            <w:tcW w:w="14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Nueva</w:t>
            </w:r>
            <w:r w:rsidRPr="00346315">
              <w:rPr>
                <w:rFonts w:ascii="Verdana" w:hAnsi="Verdana"/>
                <w:bCs/>
                <w:sz w:val="20"/>
              </w:rPr>
              <w:br/>
              <w:t>Zelanda</w:t>
            </w:r>
          </w:p>
        </w:tc>
        <w:tc>
          <w:tcPr>
            <w:tcW w:w="1320" w:type="dxa"/>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Tailandia</w:t>
            </w:r>
          </w:p>
        </w:tc>
      </w:tr>
      <w:tr w:rsidR="00346315" w:rsidRPr="00346315" w:rsidTr="00346315">
        <w:tc>
          <w:tcPr>
            <w:tcW w:w="2769"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108" w:type="dxa"/>
              <w:bottom w:w="15" w:type="dxa"/>
              <w:right w:w="108" w:type="dxa"/>
            </w:tcMar>
            <w:hideMark/>
          </w:tcPr>
          <w:p w:rsidR="00346315" w:rsidRPr="00346315" w:rsidRDefault="00346315" w:rsidP="00346315">
            <w:pPr>
              <w:jc w:val="both"/>
              <w:rPr>
                <w:rFonts w:ascii="Verdana" w:hAnsi="Verdana"/>
                <w:bCs/>
                <w:sz w:val="20"/>
              </w:rPr>
            </w:pPr>
            <w:r w:rsidRPr="00346315">
              <w:rPr>
                <w:rFonts w:ascii="Verdana" w:hAnsi="Verdana"/>
                <w:bCs/>
                <w:sz w:val="20"/>
              </w:rPr>
              <w:t>Taiwán</w:t>
            </w:r>
          </w:p>
        </w:tc>
      </w:tr>
    </w:tbl>
    <w:p w:rsidR="004D40D1" w:rsidRPr="004D40D1" w:rsidRDefault="004D40D1" w:rsidP="004D40D1">
      <w:pPr>
        <w:jc w:val="both"/>
        <w:rPr>
          <w:rFonts w:ascii="Verdana" w:hAnsi="Verdana"/>
          <w:bCs/>
          <w:sz w:val="20"/>
        </w:rPr>
      </w:pPr>
      <w:bookmarkStart w:id="0" w:name="_GoBack"/>
      <w:bookmarkEnd w:id="0"/>
    </w:p>
    <w:p w:rsidR="00BF3AEB" w:rsidRDefault="00346315"/>
    <w:sectPr w:rsidR="00BF3AE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0D1"/>
    <w:rsid w:val="002228FA"/>
    <w:rsid w:val="00346315"/>
    <w:rsid w:val="004D40D1"/>
    <w:rsid w:val="00742478"/>
    <w:rsid w:val="007E77D7"/>
    <w:rsid w:val="00C06C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34631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46315"/>
    <w:rPr>
      <w:rFonts w:ascii="Times New Roman" w:eastAsia="Times New Roman" w:hAnsi="Times New Roman" w:cs="Times New Roman"/>
      <w:b/>
      <w:bCs/>
      <w:sz w:val="36"/>
      <w:szCs w:val="36"/>
      <w:lang w:eastAsia="es-MX"/>
    </w:rPr>
  </w:style>
  <w:style w:type="paragraph" w:styleId="Textodeglobo">
    <w:name w:val="Balloon Text"/>
    <w:basedOn w:val="Normal"/>
    <w:link w:val="TextodegloboCar"/>
    <w:uiPriority w:val="99"/>
    <w:semiHidden/>
    <w:unhideWhenUsed/>
    <w:rsid w:val="003463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63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ar"/>
    <w:uiPriority w:val="9"/>
    <w:qFormat/>
    <w:rsid w:val="00346315"/>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346315"/>
    <w:rPr>
      <w:rFonts w:ascii="Times New Roman" w:eastAsia="Times New Roman" w:hAnsi="Times New Roman" w:cs="Times New Roman"/>
      <w:b/>
      <w:bCs/>
      <w:sz w:val="36"/>
      <w:szCs w:val="36"/>
      <w:lang w:eastAsia="es-MX"/>
    </w:rPr>
  </w:style>
  <w:style w:type="paragraph" w:styleId="Textodeglobo">
    <w:name w:val="Balloon Text"/>
    <w:basedOn w:val="Normal"/>
    <w:link w:val="TextodegloboCar"/>
    <w:uiPriority w:val="99"/>
    <w:semiHidden/>
    <w:unhideWhenUsed/>
    <w:rsid w:val="003463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63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315112">
      <w:bodyDiv w:val="1"/>
      <w:marLeft w:val="0"/>
      <w:marRight w:val="0"/>
      <w:marTop w:val="0"/>
      <w:marBottom w:val="0"/>
      <w:divBdr>
        <w:top w:val="none" w:sz="0" w:space="0" w:color="auto"/>
        <w:left w:val="none" w:sz="0" w:space="0" w:color="auto"/>
        <w:bottom w:val="none" w:sz="0" w:space="0" w:color="auto"/>
        <w:right w:val="none" w:sz="0" w:space="0" w:color="auto"/>
      </w:divBdr>
      <w:divsChild>
        <w:div w:id="722294616">
          <w:marLeft w:val="0"/>
          <w:marRight w:val="0"/>
          <w:marTop w:val="0"/>
          <w:marBottom w:val="101"/>
          <w:divBdr>
            <w:top w:val="none" w:sz="0" w:space="0" w:color="auto"/>
            <w:left w:val="none" w:sz="0" w:space="0" w:color="auto"/>
            <w:bottom w:val="none" w:sz="0" w:space="0" w:color="auto"/>
            <w:right w:val="none" w:sz="0" w:space="0" w:color="auto"/>
          </w:divBdr>
        </w:div>
        <w:div w:id="1563516149">
          <w:marLeft w:val="0"/>
          <w:marRight w:val="0"/>
          <w:marTop w:val="0"/>
          <w:marBottom w:val="101"/>
          <w:divBdr>
            <w:top w:val="none" w:sz="0" w:space="0" w:color="auto"/>
            <w:left w:val="none" w:sz="0" w:space="0" w:color="auto"/>
            <w:bottom w:val="none" w:sz="0" w:space="0" w:color="auto"/>
            <w:right w:val="none" w:sz="0" w:space="0" w:color="auto"/>
          </w:divBdr>
        </w:div>
        <w:div w:id="1200584079">
          <w:marLeft w:val="0"/>
          <w:marRight w:val="0"/>
          <w:marTop w:val="0"/>
          <w:marBottom w:val="101"/>
          <w:divBdr>
            <w:top w:val="none" w:sz="0" w:space="0" w:color="auto"/>
            <w:left w:val="none" w:sz="0" w:space="0" w:color="auto"/>
            <w:bottom w:val="none" w:sz="0" w:space="0" w:color="auto"/>
            <w:right w:val="none" w:sz="0" w:space="0" w:color="auto"/>
          </w:divBdr>
        </w:div>
        <w:div w:id="734939999">
          <w:marLeft w:val="0"/>
          <w:marRight w:val="0"/>
          <w:marTop w:val="0"/>
          <w:marBottom w:val="101"/>
          <w:divBdr>
            <w:top w:val="none" w:sz="0" w:space="0" w:color="auto"/>
            <w:left w:val="none" w:sz="0" w:space="0" w:color="auto"/>
            <w:bottom w:val="none" w:sz="0" w:space="0" w:color="auto"/>
            <w:right w:val="none" w:sz="0" w:space="0" w:color="auto"/>
          </w:divBdr>
        </w:div>
        <w:div w:id="670066225">
          <w:marLeft w:val="0"/>
          <w:marRight w:val="0"/>
          <w:marTop w:val="0"/>
          <w:marBottom w:val="101"/>
          <w:divBdr>
            <w:top w:val="none" w:sz="0" w:space="0" w:color="auto"/>
            <w:left w:val="none" w:sz="0" w:space="0" w:color="auto"/>
            <w:bottom w:val="none" w:sz="0" w:space="0" w:color="auto"/>
            <w:right w:val="none" w:sz="0" w:space="0" w:color="auto"/>
          </w:divBdr>
        </w:div>
        <w:div w:id="122506323">
          <w:marLeft w:val="0"/>
          <w:marRight w:val="0"/>
          <w:marTop w:val="0"/>
          <w:marBottom w:val="101"/>
          <w:divBdr>
            <w:top w:val="none" w:sz="0" w:space="0" w:color="auto"/>
            <w:left w:val="none" w:sz="0" w:space="0" w:color="auto"/>
            <w:bottom w:val="none" w:sz="0" w:space="0" w:color="auto"/>
            <w:right w:val="none" w:sz="0" w:space="0" w:color="auto"/>
          </w:divBdr>
        </w:div>
        <w:div w:id="719673561">
          <w:marLeft w:val="0"/>
          <w:marRight w:val="0"/>
          <w:marTop w:val="0"/>
          <w:marBottom w:val="101"/>
          <w:divBdr>
            <w:top w:val="none" w:sz="0" w:space="0" w:color="auto"/>
            <w:left w:val="none" w:sz="0" w:space="0" w:color="auto"/>
            <w:bottom w:val="none" w:sz="0" w:space="0" w:color="auto"/>
            <w:right w:val="none" w:sz="0" w:space="0" w:color="auto"/>
          </w:divBdr>
        </w:div>
        <w:div w:id="243269712">
          <w:marLeft w:val="1080"/>
          <w:marRight w:val="0"/>
          <w:marTop w:val="0"/>
          <w:marBottom w:val="101"/>
          <w:divBdr>
            <w:top w:val="none" w:sz="0" w:space="0" w:color="auto"/>
            <w:left w:val="none" w:sz="0" w:space="0" w:color="auto"/>
            <w:bottom w:val="none" w:sz="0" w:space="0" w:color="auto"/>
            <w:right w:val="none" w:sz="0" w:space="0" w:color="auto"/>
          </w:divBdr>
        </w:div>
        <w:div w:id="310989035">
          <w:marLeft w:val="1080"/>
          <w:marRight w:val="0"/>
          <w:marTop w:val="0"/>
          <w:marBottom w:val="101"/>
          <w:divBdr>
            <w:top w:val="none" w:sz="0" w:space="0" w:color="auto"/>
            <w:left w:val="none" w:sz="0" w:space="0" w:color="auto"/>
            <w:bottom w:val="none" w:sz="0" w:space="0" w:color="auto"/>
            <w:right w:val="none" w:sz="0" w:space="0" w:color="auto"/>
          </w:divBdr>
        </w:div>
        <w:div w:id="1866862259">
          <w:marLeft w:val="1080"/>
          <w:marRight w:val="0"/>
          <w:marTop w:val="0"/>
          <w:marBottom w:val="101"/>
          <w:divBdr>
            <w:top w:val="none" w:sz="0" w:space="0" w:color="auto"/>
            <w:left w:val="none" w:sz="0" w:space="0" w:color="auto"/>
            <w:bottom w:val="none" w:sz="0" w:space="0" w:color="auto"/>
            <w:right w:val="none" w:sz="0" w:space="0" w:color="auto"/>
          </w:divBdr>
        </w:div>
        <w:div w:id="1675373338">
          <w:marLeft w:val="1080"/>
          <w:marRight w:val="0"/>
          <w:marTop w:val="0"/>
          <w:marBottom w:val="101"/>
          <w:divBdr>
            <w:top w:val="none" w:sz="0" w:space="0" w:color="auto"/>
            <w:left w:val="none" w:sz="0" w:space="0" w:color="auto"/>
            <w:bottom w:val="none" w:sz="0" w:space="0" w:color="auto"/>
            <w:right w:val="none" w:sz="0" w:space="0" w:color="auto"/>
          </w:divBdr>
        </w:div>
        <w:div w:id="291441794">
          <w:marLeft w:val="1080"/>
          <w:marRight w:val="0"/>
          <w:marTop w:val="0"/>
          <w:marBottom w:val="101"/>
          <w:divBdr>
            <w:top w:val="none" w:sz="0" w:space="0" w:color="auto"/>
            <w:left w:val="none" w:sz="0" w:space="0" w:color="auto"/>
            <w:bottom w:val="none" w:sz="0" w:space="0" w:color="auto"/>
            <w:right w:val="none" w:sz="0" w:space="0" w:color="auto"/>
          </w:divBdr>
        </w:div>
        <w:div w:id="1727025922">
          <w:marLeft w:val="1080"/>
          <w:marRight w:val="0"/>
          <w:marTop w:val="0"/>
          <w:marBottom w:val="101"/>
          <w:divBdr>
            <w:top w:val="none" w:sz="0" w:space="0" w:color="auto"/>
            <w:left w:val="none" w:sz="0" w:space="0" w:color="auto"/>
            <w:bottom w:val="none" w:sz="0" w:space="0" w:color="auto"/>
            <w:right w:val="none" w:sz="0" w:space="0" w:color="auto"/>
          </w:divBdr>
        </w:div>
        <w:div w:id="179127107">
          <w:marLeft w:val="1080"/>
          <w:marRight w:val="0"/>
          <w:marTop w:val="0"/>
          <w:marBottom w:val="101"/>
          <w:divBdr>
            <w:top w:val="none" w:sz="0" w:space="0" w:color="auto"/>
            <w:left w:val="none" w:sz="0" w:space="0" w:color="auto"/>
            <w:bottom w:val="none" w:sz="0" w:space="0" w:color="auto"/>
            <w:right w:val="none" w:sz="0" w:space="0" w:color="auto"/>
          </w:divBdr>
        </w:div>
        <w:div w:id="272052486">
          <w:marLeft w:val="1080"/>
          <w:marRight w:val="0"/>
          <w:marTop w:val="0"/>
          <w:marBottom w:val="101"/>
          <w:divBdr>
            <w:top w:val="none" w:sz="0" w:space="0" w:color="auto"/>
            <w:left w:val="none" w:sz="0" w:space="0" w:color="auto"/>
            <w:bottom w:val="none" w:sz="0" w:space="0" w:color="auto"/>
            <w:right w:val="none" w:sz="0" w:space="0" w:color="auto"/>
          </w:divBdr>
        </w:div>
        <w:div w:id="1522931501">
          <w:marLeft w:val="1080"/>
          <w:marRight w:val="0"/>
          <w:marTop w:val="0"/>
          <w:marBottom w:val="101"/>
          <w:divBdr>
            <w:top w:val="none" w:sz="0" w:space="0" w:color="auto"/>
            <w:left w:val="none" w:sz="0" w:space="0" w:color="auto"/>
            <w:bottom w:val="none" w:sz="0" w:space="0" w:color="auto"/>
            <w:right w:val="none" w:sz="0" w:space="0" w:color="auto"/>
          </w:divBdr>
        </w:div>
        <w:div w:id="450129076">
          <w:marLeft w:val="1080"/>
          <w:marRight w:val="0"/>
          <w:marTop w:val="0"/>
          <w:marBottom w:val="101"/>
          <w:divBdr>
            <w:top w:val="none" w:sz="0" w:space="0" w:color="auto"/>
            <w:left w:val="none" w:sz="0" w:space="0" w:color="auto"/>
            <w:bottom w:val="none" w:sz="0" w:space="0" w:color="auto"/>
            <w:right w:val="none" w:sz="0" w:space="0" w:color="auto"/>
          </w:divBdr>
        </w:div>
        <w:div w:id="1851333225">
          <w:marLeft w:val="1080"/>
          <w:marRight w:val="0"/>
          <w:marTop w:val="0"/>
          <w:marBottom w:val="101"/>
          <w:divBdr>
            <w:top w:val="none" w:sz="0" w:space="0" w:color="auto"/>
            <w:left w:val="none" w:sz="0" w:space="0" w:color="auto"/>
            <w:bottom w:val="none" w:sz="0" w:space="0" w:color="auto"/>
            <w:right w:val="none" w:sz="0" w:space="0" w:color="auto"/>
          </w:divBdr>
        </w:div>
        <w:div w:id="1129670285">
          <w:marLeft w:val="1080"/>
          <w:marRight w:val="0"/>
          <w:marTop w:val="0"/>
          <w:marBottom w:val="101"/>
          <w:divBdr>
            <w:top w:val="none" w:sz="0" w:space="0" w:color="auto"/>
            <w:left w:val="none" w:sz="0" w:space="0" w:color="auto"/>
            <w:bottom w:val="none" w:sz="0" w:space="0" w:color="auto"/>
            <w:right w:val="none" w:sz="0" w:space="0" w:color="auto"/>
          </w:divBdr>
        </w:div>
        <w:div w:id="1618876398">
          <w:marLeft w:val="1080"/>
          <w:marRight w:val="0"/>
          <w:marTop w:val="0"/>
          <w:marBottom w:val="101"/>
          <w:divBdr>
            <w:top w:val="none" w:sz="0" w:space="0" w:color="auto"/>
            <w:left w:val="none" w:sz="0" w:space="0" w:color="auto"/>
            <w:bottom w:val="none" w:sz="0" w:space="0" w:color="auto"/>
            <w:right w:val="none" w:sz="0" w:space="0" w:color="auto"/>
          </w:divBdr>
        </w:div>
        <w:div w:id="540480640">
          <w:marLeft w:val="1080"/>
          <w:marRight w:val="0"/>
          <w:marTop w:val="0"/>
          <w:marBottom w:val="101"/>
          <w:divBdr>
            <w:top w:val="none" w:sz="0" w:space="0" w:color="auto"/>
            <w:left w:val="none" w:sz="0" w:space="0" w:color="auto"/>
            <w:bottom w:val="none" w:sz="0" w:space="0" w:color="auto"/>
            <w:right w:val="none" w:sz="0" w:space="0" w:color="auto"/>
          </w:divBdr>
        </w:div>
        <w:div w:id="100344161">
          <w:marLeft w:val="1080"/>
          <w:marRight w:val="0"/>
          <w:marTop w:val="0"/>
          <w:marBottom w:val="101"/>
          <w:divBdr>
            <w:top w:val="none" w:sz="0" w:space="0" w:color="auto"/>
            <w:left w:val="none" w:sz="0" w:space="0" w:color="auto"/>
            <w:bottom w:val="none" w:sz="0" w:space="0" w:color="auto"/>
            <w:right w:val="none" w:sz="0" w:space="0" w:color="auto"/>
          </w:divBdr>
        </w:div>
        <w:div w:id="240260669">
          <w:marLeft w:val="1080"/>
          <w:marRight w:val="0"/>
          <w:marTop w:val="0"/>
          <w:marBottom w:val="101"/>
          <w:divBdr>
            <w:top w:val="none" w:sz="0" w:space="0" w:color="auto"/>
            <w:left w:val="none" w:sz="0" w:space="0" w:color="auto"/>
            <w:bottom w:val="none" w:sz="0" w:space="0" w:color="auto"/>
            <w:right w:val="none" w:sz="0" w:space="0" w:color="auto"/>
          </w:divBdr>
        </w:div>
        <w:div w:id="745997232">
          <w:marLeft w:val="1080"/>
          <w:marRight w:val="0"/>
          <w:marTop w:val="0"/>
          <w:marBottom w:val="101"/>
          <w:divBdr>
            <w:top w:val="none" w:sz="0" w:space="0" w:color="auto"/>
            <w:left w:val="none" w:sz="0" w:space="0" w:color="auto"/>
            <w:bottom w:val="none" w:sz="0" w:space="0" w:color="auto"/>
            <w:right w:val="none" w:sz="0" w:space="0" w:color="auto"/>
          </w:divBdr>
        </w:div>
        <w:div w:id="2064212210">
          <w:marLeft w:val="1080"/>
          <w:marRight w:val="0"/>
          <w:marTop w:val="0"/>
          <w:marBottom w:val="101"/>
          <w:divBdr>
            <w:top w:val="none" w:sz="0" w:space="0" w:color="auto"/>
            <w:left w:val="none" w:sz="0" w:space="0" w:color="auto"/>
            <w:bottom w:val="none" w:sz="0" w:space="0" w:color="auto"/>
            <w:right w:val="none" w:sz="0" w:space="0" w:color="auto"/>
          </w:divBdr>
        </w:div>
        <w:div w:id="1081295296">
          <w:marLeft w:val="1080"/>
          <w:marRight w:val="0"/>
          <w:marTop w:val="0"/>
          <w:marBottom w:val="101"/>
          <w:divBdr>
            <w:top w:val="none" w:sz="0" w:space="0" w:color="auto"/>
            <w:left w:val="none" w:sz="0" w:space="0" w:color="auto"/>
            <w:bottom w:val="none" w:sz="0" w:space="0" w:color="auto"/>
            <w:right w:val="none" w:sz="0" w:space="0" w:color="auto"/>
          </w:divBdr>
        </w:div>
        <w:div w:id="1984116431">
          <w:marLeft w:val="1080"/>
          <w:marRight w:val="0"/>
          <w:marTop w:val="0"/>
          <w:marBottom w:val="101"/>
          <w:divBdr>
            <w:top w:val="none" w:sz="0" w:space="0" w:color="auto"/>
            <w:left w:val="none" w:sz="0" w:space="0" w:color="auto"/>
            <w:bottom w:val="none" w:sz="0" w:space="0" w:color="auto"/>
            <w:right w:val="none" w:sz="0" w:space="0" w:color="auto"/>
          </w:divBdr>
        </w:div>
        <w:div w:id="1186215297">
          <w:marLeft w:val="1080"/>
          <w:marRight w:val="0"/>
          <w:marTop w:val="0"/>
          <w:marBottom w:val="101"/>
          <w:divBdr>
            <w:top w:val="none" w:sz="0" w:space="0" w:color="auto"/>
            <w:left w:val="none" w:sz="0" w:space="0" w:color="auto"/>
            <w:bottom w:val="none" w:sz="0" w:space="0" w:color="auto"/>
            <w:right w:val="none" w:sz="0" w:space="0" w:color="auto"/>
          </w:divBdr>
        </w:div>
        <w:div w:id="667250589">
          <w:marLeft w:val="1080"/>
          <w:marRight w:val="0"/>
          <w:marTop w:val="0"/>
          <w:marBottom w:val="101"/>
          <w:divBdr>
            <w:top w:val="none" w:sz="0" w:space="0" w:color="auto"/>
            <w:left w:val="none" w:sz="0" w:space="0" w:color="auto"/>
            <w:bottom w:val="none" w:sz="0" w:space="0" w:color="auto"/>
            <w:right w:val="none" w:sz="0" w:space="0" w:color="auto"/>
          </w:divBdr>
        </w:div>
        <w:div w:id="330648216">
          <w:marLeft w:val="1080"/>
          <w:marRight w:val="0"/>
          <w:marTop w:val="0"/>
          <w:marBottom w:val="101"/>
          <w:divBdr>
            <w:top w:val="none" w:sz="0" w:space="0" w:color="auto"/>
            <w:left w:val="none" w:sz="0" w:space="0" w:color="auto"/>
            <w:bottom w:val="none" w:sz="0" w:space="0" w:color="auto"/>
            <w:right w:val="none" w:sz="0" w:space="0" w:color="auto"/>
          </w:divBdr>
        </w:div>
        <w:div w:id="952784536">
          <w:marLeft w:val="1080"/>
          <w:marRight w:val="0"/>
          <w:marTop w:val="0"/>
          <w:marBottom w:val="101"/>
          <w:divBdr>
            <w:top w:val="none" w:sz="0" w:space="0" w:color="auto"/>
            <w:left w:val="none" w:sz="0" w:space="0" w:color="auto"/>
            <w:bottom w:val="none" w:sz="0" w:space="0" w:color="auto"/>
            <w:right w:val="none" w:sz="0" w:space="0" w:color="auto"/>
          </w:divBdr>
        </w:div>
        <w:div w:id="593628585">
          <w:marLeft w:val="1080"/>
          <w:marRight w:val="0"/>
          <w:marTop w:val="0"/>
          <w:marBottom w:val="101"/>
          <w:divBdr>
            <w:top w:val="none" w:sz="0" w:space="0" w:color="auto"/>
            <w:left w:val="none" w:sz="0" w:space="0" w:color="auto"/>
            <w:bottom w:val="none" w:sz="0" w:space="0" w:color="auto"/>
            <w:right w:val="none" w:sz="0" w:space="0" w:color="auto"/>
          </w:divBdr>
        </w:div>
        <w:div w:id="230166421">
          <w:marLeft w:val="1080"/>
          <w:marRight w:val="0"/>
          <w:marTop w:val="0"/>
          <w:marBottom w:val="101"/>
          <w:divBdr>
            <w:top w:val="none" w:sz="0" w:space="0" w:color="auto"/>
            <w:left w:val="none" w:sz="0" w:space="0" w:color="auto"/>
            <w:bottom w:val="none" w:sz="0" w:space="0" w:color="auto"/>
            <w:right w:val="none" w:sz="0" w:space="0" w:color="auto"/>
          </w:divBdr>
        </w:div>
        <w:div w:id="1526475825">
          <w:marLeft w:val="1080"/>
          <w:marRight w:val="0"/>
          <w:marTop w:val="0"/>
          <w:marBottom w:val="101"/>
          <w:divBdr>
            <w:top w:val="none" w:sz="0" w:space="0" w:color="auto"/>
            <w:left w:val="none" w:sz="0" w:space="0" w:color="auto"/>
            <w:bottom w:val="none" w:sz="0" w:space="0" w:color="auto"/>
            <w:right w:val="none" w:sz="0" w:space="0" w:color="auto"/>
          </w:divBdr>
        </w:div>
        <w:div w:id="1878857348">
          <w:marLeft w:val="1080"/>
          <w:marRight w:val="0"/>
          <w:marTop w:val="0"/>
          <w:marBottom w:val="101"/>
          <w:divBdr>
            <w:top w:val="none" w:sz="0" w:space="0" w:color="auto"/>
            <w:left w:val="none" w:sz="0" w:space="0" w:color="auto"/>
            <w:bottom w:val="none" w:sz="0" w:space="0" w:color="auto"/>
            <w:right w:val="none" w:sz="0" w:space="0" w:color="auto"/>
          </w:divBdr>
        </w:div>
        <w:div w:id="1407846232">
          <w:marLeft w:val="1080"/>
          <w:marRight w:val="0"/>
          <w:marTop w:val="0"/>
          <w:marBottom w:val="101"/>
          <w:divBdr>
            <w:top w:val="none" w:sz="0" w:space="0" w:color="auto"/>
            <w:left w:val="none" w:sz="0" w:space="0" w:color="auto"/>
            <w:bottom w:val="none" w:sz="0" w:space="0" w:color="auto"/>
            <w:right w:val="none" w:sz="0" w:space="0" w:color="auto"/>
          </w:divBdr>
        </w:div>
        <w:div w:id="1327856151">
          <w:marLeft w:val="1080"/>
          <w:marRight w:val="0"/>
          <w:marTop w:val="0"/>
          <w:marBottom w:val="101"/>
          <w:divBdr>
            <w:top w:val="none" w:sz="0" w:space="0" w:color="auto"/>
            <w:left w:val="none" w:sz="0" w:space="0" w:color="auto"/>
            <w:bottom w:val="none" w:sz="0" w:space="0" w:color="auto"/>
            <w:right w:val="none" w:sz="0" w:space="0" w:color="auto"/>
          </w:divBdr>
        </w:div>
        <w:div w:id="1856728914">
          <w:marLeft w:val="1080"/>
          <w:marRight w:val="0"/>
          <w:marTop w:val="0"/>
          <w:marBottom w:val="101"/>
          <w:divBdr>
            <w:top w:val="none" w:sz="0" w:space="0" w:color="auto"/>
            <w:left w:val="none" w:sz="0" w:space="0" w:color="auto"/>
            <w:bottom w:val="none" w:sz="0" w:space="0" w:color="auto"/>
            <w:right w:val="none" w:sz="0" w:space="0" w:color="auto"/>
          </w:divBdr>
        </w:div>
        <w:div w:id="1325083261">
          <w:marLeft w:val="1080"/>
          <w:marRight w:val="0"/>
          <w:marTop w:val="0"/>
          <w:marBottom w:val="101"/>
          <w:divBdr>
            <w:top w:val="none" w:sz="0" w:space="0" w:color="auto"/>
            <w:left w:val="none" w:sz="0" w:space="0" w:color="auto"/>
            <w:bottom w:val="none" w:sz="0" w:space="0" w:color="auto"/>
            <w:right w:val="none" w:sz="0" w:space="0" w:color="auto"/>
          </w:divBdr>
        </w:div>
        <w:div w:id="278952923">
          <w:marLeft w:val="1080"/>
          <w:marRight w:val="0"/>
          <w:marTop w:val="0"/>
          <w:marBottom w:val="101"/>
          <w:divBdr>
            <w:top w:val="none" w:sz="0" w:space="0" w:color="auto"/>
            <w:left w:val="none" w:sz="0" w:space="0" w:color="auto"/>
            <w:bottom w:val="none" w:sz="0" w:space="0" w:color="auto"/>
            <w:right w:val="none" w:sz="0" w:space="0" w:color="auto"/>
          </w:divBdr>
        </w:div>
        <w:div w:id="665322506">
          <w:marLeft w:val="1080"/>
          <w:marRight w:val="0"/>
          <w:marTop w:val="0"/>
          <w:marBottom w:val="101"/>
          <w:divBdr>
            <w:top w:val="none" w:sz="0" w:space="0" w:color="auto"/>
            <w:left w:val="none" w:sz="0" w:space="0" w:color="auto"/>
            <w:bottom w:val="none" w:sz="0" w:space="0" w:color="auto"/>
            <w:right w:val="none" w:sz="0" w:space="0" w:color="auto"/>
          </w:divBdr>
        </w:div>
        <w:div w:id="250168381">
          <w:marLeft w:val="1080"/>
          <w:marRight w:val="0"/>
          <w:marTop w:val="0"/>
          <w:marBottom w:val="101"/>
          <w:divBdr>
            <w:top w:val="none" w:sz="0" w:space="0" w:color="auto"/>
            <w:left w:val="none" w:sz="0" w:space="0" w:color="auto"/>
            <w:bottom w:val="none" w:sz="0" w:space="0" w:color="auto"/>
            <w:right w:val="none" w:sz="0" w:space="0" w:color="auto"/>
          </w:divBdr>
        </w:div>
        <w:div w:id="2129815374">
          <w:marLeft w:val="1080"/>
          <w:marRight w:val="0"/>
          <w:marTop w:val="0"/>
          <w:marBottom w:val="101"/>
          <w:divBdr>
            <w:top w:val="none" w:sz="0" w:space="0" w:color="auto"/>
            <w:left w:val="none" w:sz="0" w:space="0" w:color="auto"/>
            <w:bottom w:val="none" w:sz="0" w:space="0" w:color="auto"/>
            <w:right w:val="none" w:sz="0" w:space="0" w:color="auto"/>
          </w:divBdr>
        </w:div>
        <w:div w:id="985284608">
          <w:marLeft w:val="1080"/>
          <w:marRight w:val="0"/>
          <w:marTop w:val="0"/>
          <w:marBottom w:val="101"/>
          <w:divBdr>
            <w:top w:val="none" w:sz="0" w:space="0" w:color="auto"/>
            <w:left w:val="none" w:sz="0" w:space="0" w:color="auto"/>
            <w:bottom w:val="none" w:sz="0" w:space="0" w:color="auto"/>
            <w:right w:val="none" w:sz="0" w:space="0" w:color="auto"/>
          </w:divBdr>
        </w:div>
        <w:div w:id="1347706001">
          <w:marLeft w:val="1440"/>
          <w:marRight w:val="0"/>
          <w:marTop w:val="0"/>
          <w:marBottom w:val="101"/>
          <w:divBdr>
            <w:top w:val="none" w:sz="0" w:space="0" w:color="auto"/>
            <w:left w:val="none" w:sz="0" w:space="0" w:color="auto"/>
            <w:bottom w:val="none" w:sz="0" w:space="0" w:color="auto"/>
            <w:right w:val="none" w:sz="0" w:space="0" w:color="auto"/>
          </w:divBdr>
        </w:div>
        <w:div w:id="1106075300">
          <w:marLeft w:val="1440"/>
          <w:marRight w:val="0"/>
          <w:marTop w:val="0"/>
          <w:marBottom w:val="101"/>
          <w:divBdr>
            <w:top w:val="none" w:sz="0" w:space="0" w:color="auto"/>
            <w:left w:val="none" w:sz="0" w:space="0" w:color="auto"/>
            <w:bottom w:val="none" w:sz="0" w:space="0" w:color="auto"/>
            <w:right w:val="none" w:sz="0" w:space="0" w:color="auto"/>
          </w:divBdr>
        </w:div>
        <w:div w:id="1764257667">
          <w:marLeft w:val="1800"/>
          <w:marRight w:val="0"/>
          <w:marTop w:val="0"/>
          <w:marBottom w:val="101"/>
          <w:divBdr>
            <w:top w:val="none" w:sz="0" w:space="0" w:color="auto"/>
            <w:left w:val="none" w:sz="0" w:space="0" w:color="auto"/>
            <w:bottom w:val="none" w:sz="0" w:space="0" w:color="auto"/>
            <w:right w:val="none" w:sz="0" w:space="0" w:color="auto"/>
          </w:divBdr>
        </w:div>
        <w:div w:id="620262506">
          <w:marLeft w:val="1800"/>
          <w:marRight w:val="0"/>
          <w:marTop w:val="0"/>
          <w:marBottom w:val="101"/>
          <w:divBdr>
            <w:top w:val="none" w:sz="0" w:space="0" w:color="auto"/>
            <w:left w:val="none" w:sz="0" w:space="0" w:color="auto"/>
            <w:bottom w:val="none" w:sz="0" w:space="0" w:color="auto"/>
            <w:right w:val="none" w:sz="0" w:space="0" w:color="auto"/>
          </w:divBdr>
        </w:div>
        <w:div w:id="853767682">
          <w:marLeft w:val="1440"/>
          <w:marRight w:val="0"/>
          <w:marTop w:val="0"/>
          <w:marBottom w:val="101"/>
          <w:divBdr>
            <w:top w:val="none" w:sz="0" w:space="0" w:color="auto"/>
            <w:left w:val="none" w:sz="0" w:space="0" w:color="auto"/>
            <w:bottom w:val="none" w:sz="0" w:space="0" w:color="auto"/>
            <w:right w:val="none" w:sz="0" w:space="0" w:color="auto"/>
          </w:divBdr>
        </w:div>
        <w:div w:id="1313174529">
          <w:marLeft w:val="1440"/>
          <w:marRight w:val="0"/>
          <w:marTop w:val="0"/>
          <w:marBottom w:val="101"/>
          <w:divBdr>
            <w:top w:val="none" w:sz="0" w:space="0" w:color="auto"/>
            <w:left w:val="none" w:sz="0" w:space="0" w:color="auto"/>
            <w:bottom w:val="none" w:sz="0" w:space="0" w:color="auto"/>
            <w:right w:val="none" w:sz="0" w:space="0" w:color="auto"/>
          </w:divBdr>
        </w:div>
        <w:div w:id="1669290281">
          <w:marLeft w:val="1440"/>
          <w:marRight w:val="0"/>
          <w:marTop w:val="0"/>
          <w:marBottom w:val="101"/>
          <w:divBdr>
            <w:top w:val="none" w:sz="0" w:space="0" w:color="auto"/>
            <w:left w:val="none" w:sz="0" w:space="0" w:color="auto"/>
            <w:bottom w:val="none" w:sz="0" w:space="0" w:color="auto"/>
            <w:right w:val="none" w:sz="0" w:space="0" w:color="auto"/>
          </w:divBdr>
        </w:div>
        <w:div w:id="588781830">
          <w:marLeft w:val="1080"/>
          <w:marRight w:val="0"/>
          <w:marTop w:val="0"/>
          <w:marBottom w:val="101"/>
          <w:divBdr>
            <w:top w:val="none" w:sz="0" w:space="0" w:color="auto"/>
            <w:left w:val="none" w:sz="0" w:space="0" w:color="auto"/>
            <w:bottom w:val="none" w:sz="0" w:space="0" w:color="auto"/>
            <w:right w:val="none" w:sz="0" w:space="0" w:color="auto"/>
          </w:divBdr>
        </w:div>
        <w:div w:id="116724928">
          <w:marLeft w:val="1080"/>
          <w:marRight w:val="0"/>
          <w:marTop w:val="0"/>
          <w:marBottom w:val="101"/>
          <w:divBdr>
            <w:top w:val="none" w:sz="0" w:space="0" w:color="auto"/>
            <w:left w:val="none" w:sz="0" w:space="0" w:color="auto"/>
            <w:bottom w:val="none" w:sz="0" w:space="0" w:color="auto"/>
            <w:right w:val="none" w:sz="0" w:space="0" w:color="auto"/>
          </w:divBdr>
        </w:div>
        <w:div w:id="423377342">
          <w:marLeft w:val="1080"/>
          <w:marRight w:val="0"/>
          <w:marTop w:val="0"/>
          <w:marBottom w:val="101"/>
          <w:divBdr>
            <w:top w:val="none" w:sz="0" w:space="0" w:color="auto"/>
            <w:left w:val="none" w:sz="0" w:space="0" w:color="auto"/>
            <w:bottom w:val="none" w:sz="0" w:space="0" w:color="auto"/>
            <w:right w:val="none" w:sz="0" w:space="0" w:color="auto"/>
          </w:divBdr>
        </w:div>
        <w:div w:id="1145396406">
          <w:marLeft w:val="1080"/>
          <w:marRight w:val="0"/>
          <w:marTop w:val="0"/>
          <w:marBottom w:val="101"/>
          <w:divBdr>
            <w:top w:val="none" w:sz="0" w:space="0" w:color="auto"/>
            <w:left w:val="none" w:sz="0" w:space="0" w:color="auto"/>
            <w:bottom w:val="none" w:sz="0" w:space="0" w:color="auto"/>
            <w:right w:val="none" w:sz="0" w:space="0" w:color="auto"/>
          </w:divBdr>
        </w:div>
        <w:div w:id="1298414151">
          <w:marLeft w:val="1440"/>
          <w:marRight w:val="0"/>
          <w:marTop w:val="0"/>
          <w:marBottom w:val="101"/>
          <w:divBdr>
            <w:top w:val="none" w:sz="0" w:space="0" w:color="auto"/>
            <w:left w:val="none" w:sz="0" w:space="0" w:color="auto"/>
            <w:bottom w:val="none" w:sz="0" w:space="0" w:color="auto"/>
            <w:right w:val="none" w:sz="0" w:space="0" w:color="auto"/>
          </w:divBdr>
        </w:div>
        <w:div w:id="1337657650">
          <w:marLeft w:val="1440"/>
          <w:marRight w:val="0"/>
          <w:marTop w:val="0"/>
          <w:marBottom w:val="101"/>
          <w:divBdr>
            <w:top w:val="none" w:sz="0" w:space="0" w:color="auto"/>
            <w:left w:val="none" w:sz="0" w:space="0" w:color="auto"/>
            <w:bottom w:val="none" w:sz="0" w:space="0" w:color="auto"/>
            <w:right w:val="none" w:sz="0" w:space="0" w:color="auto"/>
          </w:divBdr>
        </w:div>
        <w:div w:id="1260454956">
          <w:marLeft w:val="1440"/>
          <w:marRight w:val="0"/>
          <w:marTop w:val="0"/>
          <w:marBottom w:val="101"/>
          <w:divBdr>
            <w:top w:val="none" w:sz="0" w:space="0" w:color="auto"/>
            <w:left w:val="none" w:sz="0" w:space="0" w:color="auto"/>
            <w:bottom w:val="none" w:sz="0" w:space="0" w:color="auto"/>
            <w:right w:val="none" w:sz="0" w:space="0" w:color="auto"/>
          </w:divBdr>
        </w:div>
        <w:div w:id="285234078">
          <w:marLeft w:val="1440"/>
          <w:marRight w:val="0"/>
          <w:marTop w:val="0"/>
          <w:marBottom w:val="101"/>
          <w:divBdr>
            <w:top w:val="none" w:sz="0" w:space="0" w:color="auto"/>
            <w:left w:val="none" w:sz="0" w:space="0" w:color="auto"/>
            <w:bottom w:val="none" w:sz="0" w:space="0" w:color="auto"/>
            <w:right w:val="none" w:sz="0" w:space="0" w:color="auto"/>
          </w:divBdr>
        </w:div>
        <w:div w:id="2067335906">
          <w:marLeft w:val="1440"/>
          <w:marRight w:val="0"/>
          <w:marTop w:val="0"/>
          <w:marBottom w:val="101"/>
          <w:divBdr>
            <w:top w:val="none" w:sz="0" w:space="0" w:color="auto"/>
            <w:left w:val="none" w:sz="0" w:space="0" w:color="auto"/>
            <w:bottom w:val="none" w:sz="0" w:space="0" w:color="auto"/>
            <w:right w:val="none" w:sz="0" w:space="0" w:color="auto"/>
          </w:divBdr>
        </w:div>
        <w:div w:id="232160179">
          <w:marLeft w:val="1440"/>
          <w:marRight w:val="0"/>
          <w:marTop w:val="0"/>
          <w:marBottom w:val="101"/>
          <w:divBdr>
            <w:top w:val="none" w:sz="0" w:space="0" w:color="auto"/>
            <w:left w:val="none" w:sz="0" w:space="0" w:color="auto"/>
            <w:bottom w:val="none" w:sz="0" w:space="0" w:color="auto"/>
            <w:right w:val="none" w:sz="0" w:space="0" w:color="auto"/>
          </w:divBdr>
        </w:div>
        <w:div w:id="999651923">
          <w:marLeft w:val="1080"/>
          <w:marRight w:val="0"/>
          <w:marTop w:val="0"/>
          <w:marBottom w:val="101"/>
          <w:divBdr>
            <w:top w:val="none" w:sz="0" w:space="0" w:color="auto"/>
            <w:left w:val="none" w:sz="0" w:space="0" w:color="auto"/>
            <w:bottom w:val="none" w:sz="0" w:space="0" w:color="auto"/>
            <w:right w:val="none" w:sz="0" w:space="0" w:color="auto"/>
          </w:divBdr>
        </w:div>
        <w:div w:id="1595477086">
          <w:marLeft w:val="1080"/>
          <w:marRight w:val="0"/>
          <w:marTop w:val="0"/>
          <w:marBottom w:val="101"/>
          <w:divBdr>
            <w:top w:val="none" w:sz="0" w:space="0" w:color="auto"/>
            <w:left w:val="none" w:sz="0" w:space="0" w:color="auto"/>
            <w:bottom w:val="none" w:sz="0" w:space="0" w:color="auto"/>
            <w:right w:val="none" w:sz="0" w:space="0" w:color="auto"/>
          </w:divBdr>
        </w:div>
        <w:div w:id="2050688737">
          <w:marLeft w:val="1080"/>
          <w:marRight w:val="0"/>
          <w:marTop w:val="0"/>
          <w:marBottom w:val="101"/>
          <w:divBdr>
            <w:top w:val="none" w:sz="0" w:space="0" w:color="auto"/>
            <w:left w:val="none" w:sz="0" w:space="0" w:color="auto"/>
            <w:bottom w:val="none" w:sz="0" w:space="0" w:color="auto"/>
            <w:right w:val="none" w:sz="0" w:space="0" w:color="auto"/>
          </w:divBdr>
        </w:div>
        <w:div w:id="1957324171">
          <w:marLeft w:val="1080"/>
          <w:marRight w:val="0"/>
          <w:marTop w:val="0"/>
          <w:marBottom w:val="101"/>
          <w:divBdr>
            <w:top w:val="none" w:sz="0" w:space="0" w:color="auto"/>
            <w:left w:val="none" w:sz="0" w:space="0" w:color="auto"/>
            <w:bottom w:val="none" w:sz="0" w:space="0" w:color="auto"/>
            <w:right w:val="none" w:sz="0" w:space="0" w:color="auto"/>
          </w:divBdr>
        </w:div>
        <w:div w:id="764615237">
          <w:marLeft w:val="1080"/>
          <w:marRight w:val="0"/>
          <w:marTop w:val="0"/>
          <w:marBottom w:val="101"/>
          <w:divBdr>
            <w:top w:val="none" w:sz="0" w:space="0" w:color="auto"/>
            <w:left w:val="none" w:sz="0" w:space="0" w:color="auto"/>
            <w:bottom w:val="none" w:sz="0" w:space="0" w:color="auto"/>
            <w:right w:val="none" w:sz="0" w:space="0" w:color="auto"/>
          </w:divBdr>
        </w:div>
        <w:div w:id="1700272876">
          <w:marLeft w:val="1080"/>
          <w:marRight w:val="0"/>
          <w:marTop w:val="0"/>
          <w:marBottom w:val="101"/>
          <w:divBdr>
            <w:top w:val="none" w:sz="0" w:space="0" w:color="auto"/>
            <w:left w:val="none" w:sz="0" w:space="0" w:color="auto"/>
            <w:bottom w:val="none" w:sz="0" w:space="0" w:color="auto"/>
            <w:right w:val="none" w:sz="0" w:space="0" w:color="auto"/>
          </w:divBdr>
        </w:div>
        <w:div w:id="1797915525">
          <w:marLeft w:val="1080"/>
          <w:marRight w:val="0"/>
          <w:marTop w:val="0"/>
          <w:marBottom w:val="101"/>
          <w:divBdr>
            <w:top w:val="none" w:sz="0" w:space="0" w:color="auto"/>
            <w:left w:val="none" w:sz="0" w:space="0" w:color="auto"/>
            <w:bottom w:val="none" w:sz="0" w:space="0" w:color="auto"/>
            <w:right w:val="none" w:sz="0" w:space="0" w:color="auto"/>
          </w:divBdr>
        </w:div>
        <w:div w:id="473761520">
          <w:marLeft w:val="1080"/>
          <w:marRight w:val="0"/>
          <w:marTop w:val="0"/>
          <w:marBottom w:val="101"/>
          <w:divBdr>
            <w:top w:val="none" w:sz="0" w:space="0" w:color="auto"/>
            <w:left w:val="none" w:sz="0" w:space="0" w:color="auto"/>
            <w:bottom w:val="none" w:sz="0" w:space="0" w:color="auto"/>
            <w:right w:val="none" w:sz="0" w:space="0" w:color="auto"/>
          </w:divBdr>
        </w:div>
        <w:div w:id="912005183">
          <w:marLeft w:val="1080"/>
          <w:marRight w:val="0"/>
          <w:marTop w:val="0"/>
          <w:marBottom w:val="101"/>
          <w:divBdr>
            <w:top w:val="none" w:sz="0" w:space="0" w:color="auto"/>
            <w:left w:val="none" w:sz="0" w:space="0" w:color="auto"/>
            <w:bottom w:val="none" w:sz="0" w:space="0" w:color="auto"/>
            <w:right w:val="none" w:sz="0" w:space="0" w:color="auto"/>
          </w:divBdr>
        </w:div>
        <w:div w:id="770012775">
          <w:marLeft w:val="1080"/>
          <w:marRight w:val="0"/>
          <w:marTop w:val="0"/>
          <w:marBottom w:val="101"/>
          <w:divBdr>
            <w:top w:val="none" w:sz="0" w:space="0" w:color="auto"/>
            <w:left w:val="none" w:sz="0" w:space="0" w:color="auto"/>
            <w:bottom w:val="none" w:sz="0" w:space="0" w:color="auto"/>
            <w:right w:val="none" w:sz="0" w:space="0" w:color="auto"/>
          </w:divBdr>
        </w:div>
        <w:div w:id="50933125">
          <w:marLeft w:val="1080"/>
          <w:marRight w:val="0"/>
          <w:marTop w:val="0"/>
          <w:marBottom w:val="101"/>
          <w:divBdr>
            <w:top w:val="none" w:sz="0" w:space="0" w:color="auto"/>
            <w:left w:val="none" w:sz="0" w:space="0" w:color="auto"/>
            <w:bottom w:val="none" w:sz="0" w:space="0" w:color="auto"/>
            <w:right w:val="none" w:sz="0" w:space="0" w:color="auto"/>
          </w:divBdr>
        </w:div>
        <w:div w:id="1541093302">
          <w:marLeft w:val="1080"/>
          <w:marRight w:val="0"/>
          <w:marTop w:val="0"/>
          <w:marBottom w:val="101"/>
          <w:divBdr>
            <w:top w:val="none" w:sz="0" w:space="0" w:color="auto"/>
            <w:left w:val="none" w:sz="0" w:space="0" w:color="auto"/>
            <w:bottom w:val="none" w:sz="0" w:space="0" w:color="auto"/>
            <w:right w:val="none" w:sz="0" w:space="0" w:color="auto"/>
          </w:divBdr>
        </w:div>
        <w:div w:id="1293946791">
          <w:marLeft w:val="1440"/>
          <w:marRight w:val="0"/>
          <w:marTop w:val="0"/>
          <w:marBottom w:val="101"/>
          <w:divBdr>
            <w:top w:val="none" w:sz="0" w:space="0" w:color="auto"/>
            <w:left w:val="none" w:sz="0" w:space="0" w:color="auto"/>
            <w:bottom w:val="none" w:sz="0" w:space="0" w:color="auto"/>
            <w:right w:val="none" w:sz="0" w:space="0" w:color="auto"/>
          </w:divBdr>
        </w:div>
        <w:div w:id="33775940">
          <w:marLeft w:val="1440"/>
          <w:marRight w:val="0"/>
          <w:marTop w:val="0"/>
          <w:marBottom w:val="101"/>
          <w:divBdr>
            <w:top w:val="none" w:sz="0" w:space="0" w:color="auto"/>
            <w:left w:val="none" w:sz="0" w:space="0" w:color="auto"/>
            <w:bottom w:val="none" w:sz="0" w:space="0" w:color="auto"/>
            <w:right w:val="none" w:sz="0" w:space="0" w:color="auto"/>
          </w:divBdr>
        </w:div>
        <w:div w:id="323238147">
          <w:marLeft w:val="1080"/>
          <w:marRight w:val="0"/>
          <w:marTop w:val="0"/>
          <w:marBottom w:val="101"/>
          <w:divBdr>
            <w:top w:val="none" w:sz="0" w:space="0" w:color="auto"/>
            <w:left w:val="none" w:sz="0" w:space="0" w:color="auto"/>
            <w:bottom w:val="none" w:sz="0" w:space="0" w:color="auto"/>
            <w:right w:val="none" w:sz="0" w:space="0" w:color="auto"/>
          </w:divBdr>
        </w:div>
        <w:div w:id="816141403">
          <w:marLeft w:val="1440"/>
          <w:marRight w:val="0"/>
          <w:marTop w:val="0"/>
          <w:marBottom w:val="101"/>
          <w:divBdr>
            <w:top w:val="none" w:sz="0" w:space="0" w:color="auto"/>
            <w:left w:val="none" w:sz="0" w:space="0" w:color="auto"/>
            <w:bottom w:val="none" w:sz="0" w:space="0" w:color="auto"/>
            <w:right w:val="none" w:sz="0" w:space="0" w:color="auto"/>
          </w:divBdr>
        </w:div>
        <w:div w:id="1195652379">
          <w:marLeft w:val="1440"/>
          <w:marRight w:val="0"/>
          <w:marTop w:val="0"/>
          <w:marBottom w:val="101"/>
          <w:divBdr>
            <w:top w:val="none" w:sz="0" w:space="0" w:color="auto"/>
            <w:left w:val="none" w:sz="0" w:space="0" w:color="auto"/>
            <w:bottom w:val="none" w:sz="0" w:space="0" w:color="auto"/>
            <w:right w:val="none" w:sz="0" w:space="0" w:color="auto"/>
          </w:divBdr>
        </w:div>
        <w:div w:id="1940946751">
          <w:marLeft w:val="1440"/>
          <w:marRight w:val="0"/>
          <w:marTop w:val="0"/>
          <w:marBottom w:val="101"/>
          <w:divBdr>
            <w:top w:val="none" w:sz="0" w:space="0" w:color="auto"/>
            <w:left w:val="none" w:sz="0" w:space="0" w:color="auto"/>
            <w:bottom w:val="none" w:sz="0" w:space="0" w:color="auto"/>
            <w:right w:val="none" w:sz="0" w:space="0" w:color="auto"/>
          </w:divBdr>
        </w:div>
        <w:div w:id="1217350145">
          <w:marLeft w:val="1440"/>
          <w:marRight w:val="0"/>
          <w:marTop w:val="0"/>
          <w:marBottom w:val="101"/>
          <w:divBdr>
            <w:top w:val="none" w:sz="0" w:space="0" w:color="auto"/>
            <w:left w:val="none" w:sz="0" w:space="0" w:color="auto"/>
            <w:bottom w:val="none" w:sz="0" w:space="0" w:color="auto"/>
            <w:right w:val="none" w:sz="0" w:space="0" w:color="auto"/>
          </w:divBdr>
        </w:div>
        <w:div w:id="874004162">
          <w:marLeft w:val="1800"/>
          <w:marRight w:val="0"/>
          <w:marTop w:val="0"/>
          <w:marBottom w:val="101"/>
          <w:divBdr>
            <w:top w:val="none" w:sz="0" w:space="0" w:color="auto"/>
            <w:left w:val="none" w:sz="0" w:space="0" w:color="auto"/>
            <w:bottom w:val="none" w:sz="0" w:space="0" w:color="auto"/>
            <w:right w:val="none" w:sz="0" w:space="0" w:color="auto"/>
          </w:divBdr>
        </w:div>
        <w:div w:id="693116964">
          <w:marLeft w:val="1800"/>
          <w:marRight w:val="0"/>
          <w:marTop w:val="0"/>
          <w:marBottom w:val="101"/>
          <w:divBdr>
            <w:top w:val="none" w:sz="0" w:space="0" w:color="auto"/>
            <w:left w:val="none" w:sz="0" w:space="0" w:color="auto"/>
            <w:bottom w:val="none" w:sz="0" w:space="0" w:color="auto"/>
            <w:right w:val="none" w:sz="0" w:space="0" w:color="auto"/>
          </w:divBdr>
        </w:div>
        <w:div w:id="628902946">
          <w:marLeft w:val="1800"/>
          <w:marRight w:val="0"/>
          <w:marTop w:val="0"/>
          <w:marBottom w:val="101"/>
          <w:divBdr>
            <w:top w:val="none" w:sz="0" w:space="0" w:color="auto"/>
            <w:left w:val="none" w:sz="0" w:space="0" w:color="auto"/>
            <w:bottom w:val="none" w:sz="0" w:space="0" w:color="auto"/>
            <w:right w:val="none" w:sz="0" w:space="0" w:color="auto"/>
          </w:divBdr>
        </w:div>
        <w:div w:id="1146823865">
          <w:marLeft w:val="1800"/>
          <w:marRight w:val="0"/>
          <w:marTop w:val="0"/>
          <w:marBottom w:val="101"/>
          <w:divBdr>
            <w:top w:val="none" w:sz="0" w:space="0" w:color="auto"/>
            <w:left w:val="none" w:sz="0" w:space="0" w:color="auto"/>
            <w:bottom w:val="none" w:sz="0" w:space="0" w:color="auto"/>
            <w:right w:val="none" w:sz="0" w:space="0" w:color="auto"/>
          </w:divBdr>
        </w:div>
        <w:div w:id="1475946507">
          <w:marLeft w:val="1800"/>
          <w:marRight w:val="0"/>
          <w:marTop w:val="0"/>
          <w:marBottom w:val="101"/>
          <w:divBdr>
            <w:top w:val="none" w:sz="0" w:space="0" w:color="auto"/>
            <w:left w:val="none" w:sz="0" w:space="0" w:color="auto"/>
            <w:bottom w:val="none" w:sz="0" w:space="0" w:color="auto"/>
            <w:right w:val="none" w:sz="0" w:space="0" w:color="auto"/>
          </w:divBdr>
        </w:div>
        <w:div w:id="1002582343">
          <w:marLeft w:val="1440"/>
          <w:marRight w:val="0"/>
          <w:marTop w:val="0"/>
          <w:marBottom w:val="101"/>
          <w:divBdr>
            <w:top w:val="none" w:sz="0" w:space="0" w:color="auto"/>
            <w:left w:val="none" w:sz="0" w:space="0" w:color="auto"/>
            <w:bottom w:val="none" w:sz="0" w:space="0" w:color="auto"/>
            <w:right w:val="none" w:sz="0" w:space="0" w:color="auto"/>
          </w:divBdr>
        </w:div>
        <w:div w:id="289018221">
          <w:marLeft w:val="1440"/>
          <w:marRight w:val="0"/>
          <w:marTop w:val="0"/>
          <w:marBottom w:val="101"/>
          <w:divBdr>
            <w:top w:val="none" w:sz="0" w:space="0" w:color="auto"/>
            <w:left w:val="none" w:sz="0" w:space="0" w:color="auto"/>
            <w:bottom w:val="none" w:sz="0" w:space="0" w:color="auto"/>
            <w:right w:val="none" w:sz="0" w:space="0" w:color="auto"/>
          </w:divBdr>
        </w:div>
        <w:div w:id="158160742">
          <w:marLeft w:val="1440"/>
          <w:marRight w:val="0"/>
          <w:marTop w:val="0"/>
          <w:marBottom w:val="101"/>
          <w:divBdr>
            <w:top w:val="none" w:sz="0" w:space="0" w:color="auto"/>
            <w:left w:val="none" w:sz="0" w:space="0" w:color="auto"/>
            <w:bottom w:val="none" w:sz="0" w:space="0" w:color="auto"/>
            <w:right w:val="none" w:sz="0" w:space="0" w:color="auto"/>
          </w:divBdr>
        </w:div>
        <w:div w:id="1937521564">
          <w:marLeft w:val="1440"/>
          <w:marRight w:val="0"/>
          <w:marTop w:val="0"/>
          <w:marBottom w:val="101"/>
          <w:divBdr>
            <w:top w:val="none" w:sz="0" w:space="0" w:color="auto"/>
            <w:left w:val="none" w:sz="0" w:space="0" w:color="auto"/>
            <w:bottom w:val="none" w:sz="0" w:space="0" w:color="auto"/>
            <w:right w:val="none" w:sz="0" w:space="0" w:color="auto"/>
          </w:divBdr>
        </w:div>
        <w:div w:id="1945914009">
          <w:marLeft w:val="1440"/>
          <w:marRight w:val="0"/>
          <w:marTop w:val="0"/>
          <w:marBottom w:val="101"/>
          <w:divBdr>
            <w:top w:val="none" w:sz="0" w:space="0" w:color="auto"/>
            <w:left w:val="none" w:sz="0" w:space="0" w:color="auto"/>
            <w:bottom w:val="none" w:sz="0" w:space="0" w:color="auto"/>
            <w:right w:val="none" w:sz="0" w:space="0" w:color="auto"/>
          </w:divBdr>
        </w:div>
        <w:div w:id="1861888764">
          <w:marLeft w:val="1440"/>
          <w:marRight w:val="0"/>
          <w:marTop w:val="0"/>
          <w:marBottom w:val="101"/>
          <w:divBdr>
            <w:top w:val="none" w:sz="0" w:space="0" w:color="auto"/>
            <w:left w:val="none" w:sz="0" w:space="0" w:color="auto"/>
            <w:bottom w:val="none" w:sz="0" w:space="0" w:color="auto"/>
            <w:right w:val="none" w:sz="0" w:space="0" w:color="auto"/>
          </w:divBdr>
        </w:div>
        <w:div w:id="370766970">
          <w:marLeft w:val="1080"/>
          <w:marRight w:val="0"/>
          <w:marTop w:val="0"/>
          <w:marBottom w:val="101"/>
          <w:divBdr>
            <w:top w:val="none" w:sz="0" w:space="0" w:color="auto"/>
            <w:left w:val="none" w:sz="0" w:space="0" w:color="auto"/>
            <w:bottom w:val="none" w:sz="0" w:space="0" w:color="auto"/>
            <w:right w:val="none" w:sz="0" w:space="0" w:color="auto"/>
          </w:divBdr>
        </w:div>
        <w:div w:id="325130675">
          <w:marLeft w:val="1440"/>
          <w:marRight w:val="0"/>
          <w:marTop w:val="0"/>
          <w:marBottom w:val="101"/>
          <w:divBdr>
            <w:top w:val="none" w:sz="0" w:space="0" w:color="auto"/>
            <w:left w:val="none" w:sz="0" w:space="0" w:color="auto"/>
            <w:bottom w:val="none" w:sz="0" w:space="0" w:color="auto"/>
            <w:right w:val="none" w:sz="0" w:space="0" w:color="auto"/>
          </w:divBdr>
        </w:div>
        <w:div w:id="1880699203">
          <w:marLeft w:val="1440"/>
          <w:marRight w:val="0"/>
          <w:marTop w:val="0"/>
          <w:marBottom w:val="101"/>
          <w:divBdr>
            <w:top w:val="none" w:sz="0" w:space="0" w:color="auto"/>
            <w:left w:val="none" w:sz="0" w:space="0" w:color="auto"/>
            <w:bottom w:val="none" w:sz="0" w:space="0" w:color="auto"/>
            <w:right w:val="none" w:sz="0" w:space="0" w:color="auto"/>
          </w:divBdr>
        </w:div>
        <w:div w:id="1815291301">
          <w:marLeft w:val="1440"/>
          <w:marRight w:val="0"/>
          <w:marTop w:val="0"/>
          <w:marBottom w:val="101"/>
          <w:divBdr>
            <w:top w:val="none" w:sz="0" w:space="0" w:color="auto"/>
            <w:left w:val="none" w:sz="0" w:space="0" w:color="auto"/>
            <w:bottom w:val="none" w:sz="0" w:space="0" w:color="auto"/>
            <w:right w:val="none" w:sz="0" w:space="0" w:color="auto"/>
          </w:divBdr>
        </w:div>
        <w:div w:id="802848578">
          <w:marLeft w:val="1440"/>
          <w:marRight w:val="0"/>
          <w:marTop w:val="0"/>
          <w:marBottom w:val="101"/>
          <w:divBdr>
            <w:top w:val="none" w:sz="0" w:space="0" w:color="auto"/>
            <w:left w:val="none" w:sz="0" w:space="0" w:color="auto"/>
            <w:bottom w:val="none" w:sz="0" w:space="0" w:color="auto"/>
            <w:right w:val="none" w:sz="0" w:space="0" w:color="auto"/>
          </w:divBdr>
        </w:div>
        <w:div w:id="792359340">
          <w:marLeft w:val="1440"/>
          <w:marRight w:val="0"/>
          <w:marTop w:val="0"/>
          <w:marBottom w:val="101"/>
          <w:divBdr>
            <w:top w:val="none" w:sz="0" w:space="0" w:color="auto"/>
            <w:left w:val="none" w:sz="0" w:space="0" w:color="auto"/>
            <w:bottom w:val="none" w:sz="0" w:space="0" w:color="auto"/>
            <w:right w:val="none" w:sz="0" w:space="0" w:color="auto"/>
          </w:divBdr>
        </w:div>
        <w:div w:id="1783845444">
          <w:marLeft w:val="1440"/>
          <w:marRight w:val="0"/>
          <w:marTop w:val="0"/>
          <w:marBottom w:val="101"/>
          <w:divBdr>
            <w:top w:val="none" w:sz="0" w:space="0" w:color="auto"/>
            <w:left w:val="none" w:sz="0" w:space="0" w:color="auto"/>
            <w:bottom w:val="none" w:sz="0" w:space="0" w:color="auto"/>
            <w:right w:val="none" w:sz="0" w:space="0" w:color="auto"/>
          </w:divBdr>
        </w:div>
        <w:div w:id="689064804">
          <w:marLeft w:val="1440"/>
          <w:marRight w:val="0"/>
          <w:marTop w:val="0"/>
          <w:marBottom w:val="101"/>
          <w:divBdr>
            <w:top w:val="none" w:sz="0" w:space="0" w:color="auto"/>
            <w:left w:val="none" w:sz="0" w:space="0" w:color="auto"/>
            <w:bottom w:val="none" w:sz="0" w:space="0" w:color="auto"/>
            <w:right w:val="none" w:sz="0" w:space="0" w:color="auto"/>
          </w:divBdr>
        </w:div>
        <w:div w:id="1819302471">
          <w:marLeft w:val="1080"/>
          <w:marRight w:val="0"/>
          <w:marTop w:val="0"/>
          <w:marBottom w:val="101"/>
          <w:divBdr>
            <w:top w:val="none" w:sz="0" w:space="0" w:color="auto"/>
            <w:left w:val="none" w:sz="0" w:space="0" w:color="auto"/>
            <w:bottom w:val="none" w:sz="0" w:space="0" w:color="auto"/>
            <w:right w:val="none" w:sz="0" w:space="0" w:color="auto"/>
          </w:divBdr>
        </w:div>
        <w:div w:id="1995182888">
          <w:marLeft w:val="1440"/>
          <w:marRight w:val="0"/>
          <w:marTop w:val="0"/>
          <w:marBottom w:val="101"/>
          <w:divBdr>
            <w:top w:val="none" w:sz="0" w:space="0" w:color="auto"/>
            <w:left w:val="none" w:sz="0" w:space="0" w:color="auto"/>
            <w:bottom w:val="none" w:sz="0" w:space="0" w:color="auto"/>
            <w:right w:val="none" w:sz="0" w:space="0" w:color="auto"/>
          </w:divBdr>
        </w:div>
        <w:div w:id="1994992944">
          <w:marLeft w:val="1440"/>
          <w:marRight w:val="0"/>
          <w:marTop w:val="0"/>
          <w:marBottom w:val="101"/>
          <w:divBdr>
            <w:top w:val="none" w:sz="0" w:space="0" w:color="auto"/>
            <w:left w:val="none" w:sz="0" w:space="0" w:color="auto"/>
            <w:bottom w:val="none" w:sz="0" w:space="0" w:color="auto"/>
            <w:right w:val="none" w:sz="0" w:space="0" w:color="auto"/>
          </w:divBdr>
        </w:div>
        <w:div w:id="545796843">
          <w:marLeft w:val="1440"/>
          <w:marRight w:val="0"/>
          <w:marTop w:val="0"/>
          <w:marBottom w:val="101"/>
          <w:divBdr>
            <w:top w:val="none" w:sz="0" w:space="0" w:color="auto"/>
            <w:left w:val="none" w:sz="0" w:space="0" w:color="auto"/>
            <w:bottom w:val="none" w:sz="0" w:space="0" w:color="auto"/>
            <w:right w:val="none" w:sz="0" w:space="0" w:color="auto"/>
          </w:divBdr>
        </w:div>
        <w:div w:id="191189867">
          <w:marLeft w:val="1440"/>
          <w:marRight w:val="0"/>
          <w:marTop w:val="0"/>
          <w:marBottom w:val="101"/>
          <w:divBdr>
            <w:top w:val="none" w:sz="0" w:space="0" w:color="auto"/>
            <w:left w:val="none" w:sz="0" w:space="0" w:color="auto"/>
            <w:bottom w:val="none" w:sz="0" w:space="0" w:color="auto"/>
            <w:right w:val="none" w:sz="0" w:space="0" w:color="auto"/>
          </w:divBdr>
        </w:div>
        <w:div w:id="1323001201">
          <w:marLeft w:val="1080"/>
          <w:marRight w:val="0"/>
          <w:marTop w:val="0"/>
          <w:marBottom w:val="101"/>
          <w:divBdr>
            <w:top w:val="none" w:sz="0" w:space="0" w:color="auto"/>
            <w:left w:val="none" w:sz="0" w:space="0" w:color="auto"/>
            <w:bottom w:val="none" w:sz="0" w:space="0" w:color="auto"/>
            <w:right w:val="none" w:sz="0" w:space="0" w:color="auto"/>
          </w:divBdr>
        </w:div>
        <w:div w:id="971248024">
          <w:marLeft w:val="1080"/>
          <w:marRight w:val="0"/>
          <w:marTop w:val="0"/>
          <w:marBottom w:val="101"/>
          <w:divBdr>
            <w:top w:val="none" w:sz="0" w:space="0" w:color="auto"/>
            <w:left w:val="none" w:sz="0" w:space="0" w:color="auto"/>
            <w:bottom w:val="none" w:sz="0" w:space="0" w:color="auto"/>
            <w:right w:val="none" w:sz="0" w:space="0" w:color="auto"/>
          </w:divBdr>
        </w:div>
        <w:div w:id="2017148599">
          <w:marLeft w:val="1080"/>
          <w:marRight w:val="0"/>
          <w:marTop w:val="0"/>
          <w:marBottom w:val="101"/>
          <w:divBdr>
            <w:top w:val="none" w:sz="0" w:space="0" w:color="auto"/>
            <w:left w:val="none" w:sz="0" w:space="0" w:color="auto"/>
            <w:bottom w:val="none" w:sz="0" w:space="0" w:color="auto"/>
            <w:right w:val="none" w:sz="0" w:space="0" w:color="auto"/>
          </w:divBdr>
        </w:div>
        <w:div w:id="23219731">
          <w:marLeft w:val="1440"/>
          <w:marRight w:val="0"/>
          <w:marTop w:val="0"/>
          <w:marBottom w:val="101"/>
          <w:divBdr>
            <w:top w:val="none" w:sz="0" w:space="0" w:color="auto"/>
            <w:left w:val="none" w:sz="0" w:space="0" w:color="auto"/>
            <w:bottom w:val="none" w:sz="0" w:space="0" w:color="auto"/>
            <w:right w:val="none" w:sz="0" w:space="0" w:color="auto"/>
          </w:divBdr>
        </w:div>
        <w:div w:id="1066758508">
          <w:marLeft w:val="1440"/>
          <w:marRight w:val="0"/>
          <w:marTop w:val="0"/>
          <w:marBottom w:val="101"/>
          <w:divBdr>
            <w:top w:val="none" w:sz="0" w:space="0" w:color="auto"/>
            <w:left w:val="none" w:sz="0" w:space="0" w:color="auto"/>
            <w:bottom w:val="none" w:sz="0" w:space="0" w:color="auto"/>
            <w:right w:val="none" w:sz="0" w:space="0" w:color="auto"/>
          </w:divBdr>
        </w:div>
        <w:div w:id="1798719875">
          <w:marLeft w:val="1440"/>
          <w:marRight w:val="0"/>
          <w:marTop w:val="0"/>
          <w:marBottom w:val="101"/>
          <w:divBdr>
            <w:top w:val="none" w:sz="0" w:space="0" w:color="auto"/>
            <w:left w:val="none" w:sz="0" w:space="0" w:color="auto"/>
            <w:bottom w:val="none" w:sz="0" w:space="0" w:color="auto"/>
            <w:right w:val="none" w:sz="0" w:space="0" w:color="auto"/>
          </w:divBdr>
        </w:div>
        <w:div w:id="890968978">
          <w:marLeft w:val="1440"/>
          <w:marRight w:val="0"/>
          <w:marTop w:val="0"/>
          <w:marBottom w:val="101"/>
          <w:divBdr>
            <w:top w:val="none" w:sz="0" w:space="0" w:color="auto"/>
            <w:left w:val="none" w:sz="0" w:space="0" w:color="auto"/>
            <w:bottom w:val="none" w:sz="0" w:space="0" w:color="auto"/>
            <w:right w:val="none" w:sz="0" w:space="0" w:color="auto"/>
          </w:divBdr>
        </w:div>
        <w:div w:id="941452490">
          <w:marLeft w:val="1080"/>
          <w:marRight w:val="0"/>
          <w:marTop w:val="0"/>
          <w:marBottom w:val="101"/>
          <w:divBdr>
            <w:top w:val="none" w:sz="0" w:space="0" w:color="auto"/>
            <w:left w:val="none" w:sz="0" w:space="0" w:color="auto"/>
            <w:bottom w:val="none" w:sz="0" w:space="0" w:color="auto"/>
            <w:right w:val="none" w:sz="0" w:space="0" w:color="auto"/>
          </w:divBdr>
        </w:div>
        <w:div w:id="640622054">
          <w:marLeft w:val="1080"/>
          <w:marRight w:val="0"/>
          <w:marTop w:val="0"/>
          <w:marBottom w:val="101"/>
          <w:divBdr>
            <w:top w:val="none" w:sz="0" w:space="0" w:color="auto"/>
            <w:left w:val="none" w:sz="0" w:space="0" w:color="auto"/>
            <w:bottom w:val="none" w:sz="0" w:space="0" w:color="auto"/>
            <w:right w:val="none" w:sz="0" w:space="0" w:color="auto"/>
          </w:divBdr>
        </w:div>
        <w:div w:id="237523719">
          <w:marLeft w:val="1080"/>
          <w:marRight w:val="0"/>
          <w:marTop w:val="0"/>
          <w:marBottom w:val="101"/>
          <w:divBdr>
            <w:top w:val="none" w:sz="0" w:space="0" w:color="auto"/>
            <w:left w:val="none" w:sz="0" w:space="0" w:color="auto"/>
            <w:bottom w:val="none" w:sz="0" w:space="0" w:color="auto"/>
            <w:right w:val="none" w:sz="0" w:space="0" w:color="auto"/>
          </w:divBdr>
        </w:div>
        <w:div w:id="1154486900">
          <w:marLeft w:val="1080"/>
          <w:marRight w:val="0"/>
          <w:marTop w:val="0"/>
          <w:marBottom w:val="101"/>
          <w:divBdr>
            <w:top w:val="none" w:sz="0" w:space="0" w:color="auto"/>
            <w:left w:val="none" w:sz="0" w:space="0" w:color="auto"/>
            <w:bottom w:val="none" w:sz="0" w:space="0" w:color="auto"/>
            <w:right w:val="none" w:sz="0" w:space="0" w:color="auto"/>
          </w:divBdr>
        </w:div>
        <w:div w:id="1822498852">
          <w:marLeft w:val="1080"/>
          <w:marRight w:val="0"/>
          <w:marTop w:val="0"/>
          <w:marBottom w:val="101"/>
          <w:divBdr>
            <w:top w:val="none" w:sz="0" w:space="0" w:color="auto"/>
            <w:left w:val="none" w:sz="0" w:space="0" w:color="auto"/>
            <w:bottom w:val="none" w:sz="0" w:space="0" w:color="auto"/>
            <w:right w:val="none" w:sz="0" w:space="0" w:color="auto"/>
          </w:divBdr>
        </w:div>
        <w:div w:id="654382341">
          <w:marLeft w:val="1080"/>
          <w:marRight w:val="0"/>
          <w:marTop w:val="0"/>
          <w:marBottom w:val="101"/>
          <w:divBdr>
            <w:top w:val="none" w:sz="0" w:space="0" w:color="auto"/>
            <w:left w:val="none" w:sz="0" w:space="0" w:color="auto"/>
            <w:bottom w:val="none" w:sz="0" w:space="0" w:color="auto"/>
            <w:right w:val="none" w:sz="0" w:space="0" w:color="auto"/>
          </w:divBdr>
        </w:div>
        <w:div w:id="1617517984">
          <w:marLeft w:val="1080"/>
          <w:marRight w:val="0"/>
          <w:marTop w:val="0"/>
          <w:marBottom w:val="101"/>
          <w:divBdr>
            <w:top w:val="none" w:sz="0" w:space="0" w:color="auto"/>
            <w:left w:val="none" w:sz="0" w:space="0" w:color="auto"/>
            <w:bottom w:val="none" w:sz="0" w:space="0" w:color="auto"/>
            <w:right w:val="none" w:sz="0" w:space="0" w:color="auto"/>
          </w:divBdr>
        </w:div>
        <w:div w:id="1518809282">
          <w:marLeft w:val="1080"/>
          <w:marRight w:val="0"/>
          <w:marTop w:val="0"/>
          <w:marBottom w:val="101"/>
          <w:divBdr>
            <w:top w:val="none" w:sz="0" w:space="0" w:color="auto"/>
            <w:left w:val="none" w:sz="0" w:space="0" w:color="auto"/>
            <w:bottom w:val="none" w:sz="0" w:space="0" w:color="auto"/>
            <w:right w:val="none" w:sz="0" w:space="0" w:color="auto"/>
          </w:divBdr>
        </w:div>
        <w:div w:id="246312020">
          <w:marLeft w:val="1440"/>
          <w:marRight w:val="0"/>
          <w:marTop w:val="0"/>
          <w:marBottom w:val="101"/>
          <w:divBdr>
            <w:top w:val="none" w:sz="0" w:space="0" w:color="auto"/>
            <w:left w:val="none" w:sz="0" w:space="0" w:color="auto"/>
            <w:bottom w:val="none" w:sz="0" w:space="0" w:color="auto"/>
            <w:right w:val="none" w:sz="0" w:space="0" w:color="auto"/>
          </w:divBdr>
        </w:div>
        <w:div w:id="217402475">
          <w:marLeft w:val="1440"/>
          <w:marRight w:val="0"/>
          <w:marTop w:val="0"/>
          <w:marBottom w:val="101"/>
          <w:divBdr>
            <w:top w:val="none" w:sz="0" w:space="0" w:color="auto"/>
            <w:left w:val="none" w:sz="0" w:space="0" w:color="auto"/>
            <w:bottom w:val="none" w:sz="0" w:space="0" w:color="auto"/>
            <w:right w:val="none" w:sz="0" w:space="0" w:color="auto"/>
          </w:divBdr>
        </w:div>
        <w:div w:id="1328947128">
          <w:marLeft w:val="1440"/>
          <w:marRight w:val="0"/>
          <w:marTop w:val="0"/>
          <w:marBottom w:val="101"/>
          <w:divBdr>
            <w:top w:val="none" w:sz="0" w:space="0" w:color="auto"/>
            <w:left w:val="none" w:sz="0" w:space="0" w:color="auto"/>
            <w:bottom w:val="none" w:sz="0" w:space="0" w:color="auto"/>
            <w:right w:val="none" w:sz="0" w:space="0" w:color="auto"/>
          </w:divBdr>
        </w:div>
        <w:div w:id="1784883278">
          <w:marLeft w:val="1440"/>
          <w:marRight w:val="0"/>
          <w:marTop w:val="0"/>
          <w:marBottom w:val="101"/>
          <w:divBdr>
            <w:top w:val="none" w:sz="0" w:space="0" w:color="auto"/>
            <w:left w:val="none" w:sz="0" w:space="0" w:color="auto"/>
            <w:bottom w:val="none" w:sz="0" w:space="0" w:color="auto"/>
            <w:right w:val="none" w:sz="0" w:space="0" w:color="auto"/>
          </w:divBdr>
        </w:div>
        <w:div w:id="1301497217">
          <w:marLeft w:val="1080"/>
          <w:marRight w:val="0"/>
          <w:marTop w:val="0"/>
          <w:marBottom w:val="101"/>
          <w:divBdr>
            <w:top w:val="none" w:sz="0" w:space="0" w:color="auto"/>
            <w:left w:val="none" w:sz="0" w:space="0" w:color="auto"/>
            <w:bottom w:val="none" w:sz="0" w:space="0" w:color="auto"/>
            <w:right w:val="none" w:sz="0" w:space="0" w:color="auto"/>
          </w:divBdr>
        </w:div>
        <w:div w:id="2083600343">
          <w:marLeft w:val="1080"/>
          <w:marRight w:val="0"/>
          <w:marTop w:val="0"/>
          <w:marBottom w:val="101"/>
          <w:divBdr>
            <w:top w:val="none" w:sz="0" w:space="0" w:color="auto"/>
            <w:left w:val="none" w:sz="0" w:space="0" w:color="auto"/>
            <w:bottom w:val="none" w:sz="0" w:space="0" w:color="auto"/>
            <w:right w:val="none" w:sz="0" w:space="0" w:color="auto"/>
          </w:divBdr>
        </w:div>
        <w:div w:id="1570071366">
          <w:marLeft w:val="1080"/>
          <w:marRight w:val="0"/>
          <w:marTop w:val="0"/>
          <w:marBottom w:val="101"/>
          <w:divBdr>
            <w:top w:val="none" w:sz="0" w:space="0" w:color="auto"/>
            <w:left w:val="none" w:sz="0" w:space="0" w:color="auto"/>
            <w:bottom w:val="none" w:sz="0" w:space="0" w:color="auto"/>
            <w:right w:val="none" w:sz="0" w:space="0" w:color="auto"/>
          </w:divBdr>
        </w:div>
        <w:div w:id="239483996">
          <w:marLeft w:val="1080"/>
          <w:marRight w:val="0"/>
          <w:marTop w:val="0"/>
          <w:marBottom w:val="101"/>
          <w:divBdr>
            <w:top w:val="none" w:sz="0" w:space="0" w:color="auto"/>
            <w:left w:val="none" w:sz="0" w:space="0" w:color="auto"/>
            <w:bottom w:val="none" w:sz="0" w:space="0" w:color="auto"/>
            <w:right w:val="none" w:sz="0" w:space="0" w:color="auto"/>
          </w:divBdr>
        </w:div>
        <w:div w:id="1019743900">
          <w:marLeft w:val="1080"/>
          <w:marRight w:val="0"/>
          <w:marTop w:val="0"/>
          <w:marBottom w:val="101"/>
          <w:divBdr>
            <w:top w:val="none" w:sz="0" w:space="0" w:color="auto"/>
            <w:left w:val="none" w:sz="0" w:space="0" w:color="auto"/>
            <w:bottom w:val="none" w:sz="0" w:space="0" w:color="auto"/>
            <w:right w:val="none" w:sz="0" w:space="0" w:color="auto"/>
          </w:divBdr>
        </w:div>
        <w:div w:id="66613869">
          <w:marLeft w:val="1080"/>
          <w:marRight w:val="0"/>
          <w:marTop w:val="0"/>
          <w:marBottom w:val="101"/>
          <w:divBdr>
            <w:top w:val="none" w:sz="0" w:space="0" w:color="auto"/>
            <w:left w:val="none" w:sz="0" w:space="0" w:color="auto"/>
            <w:bottom w:val="none" w:sz="0" w:space="0" w:color="auto"/>
            <w:right w:val="none" w:sz="0" w:space="0" w:color="auto"/>
          </w:divBdr>
        </w:div>
        <w:div w:id="1739548883">
          <w:marLeft w:val="1080"/>
          <w:marRight w:val="0"/>
          <w:marTop w:val="0"/>
          <w:marBottom w:val="101"/>
          <w:divBdr>
            <w:top w:val="none" w:sz="0" w:space="0" w:color="auto"/>
            <w:left w:val="none" w:sz="0" w:space="0" w:color="auto"/>
            <w:bottom w:val="none" w:sz="0" w:space="0" w:color="auto"/>
            <w:right w:val="none" w:sz="0" w:space="0" w:color="auto"/>
          </w:divBdr>
        </w:div>
        <w:div w:id="262303323">
          <w:marLeft w:val="1080"/>
          <w:marRight w:val="0"/>
          <w:marTop w:val="0"/>
          <w:marBottom w:val="101"/>
          <w:divBdr>
            <w:top w:val="none" w:sz="0" w:space="0" w:color="auto"/>
            <w:left w:val="none" w:sz="0" w:space="0" w:color="auto"/>
            <w:bottom w:val="none" w:sz="0" w:space="0" w:color="auto"/>
            <w:right w:val="none" w:sz="0" w:space="0" w:color="auto"/>
          </w:divBdr>
        </w:div>
        <w:div w:id="837842743">
          <w:marLeft w:val="1080"/>
          <w:marRight w:val="0"/>
          <w:marTop w:val="0"/>
          <w:marBottom w:val="101"/>
          <w:divBdr>
            <w:top w:val="none" w:sz="0" w:space="0" w:color="auto"/>
            <w:left w:val="none" w:sz="0" w:space="0" w:color="auto"/>
            <w:bottom w:val="none" w:sz="0" w:space="0" w:color="auto"/>
            <w:right w:val="none" w:sz="0" w:space="0" w:color="auto"/>
          </w:divBdr>
        </w:div>
        <w:div w:id="537550264">
          <w:marLeft w:val="1080"/>
          <w:marRight w:val="0"/>
          <w:marTop w:val="0"/>
          <w:marBottom w:val="101"/>
          <w:divBdr>
            <w:top w:val="none" w:sz="0" w:space="0" w:color="auto"/>
            <w:left w:val="none" w:sz="0" w:space="0" w:color="auto"/>
            <w:bottom w:val="none" w:sz="0" w:space="0" w:color="auto"/>
            <w:right w:val="none" w:sz="0" w:space="0" w:color="auto"/>
          </w:divBdr>
        </w:div>
        <w:div w:id="1964118386">
          <w:marLeft w:val="1080"/>
          <w:marRight w:val="0"/>
          <w:marTop w:val="0"/>
          <w:marBottom w:val="101"/>
          <w:divBdr>
            <w:top w:val="none" w:sz="0" w:space="0" w:color="auto"/>
            <w:left w:val="none" w:sz="0" w:space="0" w:color="auto"/>
            <w:bottom w:val="none" w:sz="0" w:space="0" w:color="auto"/>
            <w:right w:val="none" w:sz="0" w:space="0" w:color="auto"/>
          </w:divBdr>
        </w:div>
        <w:div w:id="1419904649">
          <w:marLeft w:val="1080"/>
          <w:marRight w:val="0"/>
          <w:marTop w:val="0"/>
          <w:marBottom w:val="101"/>
          <w:divBdr>
            <w:top w:val="none" w:sz="0" w:space="0" w:color="auto"/>
            <w:left w:val="none" w:sz="0" w:space="0" w:color="auto"/>
            <w:bottom w:val="none" w:sz="0" w:space="0" w:color="auto"/>
            <w:right w:val="none" w:sz="0" w:space="0" w:color="auto"/>
          </w:divBdr>
        </w:div>
        <w:div w:id="950553258">
          <w:marLeft w:val="1080"/>
          <w:marRight w:val="0"/>
          <w:marTop w:val="0"/>
          <w:marBottom w:val="101"/>
          <w:divBdr>
            <w:top w:val="none" w:sz="0" w:space="0" w:color="auto"/>
            <w:left w:val="none" w:sz="0" w:space="0" w:color="auto"/>
            <w:bottom w:val="none" w:sz="0" w:space="0" w:color="auto"/>
            <w:right w:val="none" w:sz="0" w:space="0" w:color="auto"/>
          </w:divBdr>
        </w:div>
        <w:div w:id="2124569135">
          <w:marLeft w:val="1080"/>
          <w:marRight w:val="0"/>
          <w:marTop w:val="0"/>
          <w:marBottom w:val="101"/>
          <w:divBdr>
            <w:top w:val="none" w:sz="0" w:space="0" w:color="auto"/>
            <w:left w:val="none" w:sz="0" w:space="0" w:color="auto"/>
            <w:bottom w:val="none" w:sz="0" w:space="0" w:color="auto"/>
            <w:right w:val="none" w:sz="0" w:space="0" w:color="auto"/>
          </w:divBdr>
        </w:div>
        <w:div w:id="1756441534">
          <w:marLeft w:val="1080"/>
          <w:marRight w:val="0"/>
          <w:marTop w:val="0"/>
          <w:marBottom w:val="101"/>
          <w:divBdr>
            <w:top w:val="none" w:sz="0" w:space="0" w:color="auto"/>
            <w:left w:val="none" w:sz="0" w:space="0" w:color="auto"/>
            <w:bottom w:val="none" w:sz="0" w:space="0" w:color="auto"/>
            <w:right w:val="none" w:sz="0" w:space="0" w:color="auto"/>
          </w:divBdr>
        </w:div>
        <w:div w:id="650791969">
          <w:marLeft w:val="1080"/>
          <w:marRight w:val="0"/>
          <w:marTop w:val="0"/>
          <w:marBottom w:val="101"/>
          <w:divBdr>
            <w:top w:val="none" w:sz="0" w:space="0" w:color="auto"/>
            <w:left w:val="none" w:sz="0" w:space="0" w:color="auto"/>
            <w:bottom w:val="none" w:sz="0" w:space="0" w:color="auto"/>
            <w:right w:val="none" w:sz="0" w:space="0" w:color="auto"/>
          </w:divBdr>
        </w:div>
        <w:div w:id="870067344">
          <w:marLeft w:val="1080"/>
          <w:marRight w:val="0"/>
          <w:marTop w:val="0"/>
          <w:marBottom w:val="101"/>
          <w:divBdr>
            <w:top w:val="none" w:sz="0" w:space="0" w:color="auto"/>
            <w:left w:val="none" w:sz="0" w:space="0" w:color="auto"/>
            <w:bottom w:val="none" w:sz="0" w:space="0" w:color="auto"/>
            <w:right w:val="none" w:sz="0" w:space="0" w:color="auto"/>
          </w:divBdr>
        </w:div>
        <w:div w:id="900872472">
          <w:marLeft w:val="1080"/>
          <w:marRight w:val="0"/>
          <w:marTop w:val="0"/>
          <w:marBottom w:val="101"/>
          <w:divBdr>
            <w:top w:val="none" w:sz="0" w:space="0" w:color="auto"/>
            <w:left w:val="none" w:sz="0" w:space="0" w:color="auto"/>
            <w:bottom w:val="none" w:sz="0" w:space="0" w:color="auto"/>
            <w:right w:val="none" w:sz="0" w:space="0" w:color="auto"/>
          </w:divBdr>
        </w:div>
        <w:div w:id="2033529607">
          <w:marLeft w:val="1080"/>
          <w:marRight w:val="0"/>
          <w:marTop w:val="0"/>
          <w:marBottom w:val="101"/>
          <w:divBdr>
            <w:top w:val="none" w:sz="0" w:space="0" w:color="auto"/>
            <w:left w:val="none" w:sz="0" w:space="0" w:color="auto"/>
            <w:bottom w:val="none" w:sz="0" w:space="0" w:color="auto"/>
            <w:right w:val="none" w:sz="0" w:space="0" w:color="auto"/>
          </w:divBdr>
        </w:div>
        <w:div w:id="1031035636">
          <w:marLeft w:val="1080"/>
          <w:marRight w:val="0"/>
          <w:marTop w:val="0"/>
          <w:marBottom w:val="101"/>
          <w:divBdr>
            <w:top w:val="none" w:sz="0" w:space="0" w:color="auto"/>
            <w:left w:val="none" w:sz="0" w:space="0" w:color="auto"/>
            <w:bottom w:val="none" w:sz="0" w:space="0" w:color="auto"/>
            <w:right w:val="none" w:sz="0" w:space="0" w:color="auto"/>
          </w:divBdr>
        </w:div>
        <w:div w:id="1605847291">
          <w:marLeft w:val="1080"/>
          <w:marRight w:val="0"/>
          <w:marTop w:val="0"/>
          <w:marBottom w:val="101"/>
          <w:divBdr>
            <w:top w:val="none" w:sz="0" w:space="0" w:color="auto"/>
            <w:left w:val="none" w:sz="0" w:space="0" w:color="auto"/>
            <w:bottom w:val="none" w:sz="0" w:space="0" w:color="auto"/>
            <w:right w:val="none" w:sz="0" w:space="0" w:color="auto"/>
          </w:divBdr>
        </w:div>
        <w:div w:id="1606571964">
          <w:marLeft w:val="1080"/>
          <w:marRight w:val="0"/>
          <w:marTop w:val="0"/>
          <w:marBottom w:val="101"/>
          <w:divBdr>
            <w:top w:val="none" w:sz="0" w:space="0" w:color="auto"/>
            <w:left w:val="none" w:sz="0" w:space="0" w:color="auto"/>
            <w:bottom w:val="none" w:sz="0" w:space="0" w:color="auto"/>
            <w:right w:val="none" w:sz="0" w:space="0" w:color="auto"/>
          </w:divBdr>
        </w:div>
        <w:div w:id="1920408423">
          <w:marLeft w:val="0"/>
          <w:marRight w:val="0"/>
          <w:marTop w:val="0"/>
          <w:marBottom w:val="101"/>
          <w:divBdr>
            <w:top w:val="none" w:sz="0" w:space="0" w:color="auto"/>
            <w:left w:val="none" w:sz="0" w:space="0" w:color="auto"/>
            <w:bottom w:val="none" w:sz="0" w:space="0" w:color="auto"/>
            <w:right w:val="none" w:sz="0" w:space="0" w:color="auto"/>
          </w:divBdr>
        </w:div>
        <w:div w:id="1485776348">
          <w:marLeft w:val="0"/>
          <w:marRight w:val="0"/>
          <w:marTop w:val="0"/>
          <w:marBottom w:val="101"/>
          <w:divBdr>
            <w:top w:val="none" w:sz="0" w:space="0" w:color="auto"/>
            <w:left w:val="none" w:sz="0" w:space="0" w:color="auto"/>
            <w:bottom w:val="none" w:sz="0" w:space="0" w:color="auto"/>
            <w:right w:val="none" w:sz="0" w:space="0" w:color="auto"/>
          </w:divBdr>
        </w:div>
        <w:div w:id="1964067684">
          <w:marLeft w:val="0"/>
          <w:marRight w:val="0"/>
          <w:marTop w:val="0"/>
          <w:marBottom w:val="101"/>
          <w:divBdr>
            <w:top w:val="none" w:sz="0" w:space="0" w:color="auto"/>
            <w:left w:val="none" w:sz="0" w:space="0" w:color="auto"/>
            <w:bottom w:val="none" w:sz="0" w:space="0" w:color="auto"/>
            <w:right w:val="none" w:sz="0" w:space="0" w:color="auto"/>
          </w:divBdr>
        </w:div>
        <w:div w:id="1242594076">
          <w:marLeft w:val="0"/>
          <w:marRight w:val="0"/>
          <w:marTop w:val="0"/>
          <w:marBottom w:val="101"/>
          <w:divBdr>
            <w:top w:val="none" w:sz="0" w:space="0" w:color="auto"/>
            <w:left w:val="none" w:sz="0" w:space="0" w:color="auto"/>
            <w:bottom w:val="none" w:sz="0" w:space="0" w:color="auto"/>
            <w:right w:val="none" w:sz="0" w:space="0" w:color="auto"/>
          </w:divBdr>
        </w:div>
        <w:div w:id="313223827">
          <w:marLeft w:val="0"/>
          <w:marRight w:val="0"/>
          <w:marTop w:val="0"/>
          <w:marBottom w:val="101"/>
          <w:divBdr>
            <w:top w:val="none" w:sz="0" w:space="0" w:color="auto"/>
            <w:left w:val="none" w:sz="0" w:space="0" w:color="auto"/>
            <w:bottom w:val="none" w:sz="0" w:space="0" w:color="auto"/>
            <w:right w:val="none" w:sz="0" w:space="0" w:color="auto"/>
          </w:divBdr>
        </w:div>
        <w:div w:id="683173490">
          <w:marLeft w:val="0"/>
          <w:marRight w:val="0"/>
          <w:marTop w:val="0"/>
          <w:marBottom w:val="101"/>
          <w:divBdr>
            <w:top w:val="none" w:sz="0" w:space="0" w:color="auto"/>
            <w:left w:val="none" w:sz="0" w:space="0" w:color="auto"/>
            <w:bottom w:val="none" w:sz="0" w:space="0" w:color="auto"/>
            <w:right w:val="none" w:sz="0" w:space="0" w:color="auto"/>
          </w:divBdr>
        </w:div>
        <w:div w:id="1380400050">
          <w:marLeft w:val="0"/>
          <w:marRight w:val="0"/>
          <w:marTop w:val="0"/>
          <w:marBottom w:val="101"/>
          <w:divBdr>
            <w:top w:val="none" w:sz="0" w:space="0" w:color="auto"/>
            <w:left w:val="none" w:sz="0" w:space="0" w:color="auto"/>
            <w:bottom w:val="none" w:sz="0" w:space="0" w:color="auto"/>
            <w:right w:val="none" w:sz="0" w:space="0" w:color="auto"/>
          </w:divBdr>
        </w:div>
        <w:div w:id="726030560">
          <w:marLeft w:val="0"/>
          <w:marRight w:val="0"/>
          <w:marTop w:val="0"/>
          <w:marBottom w:val="101"/>
          <w:divBdr>
            <w:top w:val="none" w:sz="0" w:space="0" w:color="auto"/>
            <w:left w:val="none" w:sz="0" w:space="0" w:color="auto"/>
            <w:bottom w:val="none" w:sz="0" w:space="0" w:color="auto"/>
            <w:right w:val="none" w:sz="0" w:space="0" w:color="auto"/>
          </w:divBdr>
        </w:div>
        <w:div w:id="563296917">
          <w:marLeft w:val="0"/>
          <w:marRight w:val="0"/>
          <w:marTop w:val="0"/>
          <w:marBottom w:val="101"/>
          <w:divBdr>
            <w:top w:val="none" w:sz="0" w:space="0" w:color="auto"/>
            <w:left w:val="none" w:sz="0" w:space="0" w:color="auto"/>
            <w:bottom w:val="none" w:sz="0" w:space="0" w:color="auto"/>
            <w:right w:val="none" w:sz="0" w:space="0" w:color="auto"/>
          </w:divBdr>
        </w:div>
        <w:div w:id="1841507856">
          <w:marLeft w:val="0"/>
          <w:marRight w:val="0"/>
          <w:marTop w:val="0"/>
          <w:marBottom w:val="101"/>
          <w:divBdr>
            <w:top w:val="none" w:sz="0" w:space="0" w:color="auto"/>
            <w:left w:val="none" w:sz="0" w:space="0" w:color="auto"/>
            <w:bottom w:val="none" w:sz="0" w:space="0" w:color="auto"/>
            <w:right w:val="none" w:sz="0" w:space="0" w:color="auto"/>
          </w:divBdr>
        </w:div>
        <w:div w:id="584805697">
          <w:marLeft w:val="0"/>
          <w:marRight w:val="0"/>
          <w:marTop w:val="0"/>
          <w:marBottom w:val="101"/>
          <w:divBdr>
            <w:top w:val="none" w:sz="0" w:space="0" w:color="auto"/>
            <w:left w:val="none" w:sz="0" w:space="0" w:color="auto"/>
            <w:bottom w:val="none" w:sz="0" w:space="0" w:color="auto"/>
            <w:right w:val="none" w:sz="0" w:space="0" w:color="auto"/>
          </w:divBdr>
        </w:div>
        <w:div w:id="1856846668">
          <w:marLeft w:val="0"/>
          <w:marRight w:val="0"/>
          <w:marTop w:val="0"/>
          <w:marBottom w:val="101"/>
          <w:divBdr>
            <w:top w:val="none" w:sz="0" w:space="0" w:color="auto"/>
            <w:left w:val="none" w:sz="0" w:space="0" w:color="auto"/>
            <w:bottom w:val="none" w:sz="0" w:space="0" w:color="auto"/>
            <w:right w:val="none" w:sz="0" w:space="0" w:color="auto"/>
          </w:divBdr>
        </w:div>
        <w:div w:id="1509753443">
          <w:marLeft w:val="0"/>
          <w:marRight w:val="0"/>
          <w:marTop w:val="0"/>
          <w:marBottom w:val="101"/>
          <w:divBdr>
            <w:top w:val="none" w:sz="0" w:space="0" w:color="auto"/>
            <w:left w:val="none" w:sz="0" w:space="0" w:color="auto"/>
            <w:bottom w:val="none" w:sz="0" w:space="0" w:color="auto"/>
            <w:right w:val="none" w:sz="0" w:space="0" w:color="auto"/>
          </w:divBdr>
        </w:div>
        <w:div w:id="178858023">
          <w:marLeft w:val="0"/>
          <w:marRight w:val="0"/>
          <w:marTop w:val="0"/>
          <w:marBottom w:val="101"/>
          <w:divBdr>
            <w:top w:val="none" w:sz="0" w:space="0" w:color="auto"/>
            <w:left w:val="none" w:sz="0" w:space="0" w:color="auto"/>
            <w:bottom w:val="none" w:sz="0" w:space="0" w:color="auto"/>
            <w:right w:val="none" w:sz="0" w:space="0" w:color="auto"/>
          </w:divBdr>
        </w:div>
        <w:div w:id="2045013397">
          <w:marLeft w:val="0"/>
          <w:marRight w:val="0"/>
          <w:marTop w:val="0"/>
          <w:marBottom w:val="101"/>
          <w:divBdr>
            <w:top w:val="none" w:sz="0" w:space="0" w:color="auto"/>
            <w:left w:val="none" w:sz="0" w:space="0" w:color="auto"/>
            <w:bottom w:val="none" w:sz="0" w:space="0" w:color="auto"/>
            <w:right w:val="none" w:sz="0" w:space="0" w:color="auto"/>
          </w:divBdr>
        </w:div>
        <w:div w:id="256789071">
          <w:marLeft w:val="0"/>
          <w:marRight w:val="0"/>
          <w:marTop w:val="0"/>
          <w:marBottom w:val="101"/>
          <w:divBdr>
            <w:top w:val="none" w:sz="0" w:space="0" w:color="auto"/>
            <w:left w:val="none" w:sz="0" w:space="0" w:color="auto"/>
            <w:bottom w:val="none" w:sz="0" w:space="0" w:color="auto"/>
            <w:right w:val="none" w:sz="0" w:space="0" w:color="auto"/>
          </w:divBdr>
        </w:div>
        <w:div w:id="1154950576">
          <w:marLeft w:val="0"/>
          <w:marRight w:val="0"/>
          <w:marTop w:val="0"/>
          <w:marBottom w:val="101"/>
          <w:divBdr>
            <w:top w:val="none" w:sz="0" w:space="0" w:color="auto"/>
            <w:left w:val="none" w:sz="0" w:space="0" w:color="auto"/>
            <w:bottom w:val="none" w:sz="0" w:space="0" w:color="auto"/>
            <w:right w:val="none" w:sz="0" w:space="0" w:color="auto"/>
          </w:divBdr>
        </w:div>
        <w:div w:id="1965043092">
          <w:marLeft w:val="0"/>
          <w:marRight w:val="0"/>
          <w:marTop w:val="0"/>
          <w:marBottom w:val="101"/>
          <w:divBdr>
            <w:top w:val="none" w:sz="0" w:space="0" w:color="auto"/>
            <w:left w:val="none" w:sz="0" w:space="0" w:color="auto"/>
            <w:bottom w:val="none" w:sz="0" w:space="0" w:color="auto"/>
            <w:right w:val="none" w:sz="0" w:space="0" w:color="auto"/>
          </w:divBdr>
        </w:div>
        <w:div w:id="560793675">
          <w:marLeft w:val="0"/>
          <w:marRight w:val="0"/>
          <w:marTop w:val="0"/>
          <w:marBottom w:val="101"/>
          <w:divBdr>
            <w:top w:val="none" w:sz="0" w:space="0" w:color="auto"/>
            <w:left w:val="none" w:sz="0" w:space="0" w:color="auto"/>
            <w:bottom w:val="none" w:sz="0" w:space="0" w:color="auto"/>
            <w:right w:val="none" w:sz="0" w:space="0" w:color="auto"/>
          </w:divBdr>
        </w:div>
        <w:div w:id="604847702">
          <w:marLeft w:val="0"/>
          <w:marRight w:val="0"/>
          <w:marTop w:val="0"/>
          <w:marBottom w:val="101"/>
          <w:divBdr>
            <w:top w:val="none" w:sz="0" w:space="0" w:color="auto"/>
            <w:left w:val="none" w:sz="0" w:space="0" w:color="auto"/>
            <w:bottom w:val="none" w:sz="0" w:space="0" w:color="auto"/>
            <w:right w:val="none" w:sz="0" w:space="0" w:color="auto"/>
          </w:divBdr>
        </w:div>
        <w:div w:id="71975705">
          <w:marLeft w:val="0"/>
          <w:marRight w:val="0"/>
          <w:marTop w:val="0"/>
          <w:marBottom w:val="101"/>
          <w:divBdr>
            <w:top w:val="none" w:sz="0" w:space="0" w:color="auto"/>
            <w:left w:val="none" w:sz="0" w:space="0" w:color="auto"/>
            <w:bottom w:val="none" w:sz="0" w:space="0" w:color="auto"/>
            <w:right w:val="none" w:sz="0" w:space="0" w:color="auto"/>
          </w:divBdr>
        </w:div>
        <w:div w:id="680593312">
          <w:marLeft w:val="0"/>
          <w:marRight w:val="0"/>
          <w:marTop w:val="0"/>
          <w:marBottom w:val="101"/>
          <w:divBdr>
            <w:top w:val="none" w:sz="0" w:space="0" w:color="auto"/>
            <w:left w:val="none" w:sz="0" w:space="0" w:color="auto"/>
            <w:bottom w:val="none" w:sz="0" w:space="0" w:color="auto"/>
            <w:right w:val="none" w:sz="0" w:space="0" w:color="auto"/>
          </w:divBdr>
        </w:div>
        <w:div w:id="112216558">
          <w:marLeft w:val="0"/>
          <w:marRight w:val="0"/>
          <w:marTop w:val="0"/>
          <w:marBottom w:val="101"/>
          <w:divBdr>
            <w:top w:val="none" w:sz="0" w:space="0" w:color="auto"/>
            <w:left w:val="none" w:sz="0" w:space="0" w:color="auto"/>
            <w:bottom w:val="none" w:sz="0" w:space="0" w:color="auto"/>
            <w:right w:val="none" w:sz="0" w:space="0" w:color="auto"/>
          </w:divBdr>
        </w:div>
        <w:div w:id="1571963602">
          <w:marLeft w:val="0"/>
          <w:marRight w:val="0"/>
          <w:marTop w:val="0"/>
          <w:marBottom w:val="101"/>
          <w:divBdr>
            <w:top w:val="none" w:sz="0" w:space="0" w:color="auto"/>
            <w:left w:val="none" w:sz="0" w:space="0" w:color="auto"/>
            <w:bottom w:val="none" w:sz="0" w:space="0" w:color="auto"/>
            <w:right w:val="none" w:sz="0" w:space="0" w:color="auto"/>
          </w:divBdr>
        </w:div>
        <w:div w:id="220948565">
          <w:marLeft w:val="0"/>
          <w:marRight w:val="0"/>
          <w:marTop w:val="0"/>
          <w:marBottom w:val="101"/>
          <w:divBdr>
            <w:top w:val="none" w:sz="0" w:space="0" w:color="auto"/>
            <w:left w:val="none" w:sz="0" w:space="0" w:color="auto"/>
            <w:bottom w:val="none" w:sz="0" w:space="0" w:color="auto"/>
            <w:right w:val="none" w:sz="0" w:space="0" w:color="auto"/>
          </w:divBdr>
        </w:div>
        <w:div w:id="1016540170">
          <w:marLeft w:val="0"/>
          <w:marRight w:val="0"/>
          <w:marTop w:val="0"/>
          <w:marBottom w:val="101"/>
          <w:divBdr>
            <w:top w:val="none" w:sz="0" w:space="0" w:color="auto"/>
            <w:left w:val="none" w:sz="0" w:space="0" w:color="auto"/>
            <w:bottom w:val="none" w:sz="0" w:space="0" w:color="auto"/>
            <w:right w:val="none" w:sz="0" w:space="0" w:color="auto"/>
          </w:divBdr>
        </w:div>
        <w:div w:id="290209726">
          <w:marLeft w:val="0"/>
          <w:marRight w:val="0"/>
          <w:marTop w:val="0"/>
          <w:marBottom w:val="101"/>
          <w:divBdr>
            <w:top w:val="none" w:sz="0" w:space="0" w:color="auto"/>
            <w:left w:val="none" w:sz="0" w:space="0" w:color="auto"/>
            <w:bottom w:val="none" w:sz="0" w:space="0" w:color="auto"/>
            <w:right w:val="none" w:sz="0" w:space="0" w:color="auto"/>
          </w:divBdr>
        </w:div>
        <w:div w:id="2066417388">
          <w:marLeft w:val="0"/>
          <w:marRight w:val="0"/>
          <w:marTop w:val="0"/>
          <w:marBottom w:val="101"/>
          <w:divBdr>
            <w:top w:val="none" w:sz="0" w:space="0" w:color="auto"/>
            <w:left w:val="none" w:sz="0" w:space="0" w:color="auto"/>
            <w:bottom w:val="none" w:sz="0" w:space="0" w:color="auto"/>
            <w:right w:val="none" w:sz="0" w:space="0" w:color="auto"/>
          </w:divBdr>
        </w:div>
        <w:div w:id="254440758">
          <w:marLeft w:val="0"/>
          <w:marRight w:val="0"/>
          <w:marTop w:val="0"/>
          <w:marBottom w:val="101"/>
          <w:divBdr>
            <w:top w:val="none" w:sz="0" w:space="0" w:color="auto"/>
            <w:left w:val="none" w:sz="0" w:space="0" w:color="auto"/>
            <w:bottom w:val="none" w:sz="0" w:space="0" w:color="auto"/>
            <w:right w:val="none" w:sz="0" w:space="0" w:color="auto"/>
          </w:divBdr>
        </w:div>
        <w:div w:id="835419033">
          <w:marLeft w:val="0"/>
          <w:marRight w:val="0"/>
          <w:marTop w:val="0"/>
          <w:marBottom w:val="101"/>
          <w:divBdr>
            <w:top w:val="none" w:sz="0" w:space="0" w:color="auto"/>
            <w:left w:val="none" w:sz="0" w:space="0" w:color="auto"/>
            <w:bottom w:val="none" w:sz="0" w:space="0" w:color="auto"/>
            <w:right w:val="none" w:sz="0" w:space="0" w:color="auto"/>
          </w:divBdr>
        </w:div>
        <w:div w:id="1287394096">
          <w:marLeft w:val="0"/>
          <w:marRight w:val="0"/>
          <w:marTop w:val="0"/>
          <w:marBottom w:val="101"/>
          <w:divBdr>
            <w:top w:val="none" w:sz="0" w:space="0" w:color="auto"/>
            <w:left w:val="none" w:sz="0" w:space="0" w:color="auto"/>
            <w:bottom w:val="none" w:sz="0" w:space="0" w:color="auto"/>
            <w:right w:val="none" w:sz="0" w:space="0" w:color="auto"/>
          </w:divBdr>
        </w:div>
        <w:div w:id="869490857">
          <w:marLeft w:val="0"/>
          <w:marRight w:val="0"/>
          <w:marTop w:val="0"/>
          <w:marBottom w:val="101"/>
          <w:divBdr>
            <w:top w:val="none" w:sz="0" w:space="0" w:color="auto"/>
            <w:left w:val="none" w:sz="0" w:space="0" w:color="auto"/>
            <w:bottom w:val="none" w:sz="0" w:space="0" w:color="auto"/>
            <w:right w:val="none" w:sz="0" w:space="0" w:color="auto"/>
          </w:divBdr>
        </w:div>
        <w:div w:id="1228877032">
          <w:marLeft w:val="0"/>
          <w:marRight w:val="0"/>
          <w:marTop w:val="0"/>
          <w:marBottom w:val="101"/>
          <w:divBdr>
            <w:top w:val="none" w:sz="0" w:space="0" w:color="auto"/>
            <w:left w:val="none" w:sz="0" w:space="0" w:color="auto"/>
            <w:bottom w:val="none" w:sz="0" w:space="0" w:color="auto"/>
            <w:right w:val="none" w:sz="0" w:space="0" w:color="auto"/>
          </w:divBdr>
        </w:div>
        <w:div w:id="1229344589">
          <w:marLeft w:val="0"/>
          <w:marRight w:val="0"/>
          <w:marTop w:val="0"/>
          <w:marBottom w:val="101"/>
          <w:divBdr>
            <w:top w:val="none" w:sz="0" w:space="0" w:color="auto"/>
            <w:left w:val="none" w:sz="0" w:space="0" w:color="auto"/>
            <w:bottom w:val="none" w:sz="0" w:space="0" w:color="auto"/>
            <w:right w:val="none" w:sz="0" w:space="0" w:color="auto"/>
          </w:divBdr>
        </w:div>
        <w:div w:id="1652252446">
          <w:marLeft w:val="0"/>
          <w:marRight w:val="0"/>
          <w:marTop w:val="0"/>
          <w:marBottom w:val="101"/>
          <w:divBdr>
            <w:top w:val="none" w:sz="0" w:space="0" w:color="auto"/>
            <w:left w:val="none" w:sz="0" w:space="0" w:color="auto"/>
            <w:bottom w:val="none" w:sz="0" w:space="0" w:color="auto"/>
            <w:right w:val="none" w:sz="0" w:space="0" w:color="auto"/>
          </w:divBdr>
        </w:div>
        <w:div w:id="374162152">
          <w:marLeft w:val="0"/>
          <w:marRight w:val="0"/>
          <w:marTop w:val="0"/>
          <w:marBottom w:val="101"/>
          <w:divBdr>
            <w:top w:val="none" w:sz="0" w:space="0" w:color="auto"/>
            <w:left w:val="none" w:sz="0" w:space="0" w:color="auto"/>
            <w:bottom w:val="none" w:sz="0" w:space="0" w:color="auto"/>
            <w:right w:val="none" w:sz="0" w:space="0" w:color="auto"/>
          </w:divBdr>
        </w:div>
        <w:div w:id="1464887307">
          <w:marLeft w:val="0"/>
          <w:marRight w:val="0"/>
          <w:marTop w:val="0"/>
          <w:marBottom w:val="101"/>
          <w:divBdr>
            <w:top w:val="none" w:sz="0" w:space="0" w:color="auto"/>
            <w:left w:val="none" w:sz="0" w:space="0" w:color="auto"/>
            <w:bottom w:val="none" w:sz="0" w:space="0" w:color="auto"/>
            <w:right w:val="none" w:sz="0" w:space="0" w:color="auto"/>
          </w:divBdr>
        </w:div>
        <w:div w:id="438837978">
          <w:marLeft w:val="0"/>
          <w:marRight w:val="0"/>
          <w:marTop w:val="0"/>
          <w:marBottom w:val="101"/>
          <w:divBdr>
            <w:top w:val="none" w:sz="0" w:space="0" w:color="auto"/>
            <w:left w:val="none" w:sz="0" w:space="0" w:color="auto"/>
            <w:bottom w:val="none" w:sz="0" w:space="0" w:color="auto"/>
            <w:right w:val="none" w:sz="0" w:space="0" w:color="auto"/>
          </w:divBdr>
        </w:div>
        <w:div w:id="110787134">
          <w:marLeft w:val="0"/>
          <w:marRight w:val="0"/>
          <w:marTop w:val="0"/>
          <w:marBottom w:val="101"/>
          <w:divBdr>
            <w:top w:val="none" w:sz="0" w:space="0" w:color="auto"/>
            <w:left w:val="none" w:sz="0" w:space="0" w:color="auto"/>
            <w:bottom w:val="none" w:sz="0" w:space="0" w:color="auto"/>
            <w:right w:val="none" w:sz="0" w:space="0" w:color="auto"/>
          </w:divBdr>
        </w:div>
        <w:div w:id="1467312825">
          <w:marLeft w:val="0"/>
          <w:marRight w:val="0"/>
          <w:marTop w:val="0"/>
          <w:marBottom w:val="101"/>
          <w:divBdr>
            <w:top w:val="none" w:sz="0" w:space="0" w:color="auto"/>
            <w:left w:val="none" w:sz="0" w:space="0" w:color="auto"/>
            <w:bottom w:val="none" w:sz="0" w:space="0" w:color="auto"/>
            <w:right w:val="none" w:sz="0" w:space="0" w:color="auto"/>
          </w:divBdr>
        </w:div>
        <w:div w:id="1561330315">
          <w:marLeft w:val="0"/>
          <w:marRight w:val="0"/>
          <w:marTop w:val="0"/>
          <w:marBottom w:val="101"/>
          <w:divBdr>
            <w:top w:val="none" w:sz="0" w:space="0" w:color="auto"/>
            <w:left w:val="none" w:sz="0" w:space="0" w:color="auto"/>
            <w:bottom w:val="none" w:sz="0" w:space="0" w:color="auto"/>
            <w:right w:val="none" w:sz="0" w:space="0" w:color="auto"/>
          </w:divBdr>
        </w:div>
        <w:div w:id="699554142">
          <w:marLeft w:val="0"/>
          <w:marRight w:val="0"/>
          <w:marTop w:val="0"/>
          <w:marBottom w:val="101"/>
          <w:divBdr>
            <w:top w:val="none" w:sz="0" w:space="0" w:color="auto"/>
            <w:left w:val="none" w:sz="0" w:space="0" w:color="auto"/>
            <w:bottom w:val="none" w:sz="0" w:space="0" w:color="auto"/>
            <w:right w:val="none" w:sz="0" w:space="0" w:color="auto"/>
          </w:divBdr>
        </w:div>
        <w:div w:id="355695228">
          <w:marLeft w:val="0"/>
          <w:marRight w:val="0"/>
          <w:marTop w:val="0"/>
          <w:marBottom w:val="101"/>
          <w:divBdr>
            <w:top w:val="none" w:sz="0" w:space="0" w:color="auto"/>
            <w:left w:val="none" w:sz="0" w:space="0" w:color="auto"/>
            <w:bottom w:val="none" w:sz="0" w:space="0" w:color="auto"/>
            <w:right w:val="none" w:sz="0" w:space="0" w:color="auto"/>
          </w:divBdr>
        </w:div>
        <w:div w:id="276717955">
          <w:marLeft w:val="0"/>
          <w:marRight w:val="0"/>
          <w:marTop w:val="0"/>
          <w:marBottom w:val="101"/>
          <w:divBdr>
            <w:top w:val="none" w:sz="0" w:space="0" w:color="auto"/>
            <w:left w:val="none" w:sz="0" w:space="0" w:color="auto"/>
            <w:bottom w:val="none" w:sz="0" w:space="0" w:color="auto"/>
            <w:right w:val="none" w:sz="0" w:space="0" w:color="auto"/>
          </w:divBdr>
        </w:div>
        <w:div w:id="1969771926">
          <w:marLeft w:val="0"/>
          <w:marRight w:val="0"/>
          <w:marTop w:val="0"/>
          <w:marBottom w:val="101"/>
          <w:divBdr>
            <w:top w:val="none" w:sz="0" w:space="0" w:color="auto"/>
            <w:left w:val="none" w:sz="0" w:space="0" w:color="auto"/>
            <w:bottom w:val="none" w:sz="0" w:space="0" w:color="auto"/>
            <w:right w:val="none" w:sz="0" w:space="0" w:color="auto"/>
          </w:divBdr>
        </w:div>
        <w:div w:id="232737215">
          <w:marLeft w:val="0"/>
          <w:marRight w:val="0"/>
          <w:marTop w:val="0"/>
          <w:marBottom w:val="101"/>
          <w:divBdr>
            <w:top w:val="none" w:sz="0" w:space="0" w:color="auto"/>
            <w:left w:val="none" w:sz="0" w:space="0" w:color="auto"/>
            <w:bottom w:val="none" w:sz="0" w:space="0" w:color="auto"/>
            <w:right w:val="none" w:sz="0" w:space="0" w:color="auto"/>
          </w:divBdr>
        </w:div>
        <w:div w:id="895749090">
          <w:marLeft w:val="720"/>
          <w:marRight w:val="0"/>
          <w:marTop w:val="0"/>
          <w:marBottom w:val="101"/>
          <w:divBdr>
            <w:top w:val="none" w:sz="0" w:space="0" w:color="auto"/>
            <w:left w:val="none" w:sz="0" w:space="0" w:color="auto"/>
            <w:bottom w:val="none" w:sz="0" w:space="0" w:color="auto"/>
            <w:right w:val="none" w:sz="0" w:space="0" w:color="auto"/>
          </w:divBdr>
        </w:div>
        <w:div w:id="1729769185">
          <w:marLeft w:val="1080"/>
          <w:marRight w:val="0"/>
          <w:marTop w:val="0"/>
          <w:marBottom w:val="101"/>
          <w:divBdr>
            <w:top w:val="none" w:sz="0" w:space="0" w:color="auto"/>
            <w:left w:val="none" w:sz="0" w:space="0" w:color="auto"/>
            <w:bottom w:val="none" w:sz="0" w:space="0" w:color="auto"/>
            <w:right w:val="none" w:sz="0" w:space="0" w:color="auto"/>
          </w:divBdr>
        </w:div>
        <w:div w:id="341014391">
          <w:marLeft w:val="1080"/>
          <w:marRight w:val="0"/>
          <w:marTop w:val="0"/>
          <w:marBottom w:val="101"/>
          <w:divBdr>
            <w:top w:val="none" w:sz="0" w:space="0" w:color="auto"/>
            <w:left w:val="none" w:sz="0" w:space="0" w:color="auto"/>
            <w:bottom w:val="none" w:sz="0" w:space="0" w:color="auto"/>
            <w:right w:val="none" w:sz="0" w:space="0" w:color="auto"/>
          </w:divBdr>
        </w:div>
        <w:div w:id="1007486432">
          <w:marLeft w:val="1530"/>
          <w:marRight w:val="0"/>
          <w:marTop w:val="0"/>
          <w:marBottom w:val="101"/>
          <w:divBdr>
            <w:top w:val="none" w:sz="0" w:space="0" w:color="auto"/>
            <w:left w:val="none" w:sz="0" w:space="0" w:color="auto"/>
            <w:bottom w:val="none" w:sz="0" w:space="0" w:color="auto"/>
            <w:right w:val="none" w:sz="0" w:space="0" w:color="auto"/>
          </w:divBdr>
        </w:div>
        <w:div w:id="1577280918">
          <w:marLeft w:val="1530"/>
          <w:marRight w:val="0"/>
          <w:marTop w:val="0"/>
          <w:marBottom w:val="101"/>
          <w:divBdr>
            <w:top w:val="none" w:sz="0" w:space="0" w:color="auto"/>
            <w:left w:val="none" w:sz="0" w:space="0" w:color="auto"/>
            <w:bottom w:val="none" w:sz="0" w:space="0" w:color="auto"/>
            <w:right w:val="none" w:sz="0" w:space="0" w:color="auto"/>
          </w:divBdr>
        </w:div>
        <w:div w:id="1323507527">
          <w:marLeft w:val="1080"/>
          <w:marRight w:val="0"/>
          <w:marTop w:val="0"/>
          <w:marBottom w:val="101"/>
          <w:divBdr>
            <w:top w:val="none" w:sz="0" w:space="0" w:color="auto"/>
            <w:left w:val="none" w:sz="0" w:space="0" w:color="auto"/>
            <w:bottom w:val="none" w:sz="0" w:space="0" w:color="auto"/>
            <w:right w:val="none" w:sz="0" w:space="0" w:color="auto"/>
          </w:divBdr>
        </w:div>
        <w:div w:id="116460963">
          <w:marLeft w:val="1080"/>
          <w:marRight w:val="0"/>
          <w:marTop w:val="0"/>
          <w:marBottom w:val="101"/>
          <w:divBdr>
            <w:top w:val="none" w:sz="0" w:space="0" w:color="auto"/>
            <w:left w:val="none" w:sz="0" w:space="0" w:color="auto"/>
            <w:bottom w:val="none" w:sz="0" w:space="0" w:color="auto"/>
            <w:right w:val="none" w:sz="0" w:space="0" w:color="auto"/>
          </w:divBdr>
        </w:div>
        <w:div w:id="649483030">
          <w:marLeft w:val="1080"/>
          <w:marRight w:val="0"/>
          <w:marTop w:val="0"/>
          <w:marBottom w:val="101"/>
          <w:divBdr>
            <w:top w:val="none" w:sz="0" w:space="0" w:color="auto"/>
            <w:left w:val="none" w:sz="0" w:space="0" w:color="auto"/>
            <w:bottom w:val="none" w:sz="0" w:space="0" w:color="auto"/>
            <w:right w:val="none" w:sz="0" w:space="0" w:color="auto"/>
          </w:divBdr>
        </w:div>
        <w:div w:id="195704827">
          <w:marLeft w:val="1530"/>
          <w:marRight w:val="0"/>
          <w:marTop w:val="0"/>
          <w:marBottom w:val="101"/>
          <w:divBdr>
            <w:top w:val="none" w:sz="0" w:space="0" w:color="auto"/>
            <w:left w:val="none" w:sz="0" w:space="0" w:color="auto"/>
            <w:bottom w:val="none" w:sz="0" w:space="0" w:color="auto"/>
            <w:right w:val="none" w:sz="0" w:space="0" w:color="auto"/>
          </w:divBdr>
        </w:div>
        <w:div w:id="532419800">
          <w:marLeft w:val="1530"/>
          <w:marRight w:val="0"/>
          <w:marTop w:val="0"/>
          <w:marBottom w:val="101"/>
          <w:divBdr>
            <w:top w:val="none" w:sz="0" w:space="0" w:color="auto"/>
            <w:left w:val="none" w:sz="0" w:space="0" w:color="auto"/>
            <w:bottom w:val="none" w:sz="0" w:space="0" w:color="auto"/>
            <w:right w:val="none" w:sz="0" w:space="0" w:color="auto"/>
          </w:divBdr>
        </w:div>
        <w:div w:id="668025288">
          <w:marLeft w:val="1080"/>
          <w:marRight w:val="0"/>
          <w:marTop w:val="0"/>
          <w:marBottom w:val="101"/>
          <w:divBdr>
            <w:top w:val="none" w:sz="0" w:space="0" w:color="auto"/>
            <w:left w:val="none" w:sz="0" w:space="0" w:color="auto"/>
            <w:bottom w:val="none" w:sz="0" w:space="0" w:color="auto"/>
            <w:right w:val="none" w:sz="0" w:space="0" w:color="auto"/>
          </w:divBdr>
        </w:div>
        <w:div w:id="969701696">
          <w:marLeft w:val="720"/>
          <w:marRight w:val="0"/>
          <w:marTop w:val="0"/>
          <w:marBottom w:val="101"/>
          <w:divBdr>
            <w:top w:val="none" w:sz="0" w:space="0" w:color="auto"/>
            <w:left w:val="none" w:sz="0" w:space="0" w:color="auto"/>
            <w:bottom w:val="none" w:sz="0" w:space="0" w:color="auto"/>
            <w:right w:val="none" w:sz="0" w:space="0" w:color="auto"/>
          </w:divBdr>
        </w:div>
        <w:div w:id="1179268953">
          <w:marLeft w:val="720"/>
          <w:marRight w:val="0"/>
          <w:marTop w:val="0"/>
          <w:marBottom w:val="101"/>
          <w:divBdr>
            <w:top w:val="none" w:sz="0" w:space="0" w:color="auto"/>
            <w:left w:val="none" w:sz="0" w:space="0" w:color="auto"/>
            <w:bottom w:val="none" w:sz="0" w:space="0" w:color="auto"/>
            <w:right w:val="none" w:sz="0" w:space="0" w:color="auto"/>
          </w:divBdr>
        </w:div>
        <w:div w:id="1569685156">
          <w:marLeft w:val="720"/>
          <w:marRight w:val="0"/>
          <w:marTop w:val="0"/>
          <w:marBottom w:val="101"/>
          <w:divBdr>
            <w:top w:val="none" w:sz="0" w:space="0" w:color="auto"/>
            <w:left w:val="none" w:sz="0" w:space="0" w:color="auto"/>
            <w:bottom w:val="none" w:sz="0" w:space="0" w:color="auto"/>
            <w:right w:val="none" w:sz="0" w:space="0" w:color="auto"/>
          </w:divBdr>
        </w:div>
        <w:div w:id="376588300">
          <w:marLeft w:val="720"/>
          <w:marRight w:val="0"/>
          <w:marTop w:val="0"/>
          <w:marBottom w:val="101"/>
          <w:divBdr>
            <w:top w:val="none" w:sz="0" w:space="0" w:color="auto"/>
            <w:left w:val="none" w:sz="0" w:space="0" w:color="auto"/>
            <w:bottom w:val="none" w:sz="0" w:space="0" w:color="auto"/>
            <w:right w:val="none" w:sz="0" w:space="0" w:color="auto"/>
          </w:divBdr>
        </w:div>
        <w:div w:id="513031595">
          <w:marLeft w:val="0"/>
          <w:marRight w:val="0"/>
          <w:marTop w:val="0"/>
          <w:marBottom w:val="101"/>
          <w:divBdr>
            <w:top w:val="none" w:sz="0" w:space="0" w:color="auto"/>
            <w:left w:val="none" w:sz="0" w:space="0" w:color="auto"/>
            <w:bottom w:val="none" w:sz="0" w:space="0" w:color="auto"/>
            <w:right w:val="none" w:sz="0" w:space="0" w:color="auto"/>
          </w:divBdr>
        </w:div>
        <w:div w:id="1378043859">
          <w:marLeft w:val="0"/>
          <w:marRight w:val="0"/>
          <w:marTop w:val="0"/>
          <w:marBottom w:val="101"/>
          <w:divBdr>
            <w:top w:val="none" w:sz="0" w:space="0" w:color="auto"/>
            <w:left w:val="none" w:sz="0" w:space="0" w:color="auto"/>
            <w:bottom w:val="none" w:sz="0" w:space="0" w:color="auto"/>
            <w:right w:val="none" w:sz="0" w:space="0" w:color="auto"/>
          </w:divBdr>
        </w:div>
        <w:div w:id="262886111">
          <w:marLeft w:val="0"/>
          <w:marRight w:val="0"/>
          <w:marTop w:val="0"/>
          <w:marBottom w:val="101"/>
          <w:divBdr>
            <w:top w:val="none" w:sz="0" w:space="0" w:color="auto"/>
            <w:left w:val="none" w:sz="0" w:space="0" w:color="auto"/>
            <w:bottom w:val="none" w:sz="0" w:space="0" w:color="auto"/>
            <w:right w:val="none" w:sz="0" w:space="0" w:color="auto"/>
          </w:divBdr>
        </w:div>
        <w:div w:id="1483421980">
          <w:marLeft w:val="0"/>
          <w:marRight w:val="0"/>
          <w:marTop w:val="0"/>
          <w:marBottom w:val="101"/>
          <w:divBdr>
            <w:top w:val="none" w:sz="0" w:space="0" w:color="auto"/>
            <w:left w:val="none" w:sz="0" w:space="0" w:color="auto"/>
            <w:bottom w:val="none" w:sz="0" w:space="0" w:color="auto"/>
            <w:right w:val="none" w:sz="0" w:space="0" w:color="auto"/>
          </w:divBdr>
        </w:div>
        <w:div w:id="211502304">
          <w:marLeft w:val="0"/>
          <w:marRight w:val="0"/>
          <w:marTop w:val="0"/>
          <w:marBottom w:val="101"/>
          <w:divBdr>
            <w:top w:val="none" w:sz="0" w:space="0" w:color="auto"/>
            <w:left w:val="none" w:sz="0" w:space="0" w:color="auto"/>
            <w:bottom w:val="none" w:sz="0" w:space="0" w:color="auto"/>
            <w:right w:val="none" w:sz="0" w:space="0" w:color="auto"/>
          </w:divBdr>
        </w:div>
        <w:div w:id="1401708101">
          <w:marLeft w:val="0"/>
          <w:marRight w:val="0"/>
          <w:marTop w:val="0"/>
          <w:marBottom w:val="101"/>
          <w:divBdr>
            <w:top w:val="none" w:sz="0" w:space="0" w:color="auto"/>
            <w:left w:val="none" w:sz="0" w:space="0" w:color="auto"/>
            <w:bottom w:val="none" w:sz="0" w:space="0" w:color="auto"/>
            <w:right w:val="none" w:sz="0" w:space="0" w:color="auto"/>
          </w:divBdr>
        </w:div>
        <w:div w:id="464783345">
          <w:marLeft w:val="0"/>
          <w:marRight w:val="0"/>
          <w:marTop w:val="0"/>
          <w:marBottom w:val="101"/>
          <w:divBdr>
            <w:top w:val="none" w:sz="0" w:space="0" w:color="auto"/>
            <w:left w:val="none" w:sz="0" w:space="0" w:color="auto"/>
            <w:bottom w:val="none" w:sz="0" w:space="0" w:color="auto"/>
            <w:right w:val="none" w:sz="0" w:space="0" w:color="auto"/>
          </w:divBdr>
        </w:div>
        <w:div w:id="897322931">
          <w:marLeft w:val="0"/>
          <w:marRight w:val="0"/>
          <w:marTop w:val="0"/>
          <w:marBottom w:val="101"/>
          <w:divBdr>
            <w:top w:val="none" w:sz="0" w:space="0" w:color="auto"/>
            <w:left w:val="none" w:sz="0" w:space="0" w:color="auto"/>
            <w:bottom w:val="none" w:sz="0" w:space="0" w:color="auto"/>
            <w:right w:val="none" w:sz="0" w:space="0" w:color="auto"/>
          </w:divBdr>
        </w:div>
        <w:div w:id="1537353474">
          <w:marLeft w:val="720"/>
          <w:marRight w:val="0"/>
          <w:marTop w:val="0"/>
          <w:marBottom w:val="101"/>
          <w:divBdr>
            <w:top w:val="none" w:sz="0" w:space="0" w:color="auto"/>
            <w:left w:val="none" w:sz="0" w:space="0" w:color="auto"/>
            <w:bottom w:val="none" w:sz="0" w:space="0" w:color="auto"/>
            <w:right w:val="none" w:sz="0" w:space="0" w:color="auto"/>
          </w:divBdr>
        </w:div>
        <w:div w:id="212741086">
          <w:marLeft w:val="1080"/>
          <w:marRight w:val="0"/>
          <w:marTop w:val="0"/>
          <w:marBottom w:val="101"/>
          <w:divBdr>
            <w:top w:val="none" w:sz="0" w:space="0" w:color="auto"/>
            <w:left w:val="none" w:sz="0" w:space="0" w:color="auto"/>
            <w:bottom w:val="none" w:sz="0" w:space="0" w:color="auto"/>
            <w:right w:val="none" w:sz="0" w:space="0" w:color="auto"/>
          </w:divBdr>
        </w:div>
        <w:div w:id="1967663925">
          <w:marLeft w:val="1440"/>
          <w:marRight w:val="0"/>
          <w:marTop w:val="0"/>
          <w:marBottom w:val="101"/>
          <w:divBdr>
            <w:top w:val="none" w:sz="0" w:space="0" w:color="auto"/>
            <w:left w:val="none" w:sz="0" w:space="0" w:color="auto"/>
            <w:bottom w:val="none" w:sz="0" w:space="0" w:color="auto"/>
            <w:right w:val="none" w:sz="0" w:space="0" w:color="auto"/>
          </w:divBdr>
        </w:div>
        <w:div w:id="731777213">
          <w:marLeft w:val="1440"/>
          <w:marRight w:val="0"/>
          <w:marTop w:val="0"/>
          <w:marBottom w:val="101"/>
          <w:divBdr>
            <w:top w:val="none" w:sz="0" w:space="0" w:color="auto"/>
            <w:left w:val="none" w:sz="0" w:space="0" w:color="auto"/>
            <w:bottom w:val="none" w:sz="0" w:space="0" w:color="auto"/>
            <w:right w:val="none" w:sz="0" w:space="0" w:color="auto"/>
          </w:divBdr>
        </w:div>
        <w:div w:id="1299921263">
          <w:marLeft w:val="1080"/>
          <w:marRight w:val="0"/>
          <w:marTop w:val="0"/>
          <w:marBottom w:val="101"/>
          <w:divBdr>
            <w:top w:val="none" w:sz="0" w:space="0" w:color="auto"/>
            <w:left w:val="none" w:sz="0" w:space="0" w:color="auto"/>
            <w:bottom w:val="none" w:sz="0" w:space="0" w:color="auto"/>
            <w:right w:val="none" w:sz="0" w:space="0" w:color="auto"/>
          </w:divBdr>
        </w:div>
        <w:div w:id="2127381102">
          <w:marLeft w:val="1080"/>
          <w:marRight w:val="0"/>
          <w:marTop w:val="0"/>
          <w:marBottom w:val="101"/>
          <w:divBdr>
            <w:top w:val="none" w:sz="0" w:space="0" w:color="auto"/>
            <w:left w:val="none" w:sz="0" w:space="0" w:color="auto"/>
            <w:bottom w:val="none" w:sz="0" w:space="0" w:color="auto"/>
            <w:right w:val="none" w:sz="0" w:space="0" w:color="auto"/>
          </w:divBdr>
        </w:div>
        <w:div w:id="48190281">
          <w:marLeft w:val="1080"/>
          <w:marRight w:val="0"/>
          <w:marTop w:val="0"/>
          <w:marBottom w:val="101"/>
          <w:divBdr>
            <w:top w:val="none" w:sz="0" w:space="0" w:color="auto"/>
            <w:left w:val="none" w:sz="0" w:space="0" w:color="auto"/>
            <w:bottom w:val="none" w:sz="0" w:space="0" w:color="auto"/>
            <w:right w:val="none" w:sz="0" w:space="0" w:color="auto"/>
          </w:divBdr>
        </w:div>
        <w:div w:id="752552464">
          <w:marLeft w:val="1080"/>
          <w:marRight w:val="0"/>
          <w:marTop w:val="0"/>
          <w:marBottom w:val="101"/>
          <w:divBdr>
            <w:top w:val="none" w:sz="0" w:space="0" w:color="auto"/>
            <w:left w:val="none" w:sz="0" w:space="0" w:color="auto"/>
            <w:bottom w:val="none" w:sz="0" w:space="0" w:color="auto"/>
            <w:right w:val="none" w:sz="0" w:space="0" w:color="auto"/>
          </w:divBdr>
        </w:div>
        <w:div w:id="2139494136">
          <w:marLeft w:val="1080"/>
          <w:marRight w:val="0"/>
          <w:marTop w:val="0"/>
          <w:marBottom w:val="101"/>
          <w:divBdr>
            <w:top w:val="none" w:sz="0" w:space="0" w:color="auto"/>
            <w:left w:val="none" w:sz="0" w:space="0" w:color="auto"/>
            <w:bottom w:val="none" w:sz="0" w:space="0" w:color="auto"/>
            <w:right w:val="none" w:sz="0" w:space="0" w:color="auto"/>
          </w:divBdr>
        </w:div>
        <w:div w:id="642127469">
          <w:marLeft w:val="1080"/>
          <w:marRight w:val="0"/>
          <w:marTop w:val="0"/>
          <w:marBottom w:val="101"/>
          <w:divBdr>
            <w:top w:val="none" w:sz="0" w:space="0" w:color="auto"/>
            <w:left w:val="none" w:sz="0" w:space="0" w:color="auto"/>
            <w:bottom w:val="none" w:sz="0" w:space="0" w:color="auto"/>
            <w:right w:val="none" w:sz="0" w:space="0" w:color="auto"/>
          </w:divBdr>
        </w:div>
        <w:div w:id="1558472795">
          <w:marLeft w:val="1080"/>
          <w:marRight w:val="0"/>
          <w:marTop w:val="0"/>
          <w:marBottom w:val="101"/>
          <w:divBdr>
            <w:top w:val="none" w:sz="0" w:space="0" w:color="auto"/>
            <w:left w:val="none" w:sz="0" w:space="0" w:color="auto"/>
            <w:bottom w:val="none" w:sz="0" w:space="0" w:color="auto"/>
            <w:right w:val="none" w:sz="0" w:space="0" w:color="auto"/>
          </w:divBdr>
        </w:div>
        <w:div w:id="447818149">
          <w:marLeft w:val="1440"/>
          <w:marRight w:val="0"/>
          <w:marTop w:val="0"/>
          <w:marBottom w:val="101"/>
          <w:divBdr>
            <w:top w:val="none" w:sz="0" w:space="0" w:color="auto"/>
            <w:left w:val="none" w:sz="0" w:space="0" w:color="auto"/>
            <w:bottom w:val="none" w:sz="0" w:space="0" w:color="auto"/>
            <w:right w:val="none" w:sz="0" w:space="0" w:color="auto"/>
          </w:divBdr>
        </w:div>
        <w:div w:id="1031221092">
          <w:marLeft w:val="1440"/>
          <w:marRight w:val="0"/>
          <w:marTop w:val="0"/>
          <w:marBottom w:val="101"/>
          <w:divBdr>
            <w:top w:val="none" w:sz="0" w:space="0" w:color="auto"/>
            <w:left w:val="none" w:sz="0" w:space="0" w:color="auto"/>
            <w:bottom w:val="none" w:sz="0" w:space="0" w:color="auto"/>
            <w:right w:val="none" w:sz="0" w:space="0" w:color="auto"/>
          </w:divBdr>
        </w:div>
        <w:div w:id="523254268">
          <w:marLeft w:val="1440"/>
          <w:marRight w:val="0"/>
          <w:marTop w:val="0"/>
          <w:marBottom w:val="101"/>
          <w:divBdr>
            <w:top w:val="none" w:sz="0" w:space="0" w:color="auto"/>
            <w:left w:val="none" w:sz="0" w:space="0" w:color="auto"/>
            <w:bottom w:val="none" w:sz="0" w:space="0" w:color="auto"/>
            <w:right w:val="none" w:sz="0" w:space="0" w:color="auto"/>
          </w:divBdr>
        </w:div>
        <w:div w:id="282153098">
          <w:marLeft w:val="1440"/>
          <w:marRight w:val="0"/>
          <w:marTop w:val="0"/>
          <w:marBottom w:val="101"/>
          <w:divBdr>
            <w:top w:val="none" w:sz="0" w:space="0" w:color="auto"/>
            <w:left w:val="none" w:sz="0" w:space="0" w:color="auto"/>
            <w:bottom w:val="none" w:sz="0" w:space="0" w:color="auto"/>
            <w:right w:val="none" w:sz="0" w:space="0" w:color="auto"/>
          </w:divBdr>
        </w:div>
        <w:div w:id="1265457351">
          <w:marLeft w:val="1080"/>
          <w:marRight w:val="0"/>
          <w:marTop w:val="0"/>
          <w:marBottom w:val="101"/>
          <w:divBdr>
            <w:top w:val="none" w:sz="0" w:space="0" w:color="auto"/>
            <w:left w:val="none" w:sz="0" w:space="0" w:color="auto"/>
            <w:bottom w:val="none" w:sz="0" w:space="0" w:color="auto"/>
            <w:right w:val="none" w:sz="0" w:space="0" w:color="auto"/>
          </w:divBdr>
        </w:div>
        <w:div w:id="2001345033">
          <w:marLeft w:val="1080"/>
          <w:marRight w:val="0"/>
          <w:marTop w:val="0"/>
          <w:marBottom w:val="101"/>
          <w:divBdr>
            <w:top w:val="none" w:sz="0" w:space="0" w:color="auto"/>
            <w:left w:val="none" w:sz="0" w:space="0" w:color="auto"/>
            <w:bottom w:val="none" w:sz="0" w:space="0" w:color="auto"/>
            <w:right w:val="none" w:sz="0" w:space="0" w:color="auto"/>
          </w:divBdr>
        </w:div>
        <w:div w:id="1627277846">
          <w:marLeft w:val="1440"/>
          <w:marRight w:val="0"/>
          <w:marTop w:val="0"/>
          <w:marBottom w:val="101"/>
          <w:divBdr>
            <w:top w:val="none" w:sz="0" w:space="0" w:color="auto"/>
            <w:left w:val="none" w:sz="0" w:space="0" w:color="auto"/>
            <w:bottom w:val="none" w:sz="0" w:space="0" w:color="auto"/>
            <w:right w:val="none" w:sz="0" w:space="0" w:color="auto"/>
          </w:divBdr>
        </w:div>
        <w:div w:id="1255548273">
          <w:marLeft w:val="1440"/>
          <w:marRight w:val="0"/>
          <w:marTop w:val="0"/>
          <w:marBottom w:val="101"/>
          <w:divBdr>
            <w:top w:val="none" w:sz="0" w:space="0" w:color="auto"/>
            <w:left w:val="none" w:sz="0" w:space="0" w:color="auto"/>
            <w:bottom w:val="none" w:sz="0" w:space="0" w:color="auto"/>
            <w:right w:val="none" w:sz="0" w:space="0" w:color="auto"/>
          </w:divBdr>
        </w:div>
        <w:div w:id="2137332039">
          <w:marLeft w:val="1080"/>
          <w:marRight w:val="0"/>
          <w:marTop w:val="0"/>
          <w:marBottom w:val="101"/>
          <w:divBdr>
            <w:top w:val="none" w:sz="0" w:space="0" w:color="auto"/>
            <w:left w:val="none" w:sz="0" w:space="0" w:color="auto"/>
            <w:bottom w:val="none" w:sz="0" w:space="0" w:color="auto"/>
            <w:right w:val="none" w:sz="0" w:space="0" w:color="auto"/>
          </w:divBdr>
        </w:div>
        <w:div w:id="1213883197">
          <w:marLeft w:val="1080"/>
          <w:marRight w:val="0"/>
          <w:marTop w:val="0"/>
          <w:marBottom w:val="101"/>
          <w:divBdr>
            <w:top w:val="none" w:sz="0" w:space="0" w:color="auto"/>
            <w:left w:val="none" w:sz="0" w:space="0" w:color="auto"/>
            <w:bottom w:val="none" w:sz="0" w:space="0" w:color="auto"/>
            <w:right w:val="none" w:sz="0" w:space="0" w:color="auto"/>
          </w:divBdr>
        </w:div>
        <w:div w:id="841434269">
          <w:marLeft w:val="1080"/>
          <w:marRight w:val="0"/>
          <w:marTop w:val="0"/>
          <w:marBottom w:val="101"/>
          <w:divBdr>
            <w:top w:val="none" w:sz="0" w:space="0" w:color="auto"/>
            <w:left w:val="none" w:sz="0" w:space="0" w:color="auto"/>
            <w:bottom w:val="none" w:sz="0" w:space="0" w:color="auto"/>
            <w:right w:val="none" w:sz="0" w:space="0" w:color="auto"/>
          </w:divBdr>
        </w:div>
        <w:div w:id="1379628535">
          <w:marLeft w:val="1080"/>
          <w:marRight w:val="0"/>
          <w:marTop w:val="0"/>
          <w:marBottom w:val="101"/>
          <w:divBdr>
            <w:top w:val="none" w:sz="0" w:space="0" w:color="auto"/>
            <w:left w:val="none" w:sz="0" w:space="0" w:color="auto"/>
            <w:bottom w:val="none" w:sz="0" w:space="0" w:color="auto"/>
            <w:right w:val="none" w:sz="0" w:space="0" w:color="auto"/>
          </w:divBdr>
        </w:div>
        <w:div w:id="587347124">
          <w:marLeft w:val="1080"/>
          <w:marRight w:val="0"/>
          <w:marTop w:val="0"/>
          <w:marBottom w:val="101"/>
          <w:divBdr>
            <w:top w:val="none" w:sz="0" w:space="0" w:color="auto"/>
            <w:left w:val="none" w:sz="0" w:space="0" w:color="auto"/>
            <w:bottom w:val="none" w:sz="0" w:space="0" w:color="auto"/>
            <w:right w:val="none" w:sz="0" w:space="0" w:color="auto"/>
          </w:divBdr>
        </w:div>
        <w:div w:id="4796893">
          <w:marLeft w:val="1440"/>
          <w:marRight w:val="0"/>
          <w:marTop w:val="0"/>
          <w:marBottom w:val="89"/>
          <w:divBdr>
            <w:top w:val="none" w:sz="0" w:space="0" w:color="auto"/>
            <w:left w:val="none" w:sz="0" w:space="0" w:color="auto"/>
            <w:bottom w:val="none" w:sz="0" w:space="0" w:color="auto"/>
            <w:right w:val="none" w:sz="0" w:space="0" w:color="auto"/>
          </w:divBdr>
        </w:div>
        <w:div w:id="1910380277">
          <w:marLeft w:val="1440"/>
          <w:marRight w:val="0"/>
          <w:marTop w:val="0"/>
          <w:marBottom w:val="89"/>
          <w:divBdr>
            <w:top w:val="none" w:sz="0" w:space="0" w:color="auto"/>
            <w:left w:val="none" w:sz="0" w:space="0" w:color="auto"/>
            <w:bottom w:val="none" w:sz="0" w:space="0" w:color="auto"/>
            <w:right w:val="none" w:sz="0" w:space="0" w:color="auto"/>
          </w:divBdr>
        </w:div>
        <w:div w:id="1412772161">
          <w:marLeft w:val="1440"/>
          <w:marRight w:val="0"/>
          <w:marTop w:val="0"/>
          <w:marBottom w:val="89"/>
          <w:divBdr>
            <w:top w:val="none" w:sz="0" w:space="0" w:color="auto"/>
            <w:left w:val="none" w:sz="0" w:space="0" w:color="auto"/>
            <w:bottom w:val="none" w:sz="0" w:space="0" w:color="auto"/>
            <w:right w:val="none" w:sz="0" w:space="0" w:color="auto"/>
          </w:divBdr>
        </w:div>
        <w:div w:id="726729323">
          <w:marLeft w:val="1440"/>
          <w:marRight w:val="0"/>
          <w:marTop w:val="0"/>
          <w:marBottom w:val="89"/>
          <w:divBdr>
            <w:top w:val="none" w:sz="0" w:space="0" w:color="auto"/>
            <w:left w:val="none" w:sz="0" w:space="0" w:color="auto"/>
            <w:bottom w:val="none" w:sz="0" w:space="0" w:color="auto"/>
            <w:right w:val="none" w:sz="0" w:space="0" w:color="auto"/>
          </w:divBdr>
        </w:div>
        <w:div w:id="1534267510">
          <w:marLeft w:val="1440"/>
          <w:marRight w:val="0"/>
          <w:marTop w:val="0"/>
          <w:marBottom w:val="89"/>
          <w:divBdr>
            <w:top w:val="none" w:sz="0" w:space="0" w:color="auto"/>
            <w:left w:val="none" w:sz="0" w:space="0" w:color="auto"/>
            <w:bottom w:val="none" w:sz="0" w:space="0" w:color="auto"/>
            <w:right w:val="none" w:sz="0" w:space="0" w:color="auto"/>
          </w:divBdr>
        </w:div>
        <w:div w:id="112947861">
          <w:marLeft w:val="720"/>
          <w:marRight w:val="0"/>
          <w:marTop w:val="0"/>
          <w:marBottom w:val="89"/>
          <w:divBdr>
            <w:top w:val="none" w:sz="0" w:space="0" w:color="auto"/>
            <w:left w:val="none" w:sz="0" w:space="0" w:color="auto"/>
            <w:bottom w:val="none" w:sz="0" w:space="0" w:color="auto"/>
            <w:right w:val="none" w:sz="0" w:space="0" w:color="auto"/>
          </w:divBdr>
        </w:div>
        <w:div w:id="1962877055">
          <w:marLeft w:val="1080"/>
          <w:marRight w:val="0"/>
          <w:marTop w:val="0"/>
          <w:marBottom w:val="89"/>
          <w:divBdr>
            <w:top w:val="none" w:sz="0" w:space="0" w:color="auto"/>
            <w:left w:val="none" w:sz="0" w:space="0" w:color="auto"/>
            <w:bottom w:val="none" w:sz="0" w:space="0" w:color="auto"/>
            <w:right w:val="none" w:sz="0" w:space="0" w:color="auto"/>
          </w:divBdr>
        </w:div>
        <w:div w:id="1287547298">
          <w:marLeft w:val="1440"/>
          <w:marRight w:val="0"/>
          <w:marTop w:val="0"/>
          <w:marBottom w:val="89"/>
          <w:divBdr>
            <w:top w:val="none" w:sz="0" w:space="0" w:color="auto"/>
            <w:left w:val="none" w:sz="0" w:space="0" w:color="auto"/>
            <w:bottom w:val="none" w:sz="0" w:space="0" w:color="auto"/>
            <w:right w:val="none" w:sz="0" w:space="0" w:color="auto"/>
          </w:divBdr>
        </w:div>
        <w:div w:id="269432174">
          <w:marLeft w:val="1440"/>
          <w:marRight w:val="0"/>
          <w:marTop w:val="0"/>
          <w:marBottom w:val="89"/>
          <w:divBdr>
            <w:top w:val="none" w:sz="0" w:space="0" w:color="auto"/>
            <w:left w:val="none" w:sz="0" w:space="0" w:color="auto"/>
            <w:bottom w:val="none" w:sz="0" w:space="0" w:color="auto"/>
            <w:right w:val="none" w:sz="0" w:space="0" w:color="auto"/>
          </w:divBdr>
        </w:div>
        <w:div w:id="1565412008">
          <w:marLeft w:val="1440"/>
          <w:marRight w:val="0"/>
          <w:marTop w:val="0"/>
          <w:marBottom w:val="89"/>
          <w:divBdr>
            <w:top w:val="none" w:sz="0" w:space="0" w:color="auto"/>
            <w:left w:val="none" w:sz="0" w:space="0" w:color="auto"/>
            <w:bottom w:val="none" w:sz="0" w:space="0" w:color="auto"/>
            <w:right w:val="none" w:sz="0" w:space="0" w:color="auto"/>
          </w:divBdr>
        </w:div>
        <w:div w:id="672295849">
          <w:marLeft w:val="1440"/>
          <w:marRight w:val="0"/>
          <w:marTop w:val="0"/>
          <w:marBottom w:val="89"/>
          <w:divBdr>
            <w:top w:val="none" w:sz="0" w:space="0" w:color="auto"/>
            <w:left w:val="none" w:sz="0" w:space="0" w:color="auto"/>
            <w:bottom w:val="none" w:sz="0" w:space="0" w:color="auto"/>
            <w:right w:val="none" w:sz="0" w:space="0" w:color="auto"/>
          </w:divBdr>
        </w:div>
        <w:div w:id="1786730325">
          <w:marLeft w:val="1440"/>
          <w:marRight w:val="0"/>
          <w:marTop w:val="0"/>
          <w:marBottom w:val="89"/>
          <w:divBdr>
            <w:top w:val="none" w:sz="0" w:space="0" w:color="auto"/>
            <w:left w:val="none" w:sz="0" w:space="0" w:color="auto"/>
            <w:bottom w:val="none" w:sz="0" w:space="0" w:color="auto"/>
            <w:right w:val="none" w:sz="0" w:space="0" w:color="auto"/>
          </w:divBdr>
        </w:div>
        <w:div w:id="2011787790">
          <w:marLeft w:val="1080"/>
          <w:marRight w:val="0"/>
          <w:marTop w:val="0"/>
          <w:marBottom w:val="89"/>
          <w:divBdr>
            <w:top w:val="none" w:sz="0" w:space="0" w:color="auto"/>
            <w:left w:val="none" w:sz="0" w:space="0" w:color="auto"/>
            <w:bottom w:val="none" w:sz="0" w:space="0" w:color="auto"/>
            <w:right w:val="none" w:sz="0" w:space="0" w:color="auto"/>
          </w:divBdr>
        </w:div>
        <w:div w:id="1067455040">
          <w:marLeft w:val="1080"/>
          <w:marRight w:val="0"/>
          <w:marTop w:val="0"/>
          <w:marBottom w:val="89"/>
          <w:divBdr>
            <w:top w:val="none" w:sz="0" w:space="0" w:color="auto"/>
            <w:left w:val="none" w:sz="0" w:space="0" w:color="auto"/>
            <w:bottom w:val="none" w:sz="0" w:space="0" w:color="auto"/>
            <w:right w:val="none" w:sz="0" w:space="0" w:color="auto"/>
          </w:divBdr>
        </w:div>
        <w:div w:id="517550780">
          <w:marLeft w:val="720"/>
          <w:marRight w:val="0"/>
          <w:marTop w:val="0"/>
          <w:marBottom w:val="89"/>
          <w:divBdr>
            <w:top w:val="none" w:sz="0" w:space="0" w:color="auto"/>
            <w:left w:val="none" w:sz="0" w:space="0" w:color="auto"/>
            <w:bottom w:val="none" w:sz="0" w:space="0" w:color="auto"/>
            <w:right w:val="none" w:sz="0" w:space="0" w:color="auto"/>
          </w:divBdr>
        </w:div>
        <w:div w:id="1563523792">
          <w:marLeft w:val="1080"/>
          <w:marRight w:val="0"/>
          <w:marTop w:val="0"/>
          <w:marBottom w:val="89"/>
          <w:divBdr>
            <w:top w:val="none" w:sz="0" w:space="0" w:color="auto"/>
            <w:left w:val="none" w:sz="0" w:space="0" w:color="auto"/>
            <w:bottom w:val="none" w:sz="0" w:space="0" w:color="auto"/>
            <w:right w:val="none" w:sz="0" w:space="0" w:color="auto"/>
          </w:divBdr>
        </w:div>
        <w:div w:id="761070576">
          <w:marLeft w:val="1080"/>
          <w:marRight w:val="0"/>
          <w:marTop w:val="0"/>
          <w:marBottom w:val="101"/>
          <w:divBdr>
            <w:top w:val="none" w:sz="0" w:space="0" w:color="auto"/>
            <w:left w:val="none" w:sz="0" w:space="0" w:color="auto"/>
            <w:bottom w:val="none" w:sz="0" w:space="0" w:color="auto"/>
            <w:right w:val="none" w:sz="0" w:space="0" w:color="auto"/>
          </w:divBdr>
        </w:div>
        <w:div w:id="84691977">
          <w:marLeft w:val="1080"/>
          <w:marRight w:val="0"/>
          <w:marTop w:val="0"/>
          <w:marBottom w:val="101"/>
          <w:divBdr>
            <w:top w:val="none" w:sz="0" w:space="0" w:color="auto"/>
            <w:left w:val="none" w:sz="0" w:space="0" w:color="auto"/>
            <w:bottom w:val="none" w:sz="0" w:space="0" w:color="auto"/>
            <w:right w:val="none" w:sz="0" w:space="0" w:color="auto"/>
          </w:divBdr>
        </w:div>
        <w:div w:id="403458603">
          <w:marLeft w:val="1080"/>
          <w:marRight w:val="0"/>
          <w:marTop w:val="0"/>
          <w:marBottom w:val="101"/>
          <w:divBdr>
            <w:top w:val="none" w:sz="0" w:space="0" w:color="auto"/>
            <w:left w:val="none" w:sz="0" w:space="0" w:color="auto"/>
            <w:bottom w:val="none" w:sz="0" w:space="0" w:color="auto"/>
            <w:right w:val="none" w:sz="0" w:space="0" w:color="auto"/>
          </w:divBdr>
        </w:div>
        <w:div w:id="60257911">
          <w:marLeft w:val="1080"/>
          <w:marRight w:val="0"/>
          <w:marTop w:val="0"/>
          <w:marBottom w:val="101"/>
          <w:divBdr>
            <w:top w:val="none" w:sz="0" w:space="0" w:color="auto"/>
            <w:left w:val="none" w:sz="0" w:space="0" w:color="auto"/>
            <w:bottom w:val="none" w:sz="0" w:space="0" w:color="auto"/>
            <w:right w:val="none" w:sz="0" w:space="0" w:color="auto"/>
          </w:divBdr>
        </w:div>
        <w:div w:id="1270309639">
          <w:marLeft w:val="1080"/>
          <w:marRight w:val="0"/>
          <w:marTop w:val="0"/>
          <w:marBottom w:val="101"/>
          <w:divBdr>
            <w:top w:val="none" w:sz="0" w:space="0" w:color="auto"/>
            <w:left w:val="none" w:sz="0" w:space="0" w:color="auto"/>
            <w:bottom w:val="none" w:sz="0" w:space="0" w:color="auto"/>
            <w:right w:val="none" w:sz="0" w:space="0" w:color="auto"/>
          </w:divBdr>
        </w:div>
        <w:div w:id="953901855">
          <w:marLeft w:val="0"/>
          <w:marRight w:val="0"/>
          <w:marTop w:val="0"/>
          <w:marBottom w:val="101"/>
          <w:divBdr>
            <w:top w:val="none" w:sz="0" w:space="0" w:color="auto"/>
            <w:left w:val="none" w:sz="0" w:space="0" w:color="auto"/>
            <w:bottom w:val="none" w:sz="0" w:space="0" w:color="auto"/>
            <w:right w:val="none" w:sz="0" w:space="0" w:color="auto"/>
          </w:divBdr>
        </w:div>
        <w:div w:id="1248808817">
          <w:marLeft w:val="0"/>
          <w:marRight w:val="0"/>
          <w:marTop w:val="0"/>
          <w:marBottom w:val="101"/>
          <w:divBdr>
            <w:top w:val="none" w:sz="0" w:space="0" w:color="auto"/>
            <w:left w:val="none" w:sz="0" w:space="0" w:color="auto"/>
            <w:bottom w:val="none" w:sz="0" w:space="0" w:color="auto"/>
            <w:right w:val="none" w:sz="0" w:space="0" w:color="auto"/>
          </w:divBdr>
        </w:div>
        <w:div w:id="1397167492">
          <w:marLeft w:val="0"/>
          <w:marRight w:val="0"/>
          <w:marTop w:val="0"/>
          <w:marBottom w:val="101"/>
          <w:divBdr>
            <w:top w:val="none" w:sz="0" w:space="0" w:color="auto"/>
            <w:left w:val="none" w:sz="0" w:space="0" w:color="auto"/>
            <w:bottom w:val="none" w:sz="0" w:space="0" w:color="auto"/>
            <w:right w:val="none" w:sz="0" w:space="0" w:color="auto"/>
          </w:divBdr>
        </w:div>
        <w:div w:id="1968579771">
          <w:marLeft w:val="0"/>
          <w:marRight w:val="0"/>
          <w:marTop w:val="0"/>
          <w:marBottom w:val="101"/>
          <w:divBdr>
            <w:top w:val="none" w:sz="0" w:space="0" w:color="auto"/>
            <w:left w:val="none" w:sz="0" w:space="0" w:color="auto"/>
            <w:bottom w:val="none" w:sz="0" w:space="0" w:color="auto"/>
            <w:right w:val="none" w:sz="0" w:space="0" w:color="auto"/>
          </w:divBdr>
        </w:div>
        <w:div w:id="513039401">
          <w:marLeft w:val="0"/>
          <w:marRight w:val="0"/>
          <w:marTop w:val="0"/>
          <w:marBottom w:val="101"/>
          <w:divBdr>
            <w:top w:val="none" w:sz="0" w:space="0" w:color="auto"/>
            <w:left w:val="none" w:sz="0" w:space="0" w:color="auto"/>
            <w:bottom w:val="none" w:sz="0" w:space="0" w:color="auto"/>
            <w:right w:val="none" w:sz="0" w:space="0" w:color="auto"/>
          </w:divBdr>
        </w:div>
        <w:div w:id="661279307">
          <w:marLeft w:val="0"/>
          <w:marRight w:val="0"/>
          <w:marTop w:val="0"/>
          <w:marBottom w:val="101"/>
          <w:divBdr>
            <w:top w:val="none" w:sz="0" w:space="0" w:color="auto"/>
            <w:left w:val="none" w:sz="0" w:space="0" w:color="auto"/>
            <w:bottom w:val="none" w:sz="0" w:space="0" w:color="auto"/>
            <w:right w:val="none" w:sz="0" w:space="0" w:color="auto"/>
          </w:divBdr>
        </w:div>
        <w:div w:id="987057207">
          <w:marLeft w:val="720"/>
          <w:marRight w:val="0"/>
          <w:marTop w:val="0"/>
          <w:marBottom w:val="101"/>
          <w:divBdr>
            <w:top w:val="none" w:sz="0" w:space="0" w:color="auto"/>
            <w:left w:val="none" w:sz="0" w:space="0" w:color="auto"/>
            <w:bottom w:val="none" w:sz="0" w:space="0" w:color="auto"/>
            <w:right w:val="none" w:sz="0" w:space="0" w:color="auto"/>
          </w:divBdr>
        </w:div>
        <w:div w:id="1838809993">
          <w:marLeft w:val="720"/>
          <w:marRight w:val="0"/>
          <w:marTop w:val="0"/>
          <w:marBottom w:val="101"/>
          <w:divBdr>
            <w:top w:val="none" w:sz="0" w:space="0" w:color="auto"/>
            <w:left w:val="none" w:sz="0" w:space="0" w:color="auto"/>
            <w:bottom w:val="none" w:sz="0" w:space="0" w:color="auto"/>
            <w:right w:val="none" w:sz="0" w:space="0" w:color="auto"/>
          </w:divBdr>
        </w:div>
        <w:div w:id="987589325">
          <w:marLeft w:val="720"/>
          <w:marRight w:val="0"/>
          <w:marTop w:val="0"/>
          <w:marBottom w:val="101"/>
          <w:divBdr>
            <w:top w:val="none" w:sz="0" w:space="0" w:color="auto"/>
            <w:left w:val="none" w:sz="0" w:space="0" w:color="auto"/>
            <w:bottom w:val="none" w:sz="0" w:space="0" w:color="auto"/>
            <w:right w:val="none" w:sz="0" w:space="0" w:color="auto"/>
          </w:divBdr>
        </w:div>
        <w:div w:id="1664166972">
          <w:marLeft w:val="720"/>
          <w:marRight w:val="0"/>
          <w:marTop w:val="0"/>
          <w:marBottom w:val="101"/>
          <w:divBdr>
            <w:top w:val="none" w:sz="0" w:space="0" w:color="auto"/>
            <w:left w:val="none" w:sz="0" w:space="0" w:color="auto"/>
            <w:bottom w:val="none" w:sz="0" w:space="0" w:color="auto"/>
            <w:right w:val="none" w:sz="0" w:space="0" w:color="auto"/>
          </w:divBdr>
        </w:div>
        <w:div w:id="426274757">
          <w:marLeft w:val="720"/>
          <w:marRight w:val="0"/>
          <w:marTop w:val="0"/>
          <w:marBottom w:val="101"/>
          <w:divBdr>
            <w:top w:val="none" w:sz="0" w:space="0" w:color="auto"/>
            <w:left w:val="none" w:sz="0" w:space="0" w:color="auto"/>
            <w:bottom w:val="none" w:sz="0" w:space="0" w:color="auto"/>
            <w:right w:val="none" w:sz="0" w:space="0" w:color="auto"/>
          </w:divBdr>
        </w:div>
        <w:div w:id="26804330">
          <w:marLeft w:val="720"/>
          <w:marRight w:val="0"/>
          <w:marTop w:val="0"/>
          <w:marBottom w:val="101"/>
          <w:divBdr>
            <w:top w:val="none" w:sz="0" w:space="0" w:color="auto"/>
            <w:left w:val="none" w:sz="0" w:space="0" w:color="auto"/>
            <w:bottom w:val="none" w:sz="0" w:space="0" w:color="auto"/>
            <w:right w:val="none" w:sz="0" w:space="0" w:color="auto"/>
          </w:divBdr>
        </w:div>
        <w:div w:id="1911036639">
          <w:marLeft w:val="720"/>
          <w:marRight w:val="0"/>
          <w:marTop w:val="0"/>
          <w:marBottom w:val="101"/>
          <w:divBdr>
            <w:top w:val="none" w:sz="0" w:space="0" w:color="auto"/>
            <w:left w:val="none" w:sz="0" w:space="0" w:color="auto"/>
            <w:bottom w:val="none" w:sz="0" w:space="0" w:color="auto"/>
            <w:right w:val="none" w:sz="0" w:space="0" w:color="auto"/>
          </w:divBdr>
        </w:div>
        <w:div w:id="1585063359">
          <w:marLeft w:val="720"/>
          <w:marRight w:val="0"/>
          <w:marTop w:val="0"/>
          <w:marBottom w:val="101"/>
          <w:divBdr>
            <w:top w:val="none" w:sz="0" w:space="0" w:color="auto"/>
            <w:left w:val="none" w:sz="0" w:space="0" w:color="auto"/>
            <w:bottom w:val="none" w:sz="0" w:space="0" w:color="auto"/>
            <w:right w:val="none" w:sz="0" w:space="0" w:color="auto"/>
          </w:divBdr>
        </w:div>
        <w:div w:id="474949842">
          <w:marLeft w:val="720"/>
          <w:marRight w:val="0"/>
          <w:marTop w:val="0"/>
          <w:marBottom w:val="101"/>
          <w:divBdr>
            <w:top w:val="none" w:sz="0" w:space="0" w:color="auto"/>
            <w:left w:val="none" w:sz="0" w:space="0" w:color="auto"/>
            <w:bottom w:val="none" w:sz="0" w:space="0" w:color="auto"/>
            <w:right w:val="none" w:sz="0" w:space="0" w:color="auto"/>
          </w:divBdr>
        </w:div>
        <w:div w:id="230039339">
          <w:marLeft w:val="0"/>
          <w:marRight w:val="0"/>
          <w:marTop w:val="0"/>
          <w:marBottom w:val="101"/>
          <w:divBdr>
            <w:top w:val="none" w:sz="0" w:space="0" w:color="auto"/>
            <w:left w:val="none" w:sz="0" w:space="0" w:color="auto"/>
            <w:bottom w:val="none" w:sz="0" w:space="0" w:color="auto"/>
            <w:right w:val="none" w:sz="0" w:space="0" w:color="auto"/>
          </w:divBdr>
        </w:div>
        <w:div w:id="1263025556">
          <w:marLeft w:val="0"/>
          <w:marRight w:val="0"/>
          <w:marTop w:val="0"/>
          <w:marBottom w:val="101"/>
          <w:divBdr>
            <w:top w:val="none" w:sz="0" w:space="0" w:color="auto"/>
            <w:left w:val="none" w:sz="0" w:space="0" w:color="auto"/>
            <w:bottom w:val="none" w:sz="0" w:space="0" w:color="auto"/>
            <w:right w:val="none" w:sz="0" w:space="0" w:color="auto"/>
          </w:divBdr>
        </w:div>
        <w:div w:id="1742217671">
          <w:marLeft w:val="720"/>
          <w:marRight w:val="0"/>
          <w:marTop w:val="0"/>
          <w:marBottom w:val="101"/>
          <w:divBdr>
            <w:top w:val="none" w:sz="0" w:space="0" w:color="auto"/>
            <w:left w:val="none" w:sz="0" w:space="0" w:color="auto"/>
            <w:bottom w:val="none" w:sz="0" w:space="0" w:color="auto"/>
            <w:right w:val="none" w:sz="0" w:space="0" w:color="auto"/>
          </w:divBdr>
        </w:div>
        <w:div w:id="1348367591">
          <w:marLeft w:val="720"/>
          <w:marRight w:val="0"/>
          <w:marTop w:val="0"/>
          <w:marBottom w:val="101"/>
          <w:divBdr>
            <w:top w:val="none" w:sz="0" w:space="0" w:color="auto"/>
            <w:left w:val="none" w:sz="0" w:space="0" w:color="auto"/>
            <w:bottom w:val="none" w:sz="0" w:space="0" w:color="auto"/>
            <w:right w:val="none" w:sz="0" w:space="0" w:color="auto"/>
          </w:divBdr>
        </w:div>
        <w:div w:id="2142453053">
          <w:marLeft w:val="720"/>
          <w:marRight w:val="0"/>
          <w:marTop w:val="0"/>
          <w:marBottom w:val="101"/>
          <w:divBdr>
            <w:top w:val="none" w:sz="0" w:space="0" w:color="auto"/>
            <w:left w:val="none" w:sz="0" w:space="0" w:color="auto"/>
            <w:bottom w:val="none" w:sz="0" w:space="0" w:color="auto"/>
            <w:right w:val="none" w:sz="0" w:space="0" w:color="auto"/>
          </w:divBdr>
        </w:div>
        <w:div w:id="1942645049">
          <w:marLeft w:val="720"/>
          <w:marRight w:val="0"/>
          <w:marTop w:val="0"/>
          <w:marBottom w:val="101"/>
          <w:divBdr>
            <w:top w:val="none" w:sz="0" w:space="0" w:color="auto"/>
            <w:left w:val="none" w:sz="0" w:space="0" w:color="auto"/>
            <w:bottom w:val="none" w:sz="0" w:space="0" w:color="auto"/>
            <w:right w:val="none" w:sz="0" w:space="0" w:color="auto"/>
          </w:divBdr>
        </w:div>
        <w:div w:id="1449081864">
          <w:marLeft w:val="0"/>
          <w:marRight w:val="0"/>
          <w:marTop w:val="0"/>
          <w:marBottom w:val="101"/>
          <w:divBdr>
            <w:top w:val="none" w:sz="0" w:space="0" w:color="auto"/>
            <w:left w:val="none" w:sz="0" w:space="0" w:color="auto"/>
            <w:bottom w:val="none" w:sz="0" w:space="0" w:color="auto"/>
            <w:right w:val="none" w:sz="0" w:space="0" w:color="auto"/>
          </w:divBdr>
        </w:div>
        <w:div w:id="112481717">
          <w:marLeft w:val="0"/>
          <w:marRight w:val="0"/>
          <w:marTop w:val="0"/>
          <w:marBottom w:val="101"/>
          <w:divBdr>
            <w:top w:val="none" w:sz="0" w:space="0" w:color="auto"/>
            <w:left w:val="none" w:sz="0" w:space="0" w:color="auto"/>
            <w:bottom w:val="none" w:sz="0" w:space="0" w:color="auto"/>
            <w:right w:val="none" w:sz="0" w:space="0" w:color="auto"/>
          </w:divBdr>
        </w:div>
        <w:div w:id="419523016">
          <w:marLeft w:val="0"/>
          <w:marRight w:val="0"/>
          <w:marTop w:val="0"/>
          <w:marBottom w:val="101"/>
          <w:divBdr>
            <w:top w:val="none" w:sz="0" w:space="0" w:color="auto"/>
            <w:left w:val="none" w:sz="0" w:space="0" w:color="auto"/>
            <w:bottom w:val="none" w:sz="0" w:space="0" w:color="auto"/>
            <w:right w:val="none" w:sz="0" w:space="0" w:color="auto"/>
          </w:divBdr>
        </w:div>
        <w:div w:id="1453399123">
          <w:marLeft w:val="0"/>
          <w:marRight w:val="0"/>
          <w:marTop w:val="0"/>
          <w:marBottom w:val="101"/>
          <w:divBdr>
            <w:top w:val="none" w:sz="0" w:space="0" w:color="auto"/>
            <w:left w:val="none" w:sz="0" w:space="0" w:color="auto"/>
            <w:bottom w:val="none" w:sz="0" w:space="0" w:color="auto"/>
            <w:right w:val="none" w:sz="0" w:space="0" w:color="auto"/>
          </w:divBdr>
        </w:div>
        <w:div w:id="1037897821">
          <w:marLeft w:val="1080"/>
          <w:marRight w:val="0"/>
          <w:marTop w:val="0"/>
          <w:marBottom w:val="101"/>
          <w:divBdr>
            <w:top w:val="none" w:sz="0" w:space="0" w:color="auto"/>
            <w:left w:val="none" w:sz="0" w:space="0" w:color="auto"/>
            <w:bottom w:val="none" w:sz="0" w:space="0" w:color="auto"/>
            <w:right w:val="none" w:sz="0" w:space="0" w:color="auto"/>
          </w:divBdr>
        </w:div>
        <w:div w:id="1343780438">
          <w:marLeft w:val="1080"/>
          <w:marRight w:val="0"/>
          <w:marTop w:val="0"/>
          <w:marBottom w:val="101"/>
          <w:divBdr>
            <w:top w:val="none" w:sz="0" w:space="0" w:color="auto"/>
            <w:left w:val="none" w:sz="0" w:space="0" w:color="auto"/>
            <w:bottom w:val="none" w:sz="0" w:space="0" w:color="auto"/>
            <w:right w:val="none" w:sz="0" w:space="0" w:color="auto"/>
          </w:divBdr>
        </w:div>
        <w:div w:id="1918393051">
          <w:marLeft w:val="1080"/>
          <w:marRight w:val="0"/>
          <w:marTop w:val="0"/>
          <w:marBottom w:val="101"/>
          <w:divBdr>
            <w:top w:val="none" w:sz="0" w:space="0" w:color="auto"/>
            <w:left w:val="none" w:sz="0" w:space="0" w:color="auto"/>
            <w:bottom w:val="none" w:sz="0" w:space="0" w:color="auto"/>
            <w:right w:val="none" w:sz="0" w:space="0" w:color="auto"/>
          </w:divBdr>
        </w:div>
        <w:div w:id="621225318">
          <w:marLeft w:val="1080"/>
          <w:marRight w:val="0"/>
          <w:marTop w:val="0"/>
          <w:marBottom w:val="101"/>
          <w:divBdr>
            <w:top w:val="none" w:sz="0" w:space="0" w:color="auto"/>
            <w:left w:val="none" w:sz="0" w:space="0" w:color="auto"/>
            <w:bottom w:val="none" w:sz="0" w:space="0" w:color="auto"/>
            <w:right w:val="none" w:sz="0" w:space="0" w:color="auto"/>
          </w:divBdr>
        </w:div>
        <w:div w:id="1251742548">
          <w:marLeft w:val="1080"/>
          <w:marRight w:val="0"/>
          <w:marTop w:val="0"/>
          <w:marBottom w:val="101"/>
          <w:divBdr>
            <w:top w:val="none" w:sz="0" w:space="0" w:color="auto"/>
            <w:left w:val="none" w:sz="0" w:space="0" w:color="auto"/>
            <w:bottom w:val="none" w:sz="0" w:space="0" w:color="auto"/>
            <w:right w:val="none" w:sz="0" w:space="0" w:color="auto"/>
          </w:divBdr>
        </w:div>
        <w:div w:id="2045128516">
          <w:marLeft w:val="1080"/>
          <w:marRight w:val="0"/>
          <w:marTop w:val="0"/>
          <w:marBottom w:val="101"/>
          <w:divBdr>
            <w:top w:val="none" w:sz="0" w:space="0" w:color="auto"/>
            <w:left w:val="none" w:sz="0" w:space="0" w:color="auto"/>
            <w:bottom w:val="none" w:sz="0" w:space="0" w:color="auto"/>
            <w:right w:val="none" w:sz="0" w:space="0" w:color="auto"/>
          </w:divBdr>
        </w:div>
        <w:div w:id="1343700657">
          <w:marLeft w:val="1080"/>
          <w:marRight w:val="0"/>
          <w:marTop w:val="0"/>
          <w:marBottom w:val="101"/>
          <w:divBdr>
            <w:top w:val="none" w:sz="0" w:space="0" w:color="auto"/>
            <w:left w:val="none" w:sz="0" w:space="0" w:color="auto"/>
            <w:bottom w:val="none" w:sz="0" w:space="0" w:color="auto"/>
            <w:right w:val="none" w:sz="0" w:space="0" w:color="auto"/>
          </w:divBdr>
        </w:div>
        <w:div w:id="661349172">
          <w:marLeft w:val="1080"/>
          <w:marRight w:val="0"/>
          <w:marTop w:val="0"/>
          <w:marBottom w:val="101"/>
          <w:divBdr>
            <w:top w:val="none" w:sz="0" w:space="0" w:color="auto"/>
            <w:left w:val="none" w:sz="0" w:space="0" w:color="auto"/>
            <w:bottom w:val="none" w:sz="0" w:space="0" w:color="auto"/>
            <w:right w:val="none" w:sz="0" w:space="0" w:color="auto"/>
          </w:divBdr>
        </w:div>
        <w:div w:id="1950813158">
          <w:marLeft w:val="1080"/>
          <w:marRight w:val="0"/>
          <w:marTop w:val="0"/>
          <w:marBottom w:val="101"/>
          <w:divBdr>
            <w:top w:val="none" w:sz="0" w:space="0" w:color="auto"/>
            <w:left w:val="none" w:sz="0" w:space="0" w:color="auto"/>
            <w:bottom w:val="none" w:sz="0" w:space="0" w:color="auto"/>
            <w:right w:val="none" w:sz="0" w:space="0" w:color="auto"/>
          </w:divBdr>
        </w:div>
        <w:div w:id="82844970">
          <w:marLeft w:val="0"/>
          <w:marRight w:val="0"/>
          <w:marTop w:val="0"/>
          <w:marBottom w:val="101"/>
          <w:divBdr>
            <w:top w:val="none" w:sz="0" w:space="0" w:color="auto"/>
            <w:left w:val="none" w:sz="0" w:space="0" w:color="auto"/>
            <w:bottom w:val="none" w:sz="0" w:space="0" w:color="auto"/>
            <w:right w:val="none" w:sz="0" w:space="0" w:color="auto"/>
          </w:divBdr>
        </w:div>
        <w:div w:id="1535532016">
          <w:marLeft w:val="0"/>
          <w:marRight w:val="0"/>
          <w:marTop w:val="0"/>
          <w:marBottom w:val="101"/>
          <w:divBdr>
            <w:top w:val="none" w:sz="0" w:space="0" w:color="auto"/>
            <w:left w:val="none" w:sz="0" w:space="0" w:color="auto"/>
            <w:bottom w:val="none" w:sz="0" w:space="0" w:color="auto"/>
            <w:right w:val="none" w:sz="0" w:space="0" w:color="auto"/>
          </w:divBdr>
        </w:div>
        <w:div w:id="1017775787">
          <w:marLeft w:val="0"/>
          <w:marRight w:val="0"/>
          <w:marTop w:val="0"/>
          <w:marBottom w:val="101"/>
          <w:divBdr>
            <w:top w:val="none" w:sz="0" w:space="0" w:color="auto"/>
            <w:left w:val="none" w:sz="0" w:space="0" w:color="auto"/>
            <w:bottom w:val="none" w:sz="0" w:space="0" w:color="auto"/>
            <w:right w:val="none" w:sz="0" w:space="0" w:color="auto"/>
          </w:divBdr>
        </w:div>
        <w:div w:id="1569074949">
          <w:marLeft w:val="0"/>
          <w:marRight w:val="0"/>
          <w:marTop w:val="0"/>
          <w:marBottom w:val="101"/>
          <w:divBdr>
            <w:top w:val="none" w:sz="0" w:space="0" w:color="auto"/>
            <w:left w:val="none" w:sz="0" w:space="0" w:color="auto"/>
            <w:bottom w:val="none" w:sz="0" w:space="0" w:color="auto"/>
            <w:right w:val="none" w:sz="0" w:space="0" w:color="auto"/>
          </w:divBdr>
        </w:div>
        <w:div w:id="1739207910">
          <w:marLeft w:val="0"/>
          <w:marRight w:val="0"/>
          <w:marTop w:val="0"/>
          <w:marBottom w:val="101"/>
          <w:divBdr>
            <w:top w:val="none" w:sz="0" w:space="0" w:color="auto"/>
            <w:left w:val="none" w:sz="0" w:space="0" w:color="auto"/>
            <w:bottom w:val="none" w:sz="0" w:space="0" w:color="auto"/>
            <w:right w:val="none" w:sz="0" w:space="0" w:color="auto"/>
          </w:divBdr>
        </w:div>
        <w:div w:id="1735545303">
          <w:marLeft w:val="0"/>
          <w:marRight w:val="0"/>
          <w:marTop w:val="0"/>
          <w:marBottom w:val="101"/>
          <w:divBdr>
            <w:top w:val="none" w:sz="0" w:space="0" w:color="auto"/>
            <w:left w:val="none" w:sz="0" w:space="0" w:color="auto"/>
            <w:bottom w:val="none" w:sz="0" w:space="0" w:color="auto"/>
            <w:right w:val="none" w:sz="0" w:space="0" w:color="auto"/>
          </w:divBdr>
        </w:div>
        <w:div w:id="1079131351">
          <w:marLeft w:val="0"/>
          <w:marRight w:val="0"/>
          <w:marTop w:val="0"/>
          <w:marBottom w:val="101"/>
          <w:divBdr>
            <w:top w:val="none" w:sz="0" w:space="0" w:color="auto"/>
            <w:left w:val="none" w:sz="0" w:space="0" w:color="auto"/>
            <w:bottom w:val="none" w:sz="0" w:space="0" w:color="auto"/>
            <w:right w:val="none" w:sz="0" w:space="0" w:color="auto"/>
          </w:divBdr>
        </w:div>
        <w:div w:id="549267123">
          <w:marLeft w:val="720"/>
          <w:marRight w:val="0"/>
          <w:marTop w:val="0"/>
          <w:marBottom w:val="101"/>
          <w:divBdr>
            <w:top w:val="none" w:sz="0" w:space="0" w:color="auto"/>
            <w:left w:val="none" w:sz="0" w:space="0" w:color="auto"/>
            <w:bottom w:val="none" w:sz="0" w:space="0" w:color="auto"/>
            <w:right w:val="none" w:sz="0" w:space="0" w:color="auto"/>
          </w:divBdr>
        </w:div>
        <w:div w:id="1143355344">
          <w:marLeft w:val="720"/>
          <w:marRight w:val="0"/>
          <w:marTop w:val="0"/>
          <w:marBottom w:val="101"/>
          <w:divBdr>
            <w:top w:val="none" w:sz="0" w:space="0" w:color="auto"/>
            <w:left w:val="none" w:sz="0" w:space="0" w:color="auto"/>
            <w:bottom w:val="none" w:sz="0" w:space="0" w:color="auto"/>
            <w:right w:val="none" w:sz="0" w:space="0" w:color="auto"/>
          </w:divBdr>
        </w:div>
        <w:div w:id="929585324">
          <w:marLeft w:val="720"/>
          <w:marRight w:val="0"/>
          <w:marTop w:val="0"/>
          <w:marBottom w:val="101"/>
          <w:divBdr>
            <w:top w:val="none" w:sz="0" w:space="0" w:color="auto"/>
            <w:left w:val="none" w:sz="0" w:space="0" w:color="auto"/>
            <w:bottom w:val="none" w:sz="0" w:space="0" w:color="auto"/>
            <w:right w:val="none" w:sz="0" w:space="0" w:color="auto"/>
          </w:divBdr>
        </w:div>
        <w:div w:id="1419250947">
          <w:marLeft w:val="720"/>
          <w:marRight w:val="0"/>
          <w:marTop w:val="0"/>
          <w:marBottom w:val="101"/>
          <w:divBdr>
            <w:top w:val="none" w:sz="0" w:space="0" w:color="auto"/>
            <w:left w:val="none" w:sz="0" w:space="0" w:color="auto"/>
            <w:bottom w:val="none" w:sz="0" w:space="0" w:color="auto"/>
            <w:right w:val="none" w:sz="0" w:space="0" w:color="auto"/>
          </w:divBdr>
        </w:div>
        <w:div w:id="713389494">
          <w:marLeft w:val="0"/>
          <w:marRight w:val="0"/>
          <w:marTop w:val="0"/>
          <w:marBottom w:val="101"/>
          <w:divBdr>
            <w:top w:val="none" w:sz="0" w:space="0" w:color="auto"/>
            <w:left w:val="none" w:sz="0" w:space="0" w:color="auto"/>
            <w:bottom w:val="none" w:sz="0" w:space="0" w:color="auto"/>
            <w:right w:val="none" w:sz="0" w:space="0" w:color="auto"/>
          </w:divBdr>
        </w:div>
        <w:div w:id="30694083">
          <w:marLeft w:val="0"/>
          <w:marRight w:val="0"/>
          <w:marTop w:val="0"/>
          <w:marBottom w:val="101"/>
          <w:divBdr>
            <w:top w:val="none" w:sz="0" w:space="0" w:color="auto"/>
            <w:left w:val="none" w:sz="0" w:space="0" w:color="auto"/>
            <w:bottom w:val="none" w:sz="0" w:space="0" w:color="auto"/>
            <w:right w:val="none" w:sz="0" w:space="0" w:color="auto"/>
          </w:divBdr>
        </w:div>
        <w:div w:id="475339377">
          <w:marLeft w:val="0"/>
          <w:marRight w:val="0"/>
          <w:marTop w:val="0"/>
          <w:marBottom w:val="101"/>
          <w:divBdr>
            <w:top w:val="none" w:sz="0" w:space="0" w:color="auto"/>
            <w:left w:val="none" w:sz="0" w:space="0" w:color="auto"/>
            <w:bottom w:val="none" w:sz="0" w:space="0" w:color="auto"/>
            <w:right w:val="none" w:sz="0" w:space="0" w:color="auto"/>
          </w:divBdr>
        </w:div>
        <w:div w:id="1742169106">
          <w:marLeft w:val="0"/>
          <w:marRight w:val="0"/>
          <w:marTop w:val="0"/>
          <w:marBottom w:val="101"/>
          <w:divBdr>
            <w:top w:val="none" w:sz="0" w:space="0" w:color="auto"/>
            <w:left w:val="none" w:sz="0" w:space="0" w:color="auto"/>
            <w:bottom w:val="none" w:sz="0" w:space="0" w:color="auto"/>
            <w:right w:val="none" w:sz="0" w:space="0" w:color="auto"/>
          </w:divBdr>
        </w:div>
        <w:div w:id="656691360">
          <w:marLeft w:val="0"/>
          <w:marRight w:val="0"/>
          <w:marTop w:val="0"/>
          <w:marBottom w:val="101"/>
          <w:divBdr>
            <w:top w:val="none" w:sz="0" w:space="0" w:color="auto"/>
            <w:left w:val="none" w:sz="0" w:space="0" w:color="auto"/>
            <w:bottom w:val="none" w:sz="0" w:space="0" w:color="auto"/>
            <w:right w:val="none" w:sz="0" w:space="0" w:color="auto"/>
          </w:divBdr>
        </w:div>
        <w:div w:id="968972360">
          <w:marLeft w:val="0"/>
          <w:marRight w:val="0"/>
          <w:marTop w:val="0"/>
          <w:marBottom w:val="101"/>
          <w:divBdr>
            <w:top w:val="none" w:sz="0" w:space="0" w:color="auto"/>
            <w:left w:val="none" w:sz="0" w:space="0" w:color="auto"/>
            <w:bottom w:val="none" w:sz="0" w:space="0" w:color="auto"/>
            <w:right w:val="none" w:sz="0" w:space="0" w:color="auto"/>
          </w:divBdr>
        </w:div>
        <w:div w:id="1437940949">
          <w:marLeft w:val="720"/>
          <w:marRight w:val="0"/>
          <w:marTop w:val="0"/>
          <w:marBottom w:val="101"/>
          <w:divBdr>
            <w:top w:val="none" w:sz="0" w:space="0" w:color="auto"/>
            <w:left w:val="none" w:sz="0" w:space="0" w:color="auto"/>
            <w:bottom w:val="none" w:sz="0" w:space="0" w:color="auto"/>
            <w:right w:val="none" w:sz="0" w:space="0" w:color="auto"/>
          </w:divBdr>
        </w:div>
        <w:div w:id="1246454551">
          <w:marLeft w:val="720"/>
          <w:marRight w:val="0"/>
          <w:marTop w:val="0"/>
          <w:marBottom w:val="101"/>
          <w:divBdr>
            <w:top w:val="none" w:sz="0" w:space="0" w:color="auto"/>
            <w:left w:val="none" w:sz="0" w:space="0" w:color="auto"/>
            <w:bottom w:val="none" w:sz="0" w:space="0" w:color="auto"/>
            <w:right w:val="none" w:sz="0" w:space="0" w:color="auto"/>
          </w:divBdr>
        </w:div>
        <w:div w:id="412312699">
          <w:marLeft w:val="720"/>
          <w:marRight w:val="0"/>
          <w:marTop w:val="0"/>
          <w:marBottom w:val="101"/>
          <w:divBdr>
            <w:top w:val="none" w:sz="0" w:space="0" w:color="auto"/>
            <w:left w:val="none" w:sz="0" w:space="0" w:color="auto"/>
            <w:bottom w:val="none" w:sz="0" w:space="0" w:color="auto"/>
            <w:right w:val="none" w:sz="0" w:space="0" w:color="auto"/>
          </w:divBdr>
        </w:div>
        <w:div w:id="1635528164">
          <w:marLeft w:val="720"/>
          <w:marRight w:val="0"/>
          <w:marTop w:val="0"/>
          <w:marBottom w:val="101"/>
          <w:divBdr>
            <w:top w:val="none" w:sz="0" w:space="0" w:color="auto"/>
            <w:left w:val="none" w:sz="0" w:space="0" w:color="auto"/>
            <w:bottom w:val="none" w:sz="0" w:space="0" w:color="auto"/>
            <w:right w:val="none" w:sz="0" w:space="0" w:color="auto"/>
          </w:divBdr>
        </w:div>
        <w:div w:id="352192071">
          <w:marLeft w:val="720"/>
          <w:marRight w:val="0"/>
          <w:marTop w:val="0"/>
          <w:marBottom w:val="101"/>
          <w:divBdr>
            <w:top w:val="none" w:sz="0" w:space="0" w:color="auto"/>
            <w:left w:val="none" w:sz="0" w:space="0" w:color="auto"/>
            <w:bottom w:val="none" w:sz="0" w:space="0" w:color="auto"/>
            <w:right w:val="none" w:sz="0" w:space="0" w:color="auto"/>
          </w:divBdr>
        </w:div>
        <w:div w:id="1712996864">
          <w:marLeft w:val="720"/>
          <w:marRight w:val="0"/>
          <w:marTop w:val="0"/>
          <w:marBottom w:val="101"/>
          <w:divBdr>
            <w:top w:val="none" w:sz="0" w:space="0" w:color="auto"/>
            <w:left w:val="none" w:sz="0" w:space="0" w:color="auto"/>
            <w:bottom w:val="none" w:sz="0" w:space="0" w:color="auto"/>
            <w:right w:val="none" w:sz="0" w:space="0" w:color="auto"/>
          </w:divBdr>
        </w:div>
        <w:div w:id="265386954">
          <w:marLeft w:val="720"/>
          <w:marRight w:val="0"/>
          <w:marTop w:val="0"/>
          <w:marBottom w:val="101"/>
          <w:divBdr>
            <w:top w:val="none" w:sz="0" w:space="0" w:color="auto"/>
            <w:left w:val="none" w:sz="0" w:space="0" w:color="auto"/>
            <w:bottom w:val="none" w:sz="0" w:space="0" w:color="auto"/>
            <w:right w:val="none" w:sz="0" w:space="0" w:color="auto"/>
          </w:divBdr>
        </w:div>
        <w:div w:id="545486058">
          <w:marLeft w:val="720"/>
          <w:marRight w:val="0"/>
          <w:marTop w:val="0"/>
          <w:marBottom w:val="101"/>
          <w:divBdr>
            <w:top w:val="none" w:sz="0" w:space="0" w:color="auto"/>
            <w:left w:val="none" w:sz="0" w:space="0" w:color="auto"/>
            <w:bottom w:val="none" w:sz="0" w:space="0" w:color="auto"/>
            <w:right w:val="none" w:sz="0" w:space="0" w:color="auto"/>
          </w:divBdr>
        </w:div>
        <w:div w:id="1645307481">
          <w:marLeft w:val="720"/>
          <w:marRight w:val="0"/>
          <w:marTop w:val="0"/>
          <w:marBottom w:val="101"/>
          <w:divBdr>
            <w:top w:val="none" w:sz="0" w:space="0" w:color="auto"/>
            <w:left w:val="none" w:sz="0" w:space="0" w:color="auto"/>
            <w:bottom w:val="none" w:sz="0" w:space="0" w:color="auto"/>
            <w:right w:val="none" w:sz="0" w:space="0" w:color="auto"/>
          </w:divBdr>
        </w:div>
        <w:div w:id="137646364">
          <w:marLeft w:val="720"/>
          <w:marRight w:val="0"/>
          <w:marTop w:val="0"/>
          <w:marBottom w:val="101"/>
          <w:divBdr>
            <w:top w:val="none" w:sz="0" w:space="0" w:color="auto"/>
            <w:left w:val="none" w:sz="0" w:space="0" w:color="auto"/>
            <w:bottom w:val="none" w:sz="0" w:space="0" w:color="auto"/>
            <w:right w:val="none" w:sz="0" w:space="0" w:color="auto"/>
          </w:divBdr>
        </w:div>
        <w:div w:id="846750796">
          <w:marLeft w:val="720"/>
          <w:marRight w:val="0"/>
          <w:marTop w:val="0"/>
          <w:marBottom w:val="101"/>
          <w:divBdr>
            <w:top w:val="none" w:sz="0" w:space="0" w:color="auto"/>
            <w:left w:val="none" w:sz="0" w:space="0" w:color="auto"/>
            <w:bottom w:val="none" w:sz="0" w:space="0" w:color="auto"/>
            <w:right w:val="none" w:sz="0" w:space="0" w:color="auto"/>
          </w:divBdr>
        </w:div>
        <w:div w:id="1698578801">
          <w:marLeft w:val="720"/>
          <w:marRight w:val="0"/>
          <w:marTop w:val="0"/>
          <w:marBottom w:val="101"/>
          <w:divBdr>
            <w:top w:val="none" w:sz="0" w:space="0" w:color="auto"/>
            <w:left w:val="none" w:sz="0" w:space="0" w:color="auto"/>
            <w:bottom w:val="none" w:sz="0" w:space="0" w:color="auto"/>
            <w:right w:val="none" w:sz="0" w:space="0" w:color="auto"/>
          </w:divBdr>
        </w:div>
        <w:div w:id="816537429">
          <w:marLeft w:val="720"/>
          <w:marRight w:val="0"/>
          <w:marTop w:val="0"/>
          <w:marBottom w:val="101"/>
          <w:divBdr>
            <w:top w:val="none" w:sz="0" w:space="0" w:color="auto"/>
            <w:left w:val="none" w:sz="0" w:space="0" w:color="auto"/>
            <w:bottom w:val="none" w:sz="0" w:space="0" w:color="auto"/>
            <w:right w:val="none" w:sz="0" w:space="0" w:color="auto"/>
          </w:divBdr>
        </w:div>
        <w:div w:id="1640453153">
          <w:marLeft w:val="720"/>
          <w:marRight w:val="0"/>
          <w:marTop w:val="0"/>
          <w:marBottom w:val="101"/>
          <w:divBdr>
            <w:top w:val="none" w:sz="0" w:space="0" w:color="auto"/>
            <w:left w:val="none" w:sz="0" w:space="0" w:color="auto"/>
            <w:bottom w:val="none" w:sz="0" w:space="0" w:color="auto"/>
            <w:right w:val="none" w:sz="0" w:space="0" w:color="auto"/>
          </w:divBdr>
        </w:div>
        <w:div w:id="85158041">
          <w:marLeft w:val="720"/>
          <w:marRight w:val="0"/>
          <w:marTop w:val="0"/>
          <w:marBottom w:val="101"/>
          <w:divBdr>
            <w:top w:val="none" w:sz="0" w:space="0" w:color="auto"/>
            <w:left w:val="none" w:sz="0" w:space="0" w:color="auto"/>
            <w:bottom w:val="none" w:sz="0" w:space="0" w:color="auto"/>
            <w:right w:val="none" w:sz="0" w:space="0" w:color="auto"/>
          </w:divBdr>
        </w:div>
        <w:div w:id="1422142730">
          <w:marLeft w:val="720"/>
          <w:marRight w:val="0"/>
          <w:marTop w:val="0"/>
          <w:marBottom w:val="101"/>
          <w:divBdr>
            <w:top w:val="none" w:sz="0" w:space="0" w:color="auto"/>
            <w:left w:val="none" w:sz="0" w:space="0" w:color="auto"/>
            <w:bottom w:val="none" w:sz="0" w:space="0" w:color="auto"/>
            <w:right w:val="none" w:sz="0" w:space="0" w:color="auto"/>
          </w:divBdr>
        </w:div>
        <w:div w:id="1638297381">
          <w:marLeft w:val="720"/>
          <w:marRight w:val="0"/>
          <w:marTop w:val="0"/>
          <w:marBottom w:val="101"/>
          <w:divBdr>
            <w:top w:val="none" w:sz="0" w:space="0" w:color="auto"/>
            <w:left w:val="none" w:sz="0" w:space="0" w:color="auto"/>
            <w:bottom w:val="none" w:sz="0" w:space="0" w:color="auto"/>
            <w:right w:val="none" w:sz="0" w:space="0" w:color="auto"/>
          </w:divBdr>
        </w:div>
        <w:div w:id="2001696168">
          <w:marLeft w:val="720"/>
          <w:marRight w:val="0"/>
          <w:marTop w:val="0"/>
          <w:marBottom w:val="101"/>
          <w:divBdr>
            <w:top w:val="none" w:sz="0" w:space="0" w:color="auto"/>
            <w:left w:val="none" w:sz="0" w:space="0" w:color="auto"/>
            <w:bottom w:val="none" w:sz="0" w:space="0" w:color="auto"/>
            <w:right w:val="none" w:sz="0" w:space="0" w:color="auto"/>
          </w:divBdr>
        </w:div>
        <w:div w:id="1734238271">
          <w:marLeft w:val="720"/>
          <w:marRight w:val="0"/>
          <w:marTop w:val="0"/>
          <w:marBottom w:val="101"/>
          <w:divBdr>
            <w:top w:val="none" w:sz="0" w:space="0" w:color="auto"/>
            <w:left w:val="none" w:sz="0" w:space="0" w:color="auto"/>
            <w:bottom w:val="none" w:sz="0" w:space="0" w:color="auto"/>
            <w:right w:val="none" w:sz="0" w:space="0" w:color="auto"/>
          </w:divBdr>
        </w:div>
        <w:div w:id="1752893590">
          <w:marLeft w:val="1080"/>
          <w:marRight w:val="0"/>
          <w:marTop w:val="0"/>
          <w:marBottom w:val="101"/>
          <w:divBdr>
            <w:top w:val="none" w:sz="0" w:space="0" w:color="auto"/>
            <w:left w:val="none" w:sz="0" w:space="0" w:color="auto"/>
            <w:bottom w:val="none" w:sz="0" w:space="0" w:color="auto"/>
            <w:right w:val="none" w:sz="0" w:space="0" w:color="auto"/>
          </w:divBdr>
        </w:div>
        <w:div w:id="1961960077">
          <w:marLeft w:val="1080"/>
          <w:marRight w:val="0"/>
          <w:marTop w:val="0"/>
          <w:marBottom w:val="101"/>
          <w:divBdr>
            <w:top w:val="none" w:sz="0" w:space="0" w:color="auto"/>
            <w:left w:val="none" w:sz="0" w:space="0" w:color="auto"/>
            <w:bottom w:val="none" w:sz="0" w:space="0" w:color="auto"/>
            <w:right w:val="none" w:sz="0" w:space="0" w:color="auto"/>
          </w:divBdr>
        </w:div>
        <w:div w:id="362436967">
          <w:marLeft w:val="1080"/>
          <w:marRight w:val="0"/>
          <w:marTop w:val="0"/>
          <w:marBottom w:val="101"/>
          <w:divBdr>
            <w:top w:val="none" w:sz="0" w:space="0" w:color="auto"/>
            <w:left w:val="none" w:sz="0" w:space="0" w:color="auto"/>
            <w:bottom w:val="none" w:sz="0" w:space="0" w:color="auto"/>
            <w:right w:val="none" w:sz="0" w:space="0" w:color="auto"/>
          </w:divBdr>
        </w:div>
        <w:div w:id="1962570297">
          <w:marLeft w:val="1080"/>
          <w:marRight w:val="0"/>
          <w:marTop w:val="0"/>
          <w:marBottom w:val="101"/>
          <w:divBdr>
            <w:top w:val="none" w:sz="0" w:space="0" w:color="auto"/>
            <w:left w:val="none" w:sz="0" w:space="0" w:color="auto"/>
            <w:bottom w:val="none" w:sz="0" w:space="0" w:color="auto"/>
            <w:right w:val="none" w:sz="0" w:space="0" w:color="auto"/>
          </w:divBdr>
        </w:div>
        <w:div w:id="790393209">
          <w:marLeft w:val="720"/>
          <w:marRight w:val="0"/>
          <w:marTop w:val="0"/>
          <w:marBottom w:val="101"/>
          <w:divBdr>
            <w:top w:val="none" w:sz="0" w:space="0" w:color="auto"/>
            <w:left w:val="none" w:sz="0" w:space="0" w:color="auto"/>
            <w:bottom w:val="none" w:sz="0" w:space="0" w:color="auto"/>
            <w:right w:val="none" w:sz="0" w:space="0" w:color="auto"/>
          </w:divBdr>
        </w:div>
        <w:div w:id="1240751015">
          <w:marLeft w:val="720"/>
          <w:marRight w:val="0"/>
          <w:marTop w:val="0"/>
          <w:marBottom w:val="101"/>
          <w:divBdr>
            <w:top w:val="none" w:sz="0" w:space="0" w:color="auto"/>
            <w:left w:val="none" w:sz="0" w:space="0" w:color="auto"/>
            <w:bottom w:val="none" w:sz="0" w:space="0" w:color="auto"/>
            <w:right w:val="none" w:sz="0" w:space="0" w:color="auto"/>
          </w:divBdr>
        </w:div>
        <w:div w:id="797726145">
          <w:marLeft w:val="720"/>
          <w:marRight w:val="0"/>
          <w:marTop w:val="0"/>
          <w:marBottom w:val="101"/>
          <w:divBdr>
            <w:top w:val="none" w:sz="0" w:space="0" w:color="auto"/>
            <w:left w:val="none" w:sz="0" w:space="0" w:color="auto"/>
            <w:bottom w:val="none" w:sz="0" w:space="0" w:color="auto"/>
            <w:right w:val="none" w:sz="0" w:space="0" w:color="auto"/>
          </w:divBdr>
        </w:div>
        <w:div w:id="1759709747">
          <w:marLeft w:val="720"/>
          <w:marRight w:val="0"/>
          <w:marTop w:val="0"/>
          <w:marBottom w:val="101"/>
          <w:divBdr>
            <w:top w:val="none" w:sz="0" w:space="0" w:color="auto"/>
            <w:left w:val="none" w:sz="0" w:space="0" w:color="auto"/>
            <w:bottom w:val="none" w:sz="0" w:space="0" w:color="auto"/>
            <w:right w:val="none" w:sz="0" w:space="0" w:color="auto"/>
          </w:divBdr>
        </w:div>
        <w:div w:id="1069687950">
          <w:marLeft w:val="720"/>
          <w:marRight w:val="0"/>
          <w:marTop w:val="0"/>
          <w:marBottom w:val="101"/>
          <w:divBdr>
            <w:top w:val="none" w:sz="0" w:space="0" w:color="auto"/>
            <w:left w:val="none" w:sz="0" w:space="0" w:color="auto"/>
            <w:bottom w:val="none" w:sz="0" w:space="0" w:color="auto"/>
            <w:right w:val="none" w:sz="0" w:space="0" w:color="auto"/>
          </w:divBdr>
        </w:div>
        <w:div w:id="1671330442">
          <w:marLeft w:val="720"/>
          <w:marRight w:val="0"/>
          <w:marTop w:val="0"/>
          <w:marBottom w:val="101"/>
          <w:divBdr>
            <w:top w:val="none" w:sz="0" w:space="0" w:color="auto"/>
            <w:left w:val="none" w:sz="0" w:space="0" w:color="auto"/>
            <w:bottom w:val="none" w:sz="0" w:space="0" w:color="auto"/>
            <w:right w:val="none" w:sz="0" w:space="0" w:color="auto"/>
          </w:divBdr>
        </w:div>
        <w:div w:id="906845337">
          <w:marLeft w:val="720"/>
          <w:marRight w:val="0"/>
          <w:marTop w:val="0"/>
          <w:marBottom w:val="101"/>
          <w:divBdr>
            <w:top w:val="none" w:sz="0" w:space="0" w:color="auto"/>
            <w:left w:val="none" w:sz="0" w:space="0" w:color="auto"/>
            <w:bottom w:val="none" w:sz="0" w:space="0" w:color="auto"/>
            <w:right w:val="none" w:sz="0" w:space="0" w:color="auto"/>
          </w:divBdr>
        </w:div>
        <w:div w:id="224996920">
          <w:marLeft w:val="720"/>
          <w:marRight w:val="0"/>
          <w:marTop w:val="0"/>
          <w:marBottom w:val="101"/>
          <w:divBdr>
            <w:top w:val="none" w:sz="0" w:space="0" w:color="auto"/>
            <w:left w:val="none" w:sz="0" w:space="0" w:color="auto"/>
            <w:bottom w:val="none" w:sz="0" w:space="0" w:color="auto"/>
            <w:right w:val="none" w:sz="0" w:space="0" w:color="auto"/>
          </w:divBdr>
        </w:div>
        <w:div w:id="508911736">
          <w:marLeft w:val="0"/>
          <w:marRight w:val="0"/>
          <w:marTop w:val="0"/>
          <w:marBottom w:val="101"/>
          <w:divBdr>
            <w:top w:val="none" w:sz="0" w:space="0" w:color="auto"/>
            <w:left w:val="none" w:sz="0" w:space="0" w:color="auto"/>
            <w:bottom w:val="none" w:sz="0" w:space="0" w:color="auto"/>
            <w:right w:val="none" w:sz="0" w:space="0" w:color="auto"/>
          </w:divBdr>
        </w:div>
        <w:div w:id="2125801253">
          <w:marLeft w:val="0"/>
          <w:marRight w:val="0"/>
          <w:marTop w:val="0"/>
          <w:marBottom w:val="101"/>
          <w:divBdr>
            <w:top w:val="none" w:sz="0" w:space="0" w:color="auto"/>
            <w:left w:val="none" w:sz="0" w:space="0" w:color="auto"/>
            <w:bottom w:val="none" w:sz="0" w:space="0" w:color="auto"/>
            <w:right w:val="none" w:sz="0" w:space="0" w:color="auto"/>
          </w:divBdr>
        </w:div>
        <w:div w:id="1404841068">
          <w:marLeft w:val="0"/>
          <w:marRight w:val="0"/>
          <w:marTop w:val="0"/>
          <w:marBottom w:val="101"/>
          <w:divBdr>
            <w:top w:val="none" w:sz="0" w:space="0" w:color="auto"/>
            <w:left w:val="none" w:sz="0" w:space="0" w:color="auto"/>
            <w:bottom w:val="none" w:sz="0" w:space="0" w:color="auto"/>
            <w:right w:val="none" w:sz="0" w:space="0" w:color="auto"/>
          </w:divBdr>
        </w:div>
        <w:div w:id="760103897">
          <w:marLeft w:val="0"/>
          <w:marRight w:val="0"/>
          <w:marTop w:val="0"/>
          <w:marBottom w:val="101"/>
          <w:divBdr>
            <w:top w:val="none" w:sz="0" w:space="0" w:color="auto"/>
            <w:left w:val="none" w:sz="0" w:space="0" w:color="auto"/>
            <w:bottom w:val="none" w:sz="0" w:space="0" w:color="auto"/>
            <w:right w:val="none" w:sz="0" w:space="0" w:color="auto"/>
          </w:divBdr>
        </w:div>
        <w:div w:id="1954241276">
          <w:marLeft w:val="0"/>
          <w:marRight w:val="0"/>
          <w:marTop w:val="0"/>
          <w:marBottom w:val="101"/>
          <w:divBdr>
            <w:top w:val="none" w:sz="0" w:space="0" w:color="auto"/>
            <w:left w:val="none" w:sz="0" w:space="0" w:color="auto"/>
            <w:bottom w:val="none" w:sz="0" w:space="0" w:color="auto"/>
            <w:right w:val="none" w:sz="0" w:space="0" w:color="auto"/>
          </w:divBdr>
        </w:div>
        <w:div w:id="158886445">
          <w:marLeft w:val="0"/>
          <w:marRight w:val="0"/>
          <w:marTop w:val="0"/>
          <w:marBottom w:val="101"/>
          <w:divBdr>
            <w:top w:val="none" w:sz="0" w:space="0" w:color="auto"/>
            <w:left w:val="none" w:sz="0" w:space="0" w:color="auto"/>
            <w:bottom w:val="none" w:sz="0" w:space="0" w:color="auto"/>
            <w:right w:val="none" w:sz="0" w:space="0" w:color="auto"/>
          </w:divBdr>
        </w:div>
        <w:div w:id="1791124247">
          <w:marLeft w:val="0"/>
          <w:marRight w:val="0"/>
          <w:marTop w:val="0"/>
          <w:marBottom w:val="101"/>
          <w:divBdr>
            <w:top w:val="none" w:sz="0" w:space="0" w:color="auto"/>
            <w:left w:val="none" w:sz="0" w:space="0" w:color="auto"/>
            <w:bottom w:val="none" w:sz="0" w:space="0" w:color="auto"/>
            <w:right w:val="none" w:sz="0" w:space="0" w:color="auto"/>
          </w:divBdr>
        </w:div>
        <w:div w:id="28532010">
          <w:marLeft w:val="0"/>
          <w:marRight w:val="0"/>
          <w:marTop w:val="0"/>
          <w:marBottom w:val="101"/>
          <w:divBdr>
            <w:top w:val="none" w:sz="0" w:space="0" w:color="auto"/>
            <w:left w:val="none" w:sz="0" w:space="0" w:color="auto"/>
            <w:bottom w:val="none" w:sz="0" w:space="0" w:color="auto"/>
            <w:right w:val="none" w:sz="0" w:space="0" w:color="auto"/>
          </w:divBdr>
        </w:div>
        <w:div w:id="738288859">
          <w:marLeft w:val="0"/>
          <w:marRight w:val="0"/>
          <w:marTop w:val="0"/>
          <w:marBottom w:val="101"/>
          <w:divBdr>
            <w:top w:val="none" w:sz="0" w:space="0" w:color="auto"/>
            <w:left w:val="none" w:sz="0" w:space="0" w:color="auto"/>
            <w:bottom w:val="none" w:sz="0" w:space="0" w:color="auto"/>
            <w:right w:val="none" w:sz="0" w:space="0" w:color="auto"/>
          </w:divBdr>
        </w:div>
        <w:div w:id="1000432288">
          <w:marLeft w:val="0"/>
          <w:marRight w:val="0"/>
          <w:marTop w:val="0"/>
          <w:marBottom w:val="101"/>
          <w:divBdr>
            <w:top w:val="none" w:sz="0" w:space="0" w:color="auto"/>
            <w:left w:val="none" w:sz="0" w:space="0" w:color="auto"/>
            <w:bottom w:val="none" w:sz="0" w:space="0" w:color="auto"/>
            <w:right w:val="none" w:sz="0" w:space="0" w:color="auto"/>
          </w:divBdr>
        </w:div>
        <w:div w:id="1022168526">
          <w:marLeft w:val="0"/>
          <w:marRight w:val="0"/>
          <w:marTop w:val="0"/>
          <w:marBottom w:val="101"/>
          <w:divBdr>
            <w:top w:val="none" w:sz="0" w:space="0" w:color="auto"/>
            <w:left w:val="none" w:sz="0" w:space="0" w:color="auto"/>
            <w:bottom w:val="none" w:sz="0" w:space="0" w:color="auto"/>
            <w:right w:val="none" w:sz="0" w:space="0" w:color="auto"/>
          </w:divBdr>
        </w:div>
        <w:div w:id="805514399">
          <w:marLeft w:val="0"/>
          <w:marRight w:val="0"/>
          <w:marTop w:val="0"/>
          <w:marBottom w:val="101"/>
          <w:divBdr>
            <w:top w:val="none" w:sz="0" w:space="0" w:color="auto"/>
            <w:left w:val="none" w:sz="0" w:space="0" w:color="auto"/>
            <w:bottom w:val="none" w:sz="0" w:space="0" w:color="auto"/>
            <w:right w:val="none" w:sz="0" w:space="0" w:color="auto"/>
          </w:divBdr>
        </w:div>
        <w:div w:id="1778598211">
          <w:marLeft w:val="0"/>
          <w:marRight w:val="0"/>
          <w:marTop w:val="0"/>
          <w:marBottom w:val="101"/>
          <w:divBdr>
            <w:top w:val="none" w:sz="0" w:space="0" w:color="auto"/>
            <w:left w:val="none" w:sz="0" w:space="0" w:color="auto"/>
            <w:bottom w:val="none" w:sz="0" w:space="0" w:color="auto"/>
            <w:right w:val="none" w:sz="0" w:space="0" w:color="auto"/>
          </w:divBdr>
        </w:div>
        <w:div w:id="1182624833">
          <w:marLeft w:val="0"/>
          <w:marRight w:val="0"/>
          <w:marTop w:val="0"/>
          <w:marBottom w:val="101"/>
          <w:divBdr>
            <w:top w:val="none" w:sz="0" w:space="0" w:color="auto"/>
            <w:left w:val="none" w:sz="0" w:space="0" w:color="auto"/>
            <w:bottom w:val="none" w:sz="0" w:space="0" w:color="auto"/>
            <w:right w:val="none" w:sz="0" w:space="0" w:color="auto"/>
          </w:divBdr>
        </w:div>
        <w:div w:id="268438523">
          <w:marLeft w:val="0"/>
          <w:marRight w:val="0"/>
          <w:marTop w:val="0"/>
          <w:marBottom w:val="101"/>
          <w:divBdr>
            <w:top w:val="none" w:sz="0" w:space="0" w:color="auto"/>
            <w:left w:val="none" w:sz="0" w:space="0" w:color="auto"/>
            <w:bottom w:val="none" w:sz="0" w:space="0" w:color="auto"/>
            <w:right w:val="none" w:sz="0" w:space="0" w:color="auto"/>
          </w:divBdr>
        </w:div>
        <w:div w:id="504982131">
          <w:marLeft w:val="0"/>
          <w:marRight w:val="0"/>
          <w:marTop w:val="0"/>
          <w:marBottom w:val="101"/>
          <w:divBdr>
            <w:top w:val="none" w:sz="0" w:space="0" w:color="auto"/>
            <w:left w:val="none" w:sz="0" w:space="0" w:color="auto"/>
            <w:bottom w:val="none" w:sz="0" w:space="0" w:color="auto"/>
            <w:right w:val="none" w:sz="0" w:space="0" w:color="auto"/>
          </w:divBdr>
        </w:div>
        <w:div w:id="1885286814">
          <w:marLeft w:val="0"/>
          <w:marRight w:val="0"/>
          <w:marTop w:val="101"/>
          <w:marBottom w:val="101"/>
          <w:divBdr>
            <w:top w:val="none" w:sz="0" w:space="0" w:color="auto"/>
            <w:left w:val="none" w:sz="0" w:space="0" w:color="auto"/>
            <w:bottom w:val="none" w:sz="0" w:space="0" w:color="auto"/>
            <w:right w:val="none" w:sz="0" w:space="0" w:color="auto"/>
          </w:divBdr>
        </w:div>
        <w:div w:id="374041048">
          <w:marLeft w:val="0"/>
          <w:marRight w:val="0"/>
          <w:marTop w:val="0"/>
          <w:marBottom w:val="101"/>
          <w:divBdr>
            <w:top w:val="none" w:sz="0" w:space="0" w:color="auto"/>
            <w:left w:val="none" w:sz="0" w:space="0" w:color="auto"/>
            <w:bottom w:val="none" w:sz="0" w:space="0" w:color="auto"/>
            <w:right w:val="none" w:sz="0" w:space="0" w:color="auto"/>
          </w:divBdr>
        </w:div>
        <w:div w:id="781268807">
          <w:marLeft w:val="0"/>
          <w:marRight w:val="0"/>
          <w:marTop w:val="0"/>
          <w:marBottom w:val="101"/>
          <w:divBdr>
            <w:top w:val="none" w:sz="0" w:space="0" w:color="auto"/>
            <w:left w:val="none" w:sz="0" w:space="0" w:color="auto"/>
            <w:bottom w:val="none" w:sz="0" w:space="0" w:color="auto"/>
            <w:right w:val="none" w:sz="0" w:space="0" w:color="auto"/>
          </w:divBdr>
        </w:div>
        <w:div w:id="658122059">
          <w:marLeft w:val="720"/>
          <w:marRight w:val="0"/>
          <w:marTop w:val="0"/>
          <w:marBottom w:val="101"/>
          <w:divBdr>
            <w:top w:val="none" w:sz="0" w:space="0" w:color="auto"/>
            <w:left w:val="none" w:sz="0" w:space="0" w:color="auto"/>
            <w:bottom w:val="none" w:sz="0" w:space="0" w:color="auto"/>
            <w:right w:val="none" w:sz="0" w:space="0" w:color="auto"/>
          </w:divBdr>
        </w:div>
        <w:div w:id="991132280">
          <w:marLeft w:val="720"/>
          <w:marRight w:val="0"/>
          <w:marTop w:val="0"/>
          <w:marBottom w:val="101"/>
          <w:divBdr>
            <w:top w:val="none" w:sz="0" w:space="0" w:color="auto"/>
            <w:left w:val="none" w:sz="0" w:space="0" w:color="auto"/>
            <w:bottom w:val="none" w:sz="0" w:space="0" w:color="auto"/>
            <w:right w:val="none" w:sz="0" w:space="0" w:color="auto"/>
          </w:divBdr>
        </w:div>
        <w:div w:id="28917598">
          <w:marLeft w:val="720"/>
          <w:marRight w:val="0"/>
          <w:marTop w:val="0"/>
          <w:marBottom w:val="101"/>
          <w:divBdr>
            <w:top w:val="none" w:sz="0" w:space="0" w:color="auto"/>
            <w:left w:val="none" w:sz="0" w:space="0" w:color="auto"/>
            <w:bottom w:val="none" w:sz="0" w:space="0" w:color="auto"/>
            <w:right w:val="none" w:sz="0" w:space="0" w:color="auto"/>
          </w:divBdr>
        </w:div>
        <w:div w:id="74019490">
          <w:marLeft w:val="720"/>
          <w:marRight w:val="0"/>
          <w:marTop w:val="0"/>
          <w:marBottom w:val="101"/>
          <w:divBdr>
            <w:top w:val="none" w:sz="0" w:space="0" w:color="auto"/>
            <w:left w:val="none" w:sz="0" w:space="0" w:color="auto"/>
            <w:bottom w:val="none" w:sz="0" w:space="0" w:color="auto"/>
            <w:right w:val="none" w:sz="0" w:space="0" w:color="auto"/>
          </w:divBdr>
        </w:div>
        <w:div w:id="1290434989">
          <w:marLeft w:val="0"/>
          <w:marRight w:val="0"/>
          <w:marTop w:val="0"/>
          <w:marBottom w:val="101"/>
          <w:divBdr>
            <w:top w:val="none" w:sz="0" w:space="0" w:color="auto"/>
            <w:left w:val="none" w:sz="0" w:space="0" w:color="auto"/>
            <w:bottom w:val="none" w:sz="0" w:space="0" w:color="auto"/>
            <w:right w:val="none" w:sz="0" w:space="0" w:color="auto"/>
          </w:divBdr>
        </w:div>
        <w:div w:id="493686531">
          <w:marLeft w:val="720"/>
          <w:marRight w:val="0"/>
          <w:marTop w:val="0"/>
          <w:marBottom w:val="101"/>
          <w:divBdr>
            <w:top w:val="none" w:sz="0" w:space="0" w:color="auto"/>
            <w:left w:val="none" w:sz="0" w:space="0" w:color="auto"/>
            <w:bottom w:val="none" w:sz="0" w:space="0" w:color="auto"/>
            <w:right w:val="none" w:sz="0" w:space="0" w:color="auto"/>
          </w:divBdr>
        </w:div>
        <w:div w:id="2111393189">
          <w:marLeft w:val="720"/>
          <w:marRight w:val="0"/>
          <w:marTop w:val="0"/>
          <w:marBottom w:val="101"/>
          <w:divBdr>
            <w:top w:val="none" w:sz="0" w:space="0" w:color="auto"/>
            <w:left w:val="none" w:sz="0" w:space="0" w:color="auto"/>
            <w:bottom w:val="none" w:sz="0" w:space="0" w:color="auto"/>
            <w:right w:val="none" w:sz="0" w:space="0" w:color="auto"/>
          </w:divBdr>
        </w:div>
        <w:div w:id="1088575028">
          <w:marLeft w:val="720"/>
          <w:marRight w:val="0"/>
          <w:marTop w:val="0"/>
          <w:marBottom w:val="101"/>
          <w:divBdr>
            <w:top w:val="none" w:sz="0" w:space="0" w:color="auto"/>
            <w:left w:val="none" w:sz="0" w:space="0" w:color="auto"/>
            <w:bottom w:val="none" w:sz="0" w:space="0" w:color="auto"/>
            <w:right w:val="none" w:sz="0" w:space="0" w:color="auto"/>
          </w:divBdr>
        </w:div>
        <w:div w:id="922224089">
          <w:marLeft w:val="0"/>
          <w:marRight w:val="0"/>
          <w:marTop w:val="0"/>
          <w:marBottom w:val="101"/>
          <w:divBdr>
            <w:top w:val="none" w:sz="0" w:space="0" w:color="auto"/>
            <w:left w:val="none" w:sz="0" w:space="0" w:color="auto"/>
            <w:bottom w:val="none" w:sz="0" w:space="0" w:color="auto"/>
            <w:right w:val="none" w:sz="0" w:space="0" w:color="auto"/>
          </w:divBdr>
        </w:div>
        <w:div w:id="1397243678">
          <w:marLeft w:val="720"/>
          <w:marRight w:val="0"/>
          <w:marTop w:val="0"/>
          <w:marBottom w:val="101"/>
          <w:divBdr>
            <w:top w:val="none" w:sz="0" w:space="0" w:color="auto"/>
            <w:left w:val="none" w:sz="0" w:space="0" w:color="auto"/>
            <w:bottom w:val="none" w:sz="0" w:space="0" w:color="auto"/>
            <w:right w:val="none" w:sz="0" w:space="0" w:color="auto"/>
          </w:divBdr>
        </w:div>
        <w:div w:id="54934332">
          <w:marLeft w:val="720"/>
          <w:marRight w:val="0"/>
          <w:marTop w:val="0"/>
          <w:marBottom w:val="101"/>
          <w:divBdr>
            <w:top w:val="none" w:sz="0" w:space="0" w:color="auto"/>
            <w:left w:val="none" w:sz="0" w:space="0" w:color="auto"/>
            <w:bottom w:val="none" w:sz="0" w:space="0" w:color="auto"/>
            <w:right w:val="none" w:sz="0" w:space="0" w:color="auto"/>
          </w:divBdr>
        </w:div>
        <w:div w:id="2084521855">
          <w:marLeft w:val="720"/>
          <w:marRight w:val="0"/>
          <w:marTop w:val="0"/>
          <w:marBottom w:val="101"/>
          <w:divBdr>
            <w:top w:val="none" w:sz="0" w:space="0" w:color="auto"/>
            <w:left w:val="none" w:sz="0" w:space="0" w:color="auto"/>
            <w:bottom w:val="none" w:sz="0" w:space="0" w:color="auto"/>
            <w:right w:val="none" w:sz="0" w:space="0" w:color="auto"/>
          </w:divBdr>
        </w:div>
        <w:div w:id="35205100">
          <w:marLeft w:val="720"/>
          <w:marRight w:val="0"/>
          <w:marTop w:val="0"/>
          <w:marBottom w:val="101"/>
          <w:divBdr>
            <w:top w:val="none" w:sz="0" w:space="0" w:color="auto"/>
            <w:left w:val="none" w:sz="0" w:space="0" w:color="auto"/>
            <w:bottom w:val="none" w:sz="0" w:space="0" w:color="auto"/>
            <w:right w:val="none" w:sz="0" w:space="0" w:color="auto"/>
          </w:divBdr>
        </w:div>
        <w:div w:id="2000503885">
          <w:marLeft w:val="0"/>
          <w:marRight w:val="0"/>
          <w:marTop w:val="0"/>
          <w:marBottom w:val="101"/>
          <w:divBdr>
            <w:top w:val="none" w:sz="0" w:space="0" w:color="auto"/>
            <w:left w:val="none" w:sz="0" w:space="0" w:color="auto"/>
            <w:bottom w:val="none" w:sz="0" w:space="0" w:color="auto"/>
            <w:right w:val="none" w:sz="0" w:space="0" w:color="auto"/>
          </w:divBdr>
        </w:div>
        <w:div w:id="1721785998">
          <w:marLeft w:val="0"/>
          <w:marRight w:val="0"/>
          <w:marTop w:val="0"/>
          <w:marBottom w:val="101"/>
          <w:divBdr>
            <w:top w:val="none" w:sz="0" w:space="0" w:color="auto"/>
            <w:left w:val="none" w:sz="0" w:space="0" w:color="auto"/>
            <w:bottom w:val="none" w:sz="0" w:space="0" w:color="auto"/>
            <w:right w:val="none" w:sz="0" w:space="0" w:color="auto"/>
          </w:divBdr>
        </w:div>
        <w:div w:id="161431759">
          <w:marLeft w:val="0"/>
          <w:marRight w:val="0"/>
          <w:marTop w:val="0"/>
          <w:marBottom w:val="101"/>
          <w:divBdr>
            <w:top w:val="none" w:sz="0" w:space="0" w:color="auto"/>
            <w:left w:val="none" w:sz="0" w:space="0" w:color="auto"/>
            <w:bottom w:val="none" w:sz="0" w:space="0" w:color="auto"/>
            <w:right w:val="none" w:sz="0" w:space="0" w:color="auto"/>
          </w:divBdr>
        </w:div>
        <w:div w:id="1503661230">
          <w:marLeft w:val="0"/>
          <w:marRight w:val="0"/>
          <w:marTop w:val="0"/>
          <w:marBottom w:val="101"/>
          <w:divBdr>
            <w:top w:val="none" w:sz="0" w:space="0" w:color="auto"/>
            <w:left w:val="none" w:sz="0" w:space="0" w:color="auto"/>
            <w:bottom w:val="none" w:sz="0" w:space="0" w:color="auto"/>
            <w:right w:val="none" w:sz="0" w:space="0" w:color="auto"/>
          </w:divBdr>
        </w:div>
        <w:div w:id="74742791">
          <w:marLeft w:val="0"/>
          <w:marRight w:val="0"/>
          <w:marTop w:val="0"/>
          <w:marBottom w:val="101"/>
          <w:divBdr>
            <w:top w:val="none" w:sz="0" w:space="0" w:color="auto"/>
            <w:left w:val="none" w:sz="0" w:space="0" w:color="auto"/>
            <w:bottom w:val="none" w:sz="0" w:space="0" w:color="auto"/>
            <w:right w:val="none" w:sz="0" w:space="0" w:color="auto"/>
          </w:divBdr>
        </w:div>
        <w:div w:id="1464303386">
          <w:marLeft w:val="0"/>
          <w:marRight w:val="0"/>
          <w:marTop w:val="0"/>
          <w:marBottom w:val="101"/>
          <w:divBdr>
            <w:top w:val="none" w:sz="0" w:space="0" w:color="auto"/>
            <w:left w:val="none" w:sz="0" w:space="0" w:color="auto"/>
            <w:bottom w:val="none" w:sz="0" w:space="0" w:color="auto"/>
            <w:right w:val="none" w:sz="0" w:space="0" w:color="auto"/>
          </w:divBdr>
        </w:div>
        <w:div w:id="1219511646">
          <w:marLeft w:val="0"/>
          <w:marRight w:val="0"/>
          <w:marTop w:val="0"/>
          <w:marBottom w:val="101"/>
          <w:divBdr>
            <w:top w:val="none" w:sz="0" w:space="0" w:color="auto"/>
            <w:left w:val="none" w:sz="0" w:space="0" w:color="auto"/>
            <w:bottom w:val="none" w:sz="0" w:space="0" w:color="auto"/>
            <w:right w:val="none" w:sz="0" w:space="0" w:color="auto"/>
          </w:divBdr>
        </w:div>
        <w:div w:id="1104347807">
          <w:marLeft w:val="0"/>
          <w:marRight w:val="0"/>
          <w:marTop w:val="0"/>
          <w:marBottom w:val="101"/>
          <w:divBdr>
            <w:top w:val="none" w:sz="0" w:space="0" w:color="auto"/>
            <w:left w:val="none" w:sz="0" w:space="0" w:color="auto"/>
            <w:bottom w:val="none" w:sz="0" w:space="0" w:color="auto"/>
            <w:right w:val="none" w:sz="0" w:space="0" w:color="auto"/>
          </w:divBdr>
        </w:div>
        <w:div w:id="657347543">
          <w:marLeft w:val="0"/>
          <w:marRight w:val="0"/>
          <w:marTop w:val="101"/>
          <w:marBottom w:val="74"/>
          <w:divBdr>
            <w:top w:val="none" w:sz="0" w:space="0" w:color="auto"/>
            <w:left w:val="none" w:sz="0" w:space="0" w:color="auto"/>
            <w:bottom w:val="none" w:sz="0" w:space="0" w:color="auto"/>
            <w:right w:val="none" w:sz="0" w:space="0" w:color="auto"/>
          </w:divBdr>
        </w:div>
        <w:div w:id="291789577">
          <w:marLeft w:val="0"/>
          <w:marRight w:val="0"/>
          <w:marTop w:val="0"/>
          <w:marBottom w:val="74"/>
          <w:divBdr>
            <w:top w:val="none" w:sz="0" w:space="0" w:color="auto"/>
            <w:left w:val="none" w:sz="0" w:space="0" w:color="auto"/>
            <w:bottom w:val="none" w:sz="0" w:space="0" w:color="auto"/>
            <w:right w:val="none" w:sz="0" w:space="0" w:color="auto"/>
          </w:divBdr>
        </w:div>
        <w:div w:id="135076919">
          <w:marLeft w:val="0"/>
          <w:marRight w:val="0"/>
          <w:marTop w:val="0"/>
          <w:marBottom w:val="74"/>
          <w:divBdr>
            <w:top w:val="none" w:sz="0" w:space="0" w:color="auto"/>
            <w:left w:val="none" w:sz="0" w:space="0" w:color="auto"/>
            <w:bottom w:val="none" w:sz="0" w:space="0" w:color="auto"/>
            <w:right w:val="none" w:sz="0" w:space="0" w:color="auto"/>
          </w:divBdr>
        </w:div>
        <w:div w:id="215050818">
          <w:marLeft w:val="0"/>
          <w:marRight w:val="0"/>
          <w:marTop w:val="0"/>
          <w:marBottom w:val="74"/>
          <w:divBdr>
            <w:top w:val="none" w:sz="0" w:space="0" w:color="auto"/>
            <w:left w:val="none" w:sz="0" w:space="0" w:color="auto"/>
            <w:bottom w:val="none" w:sz="0" w:space="0" w:color="auto"/>
            <w:right w:val="none" w:sz="0" w:space="0" w:color="auto"/>
          </w:divBdr>
        </w:div>
        <w:div w:id="311250608">
          <w:marLeft w:val="0"/>
          <w:marRight w:val="0"/>
          <w:marTop w:val="0"/>
          <w:marBottom w:val="74"/>
          <w:divBdr>
            <w:top w:val="none" w:sz="0" w:space="0" w:color="auto"/>
            <w:left w:val="none" w:sz="0" w:space="0" w:color="auto"/>
            <w:bottom w:val="none" w:sz="0" w:space="0" w:color="auto"/>
            <w:right w:val="none" w:sz="0" w:space="0" w:color="auto"/>
          </w:divBdr>
        </w:div>
        <w:div w:id="1628513849">
          <w:marLeft w:val="0"/>
          <w:marRight w:val="0"/>
          <w:marTop w:val="0"/>
          <w:marBottom w:val="74"/>
          <w:divBdr>
            <w:top w:val="none" w:sz="0" w:space="0" w:color="auto"/>
            <w:left w:val="none" w:sz="0" w:space="0" w:color="auto"/>
            <w:bottom w:val="none" w:sz="0" w:space="0" w:color="auto"/>
            <w:right w:val="none" w:sz="0" w:space="0" w:color="auto"/>
          </w:divBdr>
        </w:div>
        <w:div w:id="2068727160">
          <w:marLeft w:val="0"/>
          <w:marRight w:val="0"/>
          <w:marTop w:val="0"/>
          <w:marBottom w:val="74"/>
          <w:divBdr>
            <w:top w:val="none" w:sz="0" w:space="0" w:color="auto"/>
            <w:left w:val="none" w:sz="0" w:space="0" w:color="auto"/>
            <w:bottom w:val="none" w:sz="0" w:space="0" w:color="auto"/>
            <w:right w:val="none" w:sz="0" w:space="0" w:color="auto"/>
          </w:divBdr>
        </w:div>
        <w:div w:id="737097856">
          <w:marLeft w:val="0"/>
          <w:marRight w:val="0"/>
          <w:marTop w:val="0"/>
          <w:marBottom w:val="74"/>
          <w:divBdr>
            <w:top w:val="none" w:sz="0" w:space="0" w:color="auto"/>
            <w:left w:val="none" w:sz="0" w:space="0" w:color="auto"/>
            <w:bottom w:val="none" w:sz="0" w:space="0" w:color="auto"/>
            <w:right w:val="none" w:sz="0" w:space="0" w:color="auto"/>
          </w:divBdr>
        </w:div>
        <w:div w:id="831410655">
          <w:marLeft w:val="0"/>
          <w:marRight w:val="0"/>
          <w:marTop w:val="0"/>
          <w:marBottom w:val="74"/>
          <w:divBdr>
            <w:top w:val="none" w:sz="0" w:space="0" w:color="auto"/>
            <w:left w:val="none" w:sz="0" w:space="0" w:color="auto"/>
            <w:bottom w:val="none" w:sz="0" w:space="0" w:color="auto"/>
            <w:right w:val="none" w:sz="0" w:space="0" w:color="auto"/>
          </w:divBdr>
        </w:div>
        <w:div w:id="53089761">
          <w:marLeft w:val="0"/>
          <w:marRight w:val="0"/>
          <w:marTop w:val="0"/>
          <w:marBottom w:val="74"/>
          <w:divBdr>
            <w:top w:val="none" w:sz="0" w:space="0" w:color="auto"/>
            <w:left w:val="none" w:sz="0" w:space="0" w:color="auto"/>
            <w:bottom w:val="none" w:sz="0" w:space="0" w:color="auto"/>
            <w:right w:val="none" w:sz="0" w:space="0" w:color="auto"/>
          </w:divBdr>
        </w:div>
        <w:div w:id="1591695585">
          <w:marLeft w:val="0"/>
          <w:marRight w:val="0"/>
          <w:marTop w:val="0"/>
          <w:marBottom w:val="74"/>
          <w:divBdr>
            <w:top w:val="none" w:sz="0" w:space="0" w:color="auto"/>
            <w:left w:val="none" w:sz="0" w:space="0" w:color="auto"/>
            <w:bottom w:val="none" w:sz="0" w:space="0" w:color="auto"/>
            <w:right w:val="none" w:sz="0" w:space="0" w:color="auto"/>
          </w:divBdr>
        </w:div>
        <w:div w:id="1667367272">
          <w:marLeft w:val="0"/>
          <w:marRight w:val="0"/>
          <w:marTop w:val="0"/>
          <w:marBottom w:val="74"/>
          <w:divBdr>
            <w:top w:val="none" w:sz="0" w:space="0" w:color="auto"/>
            <w:left w:val="none" w:sz="0" w:space="0" w:color="auto"/>
            <w:bottom w:val="none" w:sz="0" w:space="0" w:color="auto"/>
            <w:right w:val="none" w:sz="0" w:space="0" w:color="auto"/>
          </w:divBdr>
        </w:div>
        <w:div w:id="233978377">
          <w:marLeft w:val="0"/>
          <w:marRight w:val="0"/>
          <w:marTop w:val="0"/>
          <w:marBottom w:val="74"/>
          <w:divBdr>
            <w:top w:val="none" w:sz="0" w:space="0" w:color="auto"/>
            <w:left w:val="none" w:sz="0" w:space="0" w:color="auto"/>
            <w:bottom w:val="none" w:sz="0" w:space="0" w:color="auto"/>
            <w:right w:val="none" w:sz="0" w:space="0" w:color="auto"/>
          </w:divBdr>
        </w:div>
        <w:div w:id="42412759">
          <w:marLeft w:val="0"/>
          <w:marRight w:val="0"/>
          <w:marTop w:val="0"/>
          <w:marBottom w:val="74"/>
          <w:divBdr>
            <w:top w:val="none" w:sz="0" w:space="0" w:color="auto"/>
            <w:left w:val="none" w:sz="0" w:space="0" w:color="auto"/>
            <w:bottom w:val="none" w:sz="0" w:space="0" w:color="auto"/>
            <w:right w:val="none" w:sz="0" w:space="0" w:color="auto"/>
          </w:divBdr>
        </w:div>
        <w:div w:id="1275404682">
          <w:marLeft w:val="0"/>
          <w:marRight w:val="0"/>
          <w:marTop w:val="0"/>
          <w:marBottom w:val="74"/>
          <w:divBdr>
            <w:top w:val="none" w:sz="0" w:space="0" w:color="auto"/>
            <w:left w:val="none" w:sz="0" w:space="0" w:color="auto"/>
            <w:bottom w:val="none" w:sz="0" w:space="0" w:color="auto"/>
            <w:right w:val="none" w:sz="0" w:space="0" w:color="auto"/>
          </w:divBdr>
        </w:div>
        <w:div w:id="728455116">
          <w:marLeft w:val="0"/>
          <w:marRight w:val="0"/>
          <w:marTop w:val="0"/>
          <w:marBottom w:val="74"/>
          <w:divBdr>
            <w:top w:val="none" w:sz="0" w:space="0" w:color="auto"/>
            <w:left w:val="none" w:sz="0" w:space="0" w:color="auto"/>
            <w:bottom w:val="none" w:sz="0" w:space="0" w:color="auto"/>
            <w:right w:val="none" w:sz="0" w:space="0" w:color="auto"/>
          </w:divBdr>
        </w:div>
        <w:div w:id="1415593749">
          <w:marLeft w:val="0"/>
          <w:marRight w:val="0"/>
          <w:marTop w:val="0"/>
          <w:marBottom w:val="74"/>
          <w:divBdr>
            <w:top w:val="none" w:sz="0" w:space="0" w:color="auto"/>
            <w:left w:val="none" w:sz="0" w:space="0" w:color="auto"/>
            <w:bottom w:val="none" w:sz="0" w:space="0" w:color="auto"/>
            <w:right w:val="none" w:sz="0" w:space="0" w:color="auto"/>
          </w:divBdr>
        </w:div>
        <w:div w:id="308436133">
          <w:marLeft w:val="0"/>
          <w:marRight w:val="0"/>
          <w:marTop w:val="0"/>
          <w:marBottom w:val="74"/>
          <w:divBdr>
            <w:top w:val="none" w:sz="0" w:space="0" w:color="auto"/>
            <w:left w:val="none" w:sz="0" w:space="0" w:color="auto"/>
            <w:bottom w:val="none" w:sz="0" w:space="0" w:color="auto"/>
            <w:right w:val="none" w:sz="0" w:space="0" w:color="auto"/>
          </w:divBdr>
        </w:div>
        <w:div w:id="1467160291">
          <w:marLeft w:val="0"/>
          <w:marRight w:val="0"/>
          <w:marTop w:val="0"/>
          <w:marBottom w:val="74"/>
          <w:divBdr>
            <w:top w:val="none" w:sz="0" w:space="0" w:color="auto"/>
            <w:left w:val="none" w:sz="0" w:space="0" w:color="auto"/>
            <w:bottom w:val="none" w:sz="0" w:space="0" w:color="auto"/>
            <w:right w:val="none" w:sz="0" w:space="0" w:color="auto"/>
          </w:divBdr>
        </w:div>
        <w:div w:id="220749642">
          <w:marLeft w:val="0"/>
          <w:marRight w:val="0"/>
          <w:marTop w:val="0"/>
          <w:marBottom w:val="74"/>
          <w:divBdr>
            <w:top w:val="none" w:sz="0" w:space="0" w:color="auto"/>
            <w:left w:val="none" w:sz="0" w:space="0" w:color="auto"/>
            <w:bottom w:val="none" w:sz="0" w:space="0" w:color="auto"/>
            <w:right w:val="none" w:sz="0" w:space="0" w:color="auto"/>
          </w:divBdr>
        </w:div>
        <w:div w:id="1296373123">
          <w:marLeft w:val="0"/>
          <w:marRight w:val="0"/>
          <w:marTop w:val="0"/>
          <w:marBottom w:val="74"/>
          <w:divBdr>
            <w:top w:val="none" w:sz="0" w:space="0" w:color="auto"/>
            <w:left w:val="none" w:sz="0" w:space="0" w:color="auto"/>
            <w:bottom w:val="none" w:sz="0" w:space="0" w:color="auto"/>
            <w:right w:val="none" w:sz="0" w:space="0" w:color="auto"/>
          </w:divBdr>
        </w:div>
        <w:div w:id="1332680624">
          <w:marLeft w:val="0"/>
          <w:marRight w:val="0"/>
          <w:marTop w:val="0"/>
          <w:marBottom w:val="74"/>
          <w:divBdr>
            <w:top w:val="none" w:sz="0" w:space="0" w:color="auto"/>
            <w:left w:val="none" w:sz="0" w:space="0" w:color="auto"/>
            <w:bottom w:val="none" w:sz="0" w:space="0" w:color="auto"/>
            <w:right w:val="none" w:sz="0" w:space="0" w:color="auto"/>
          </w:divBdr>
        </w:div>
        <w:div w:id="1387337044">
          <w:marLeft w:val="0"/>
          <w:marRight w:val="0"/>
          <w:marTop w:val="0"/>
          <w:marBottom w:val="74"/>
          <w:divBdr>
            <w:top w:val="none" w:sz="0" w:space="0" w:color="auto"/>
            <w:left w:val="none" w:sz="0" w:space="0" w:color="auto"/>
            <w:bottom w:val="none" w:sz="0" w:space="0" w:color="auto"/>
            <w:right w:val="none" w:sz="0" w:space="0" w:color="auto"/>
          </w:divBdr>
        </w:div>
        <w:div w:id="1281836765">
          <w:marLeft w:val="0"/>
          <w:marRight w:val="0"/>
          <w:marTop w:val="0"/>
          <w:marBottom w:val="74"/>
          <w:divBdr>
            <w:top w:val="none" w:sz="0" w:space="0" w:color="auto"/>
            <w:left w:val="none" w:sz="0" w:space="0" w:color="auto"/>
            <w:bottom w:val="none" w:sz="0" w:space="0" w:color="auto"/>
            <w:right w:val="none" w:sz="0" w:space="0" w:color="auto"/>
          </w:divBdr>
        </w:div>
        <w:div w:id="596250057">
          <w:marLeft w:val="0"/>
          <w:marRight w:val="0"/>
          <w:marTop w:val="0"/>
          <w:marBottom w:val="74"/>
          <w:divBdr>
            <w:top w:val="none" w:sz="0" w:space="0" w:color="auto"/>
            <w:left w:val="none" w:sz="0" w:space="0" w:color="auto"/>
            <w:bottom w:val="none" w:sz="0" w:space="0" w:color="auto"/>
            <w:right w:val="none" w:sz="0" w:space="0" w:color="auto"/>
          </w:divBdr>
        </w:div>
        <w:div w:id="1396245145">
          <w:marLeft w:val="0"/>
          <w:marRight w:val="0"/>
          <w:marTop w:val="0"/>
          <w:marBottom w:val="74"/>
          <w:divBdr>
            <w:top w:val="none" w:sz="0" w:space="0" w:color="auto"/>
            <w:left w:val="none" w:sz="0" w:space="0" w:color="auto"/>
            <w:bottom w:val="none" w:sz="0" w:space="0" w:color="auto"/>
            <w:right w:val="none" w:sz="0" w:space="0" w:color="auto"/>
          </w:divBdr>
        </w:div>
        <w:div w:id="975453281">
          <w:marLeft w:val="0"/>
          <w:marRight w:val="0"/>
          <w:marTop w:val="0"/>
          <w:marBottom w:val="74"/>
          <w:divBdr>
            <w:top w:val="none" w:sz="0" w:space="0" w:color="auto"/>
            <w:left w:val="none" w:sz="0" w:space="0" w:color="auto"/>
            <w:bottom w:val="none" w:sz="0" w:space="0" w:color="auto"/>
            <w:right w:val="none" w:sz="0" w:space="0" w:color="auto"/>
          </w:divBdr>
        </w:div>
        <w:div w:id="1980915328">
          <w:marLeft w:val="0"/>
          <w:marRight w:val="0"/>
          <w:marTop w:val="0"/>
          <w:marBottom w:val="74"/>
          <w:divBdr>
            <w:top w:val="none" w:sz="0" w:space="0" w:color="auto"/>
            <w:left w:val="none" w:sz="0" w:space="0" w:color="auto"/>
            <w:bottom w:val="none" w:sz="0" w:space="0" w:color="auto"/>
            <w:right w:val="none" w:sz="0" w:space="0" w:color="auto"/>
          </w:divBdr>
        </w:div>
        <w:div w:id="2096241276">
          <w:marLeft w:val="0"/>
          <w:marRight w:val="0"/>
          <w:marTop w:val="0"/>
          <w:marBottom w:val="74"/>
          <w:divBdr>
            <w:top w:val="none" w:sz="0" w:space="0" w:color="auto"/>
            <w:left w:val="none" w:sz="0" w:space="0" w:color="auto"/>
            <w:bottom w:val="none" w:sz="0" w:space="0" w:color="auto"/>
            <w:right w:val="none" w:sz="0" w:space="0" w:color="auto"/>
          </w:divBdr>
        </w:div>
        <w:div w:id="595864306">
          <w:marLeft w:val="0"/>
          <w:marRight w:val="0"/>
          <w:marTop w:val="0"/>
          <w:marBottom w:val="74"/>
          <w:divBdr>
            <w:top w:val="none" w:sz="0" w:space="0" w:color="auto"/>
            <w:left w:val="none" w:sz="0" w:space="0" w:color="auto"/>
            <w:bottom w:val="none" w:sz="0" w:space="0" w:color="auto"/>
            <w:right w:val="none" w:sz="0" w:space="0" w:color="auto"/>
          </w:divBdr>
        </w:div>
        <w:div w:id="433593984">
          <w:marLeft w:val="0"/>
          <w:marRight w:val="0"/>
          <w:marTop w:val="0"/>
          <w:marBottom w:val="74"/>
          <w:divBdr>
            <w:top w:val="none" w:sz="0" w:space="0" w:color="auto"/>
            <w:left w:val="none" w:sz="0" w:space="0" w:color="auto"/>
            <w:bottom w:val="none" w:sz="0" w:space="0" w:color="auto"/>
            <w:right w:val="none" w:sz="0" w:space="0" w:color="auto"/>
          </w:divBdr>
        </w:div>
        <w:div w:id="561796682">
          <w:marLeft w:val="0"/>
          <w:marRight w:val="0"/>
          <w:marTop w:val="0"/>
          <w:marBottom w:val="74"/>
          <w:divBdr>
            <w:top w:val="none" w:sz="0" w:space="0" w:color="auto"/>
            <w:left w:val="none" w:sz="0" w:space="0" w:color="auto"/>
            <w:bottom w:val="none" w:sz="0" w:space="0" w:color="auto"/>
            <w:right w:val="none" w:sz="0" w:space="0" w:color="auto"/>
          </w:divBdr>
        </w:div>
        <w:div w:id="1922136375">
          <w:marLeft w:val="0"/>
          <w:marRight w:val="0"/>
          <w:marTop w:val="0"/>
          <w:marBottom w:val="74"/>
          <w:divBdr>
            <w:top w:val="none" w:sz="0" w:space="0" w:color="auto"/>
            <w:left w:val="none" w:sz="0" w:space="0" w:color="auto"/>
            <w:bottom w:val="none" w:sz="0" w:space="0" w:color="auto"/>
            <w:right w:val="none" w:sz="0" w:space="0" w:color="auto"/>
          </w:divBdr>
        </w:div>
        <w:div w:id="1602227934">
          <w:marLeft w:val="0"/>
          <w:marRight w:val="0"/>
          <w:marTop w:val="0"/>
          <w:marBottom w:val="74"/>
          <w:divBdr>
            <w:top w:val="none" w:sz="0" w:space="0" w:color="auto"/>
            <w:left w:val="none" w:sz="0" w:space="0" w:color="auto"/>
            <w:bottom w:val="none" w:sz="0" w:space="0" w:color="auto"/>
            <w:right w:val="none" w:sz="0" w:space="0" w:color="auto"/>
          </w:divBdr>
        </w:div>
        <w:div w:id="1638993883">
          <w:marLeft w:val="0"/>
          <w:marRight w:val="0"/>
          <w:marTop w:val="0"/>
          <w:marBottom w:val="74"/>
          <w:divBdr>
            <w:top w:val="none" w:sz="0" w:space="0" w:color="auto"/>
            <w:left w:val="none" w:sz="0" w:space="0" w:color="auto"/>
            <w:bottom w:val="none" w:sz="0" w:space="0" w:color="auto"/>
            <w:right w:val="none" w:sz="0" w:space="0" w:color="auto"/>
          </w:divBdr>
        </w:div>
        <w:div w:id="1319967421">
          <w:marLeft w:val="0"/>
          <w:marRight w:val="0"/>
          <w:marTop w:val="0"/>
          <w:marBottom w:val="74"/>
          <w:divBdr>
            <w:top w:val="none" w:sz="0" w:space="0" w:color="auto"/>
            <w:left w:val="none" w:sz="0" w:space="0" w:color="auto"/>
            <w:bottom w:val="none" w:sz="0" w:space="0" w:color="auto"/>
            <w:right w:val="none" w:sz="0" w:space="0" w:color="auto"/>
          </w:divBdr>
        </w:div>
        <w:div w:id="1245602429">
          <w:marLeft w:val="0"/>
          <w:marRight w:val="0"/>
          <w:marTop w:val="0"/>
          <w:marBottom w:val="74"/>
          <w:divBdr>
            <w:top w:val="none" w:sz="0" w:space="0" w:color="auto"/>
            <w:left w:val="none" w:sz="0" w:space="0" w:color="auto"/>
            <w:bottom w:val="none" w:sz="0" w:space="0" w:color="auto"/>
            <w:right w:val="none" w:sz="0" w:space="0" w:color="auto"/>
          </w:divBdr>
        </w:div>
        <w:div w:id="123623422">
          <w:marLeft w:val="0"/>
          <w:marRight w:val="0"/>
          <w:marTop w:val="0"/>
          <w:marBottom w:val="74"/>
          <w:divBdr>
            <w:top w:val="none" w:sz="0" w:space="0" w:color="auto"/>
            <w:left w:val="none" w:sz="0" w:space="0" w:color="auto"/>
            <w:bottom w:val="none" w:sz="0" w:space="0" w:color="auto"/>
            <w:right w:val="none" w:sz="0" w:space="0" w:color="auto"/>
          </w:divBdr>
        </w:div>
        <w:div w:id="322704603">
          <w:marLeft w:val="0"/>
          <w:marRight w:val="0"/>
          <w:marTop w:val="0"/>
          <w:marBottom w:val="74"/>
          <w:divBdr>
            <w:top w:val="none" w:sz="0" w:space="0" w:color="auto"/>
            <w:left w:val="none" w:sz="0" w:space="0" w:color="auto"/>
            <w:bottom w:val="none" w:sz="0" w:space="0" w:color="auto"/>
            <w:right w:val="none" w:sz="0" w:space="0" w:color="auto"/>
          </w:divBdr>
        </w:div>
        <w:div w:id="861087937">
          <w:marLeft w:val="0"/>
          <w:marRight w:val="0"/>
          <w:marTop w:val="0"/>
          <w:marBottom w:val="74"/>
          <w:divBdr>
            <w:top w:val="none" w:sz="0" w:space="0" w:color="auto"/>
            <w:left w:val="none" w:sz="0" w:space="0" w:color="auto"/>
            <w:bottom w:val="none" w:sz="0" w:space="0" w:color="auto"/>
            <w:right w:val="none" w:sz="0" w:space="0" w:color="auto"/>
          </w:divBdr>
        </w:div>
        <w:div w:id="355155418">
          <w:marLeft w:val="0"/>
          <w:marRight w:val="0"/>
          <w:marTop w:val="0"/>
          <w:marBottom w:val="74"/>
          <w:divBdr>
            <w:top w:val="none" w:sz="0" w:space="0" w:color="auto"/>
            <w:left w:val="none" w:sz="0" w:space="0" w:color="auto"/>
            <w:bottom w:val="none" w:sz="0" w:space="0" w:color="auto"/>
            <w:right w:val="none" w:sz="0" w:space="0" w:color="auto"/>
          </w:divBdr>
        </w:div>
        <w:div w:id="1805274974">
          <w:marLeft w:val="0"/>
          <w:marRight w:val="0"/>
          <w:marTop w:val="0"/>
          <w:marBottom w:val="74"/>
          <w:divBdr>
            <w:top w:val="none" w:sz="0" w:space="0" w:color="auto"/>
            <w:left w:val="none" w:sz="0" w:space="0" w:color="auto"/>
            <w:bottom w:val="none" w:sz="0" w:space="0" w:color="auto"/>
            <w:right w:val="none" w:sz="0" w:space="0" w:color="auto"/>
          </w:divBdr>
        </w:div>
        <w:div w:id="1456025374">
          <w:marLeft w:val="0"/>
          <w:marRight w:val="0"/>
          <w:marTop w:val="0"/>
          <w:marBottom w:val="74"/>
          <w:divBdr>
            <w:top w:val="none" w:sz="0" w:space="0" w:color="auto"/>
            <w:left w:val="none" w:sz="0" w:space="0" w:color="auto"/>
            <w:bottom w:val="none" w:sz="0" w:space="0" w:color="auto"/>
            <w:right w:val="none" w:sz="0" w:space="0" w:color="auto"/>
          </w:divBdr>
        </w:div>
        <w:div w:id="402874659">
          <w:marLeft w:val="0"/>
          <w:marRight w:val="0"/>
          <w:marTop w:val="0"/>
          <w:marBottom w:val="74"/>
          <w:divBdr>
            <w:top w:val="none" w:sz="0" w:space="0" w:color="auto"/>
            <w:left w:val="none" w:sz="0" w:space="0" w:color="auto"/>
            <w:bottom w:val="none" w:sz="0" w:space="0" w:color="auto"/>
            <w:right w:val="none" w:sz="0" w:space="0" w:color="auto"/>
          </w:divBdr>
        </w:div>
        <w:div w:id="853762371">
          <w:marLeft w:val="0"/>
          <w:marRight w:val="0"/>
          <w:marTop w:val="0"/>
          <w:marBottom w:val="74"/>
          <w:divBdr>
            <w:top w:val="none" w:sz="0" w:space="0" w:color="auto"/>
            <w:left w:val="none" w:sz="0" w:space="0" w:color="auto"/>
            <w:bottom w:val="none" w:sz="0" w:space="0" w:color="auto"/>
            <w:right w:val="none" w:sz="0" w:space="0" w:color="auto"/>
          </w:divBdr>
        </w:div>
        <w:div w:id="1556888632">
          <w:marLeft w:val="0"/>
          <w:marRight w:val="0"/>
          <w:marTop w:val="0"/>
          <w:marBottom w:val="74"/>
          <w:divBdr>
            <w:top w:val="none" w:sz="0" w:space="0" w:color="auto"/>
            <w:left w:val="none" w:sz="0" w:space="0" w:color="auto"/>
            <w:bottom w:val="none" w:sz="0" w:space="0" w:color="auto"/>
            <w:right w:val="none" w:sz="0" w:space="0" w:color="auto"/>
          </w:divBdr>
        </w:div>
        <w:div w:id="1368405347">
          <w:marLeft w:val="0"/>
          <w:marRight w:val="0"/>
          <w:marTop w:val="0"/>
          <w:marBottom w:val="74"/>
          <w:divBdr>
            <w:top w:val="none" w:sz="0" w:space="0" w:color="auto"/>
            <w:left w:val="none" w:sz="0" w:space="0" w:color="auto"/>
            <w:bottom w:val="none" w:sz="0" w:space="0" w:color="auto"/>
            <w:right w:val="none" w:sz="0" w:space="0" w:color="auto"/>
          </w:divBdr>
        </w:div>
        <w:div w:id="1090350772">
          <w:marLeft w:val="0"/>
          <w:marRight w:val="0"/>
          <w:marTop w:val="0"/>
          <w:marBottom w:val="74"/>
          <w:divBdr>
            <w:top w:val="none" w:sz="0" w:space="0" w:color="auto"/>
            <w:left w:val="none" w:sz="0" w:space="0" w:color="auto"/>
            <w:bottom w:val="none" w:sz="0" w:space="0" w:color="auto"/>
            <w:right w:val="none" w:sz="0" w:space="0" w:color="auto"/>
          </w:divBdr>
        </w:div>
        <w:div w:id="171839893">
          <w:marLeft w:val="0"/>
          <w:marRight w:val="0"/>
          <w:marTop w:val="0"/>
          <w:marBottom w:val="74"/>
          <w:divBdr>
            <w:top w:val="none" w:sz="0" w:space="0" w:color="auto"/>
            <w:left w:val="none" w:sz="0" w:space="0" w:color="auto"/>
            <w:bottom w:val="none" w:sz="0" w:space="0" w:color="auto"/>
            <w:right w:val="none" w:sz="0" w:space="0" w:color="auto"/>
          </w:divBdr>
        </w:div>
        <w:div w:id="386101448">
          <w:marLeft w:val="0"/>
          <w:marRight w:val="0"/>
          <w:marTop w:val="0"/>
          <w:marBottom w:val="74"/>
          <w:divBdr>
            <w:top w:val="none" w:sz="0" w:space="0" w:color="auto"/>
            <w:left w:val="none" w:sz="0" w:space="0" w:color="auto"/>
            <w:bottom w:val="none" w:sz="0" w:space="0" w:color="auto"/>
            <w:right w:val="none" w:sz="0" w:space="0" w:color="auto"/>
          </w:divBdr>
        </w:div>
        <w:div w:id="1452435656">
          <w:marLeft w:val="720"/>
          <w:marRight w:val="0"/>
          <w:marTop w:val="0"/>
          <w:marBottom w:val="74"/>
          <w:divBdr>
            <w:top w:val="none" w:sz="0" w:space="0" w:color="auto"/>
            <w:left w:val="none" w:sz="0" w:space="0" w:color="auto"/>
            <w:bottom w:val="none" w:sz="0" w:space="0" w:color="auto"/>
            <w:right w:val="none" w:sz="0" w:space="0" w:color="auto"/>
          </w:divBdr>
        </w:div>
        <w:div w:id="2057464213">
          <w:marLeft w:val="0"/>
          <w:marRight w:val="0"/>
          <w:marTop w:val="0"/>
          <w:marBottom w:val="74"/>
          <w:divBdr>
            <w:top w:val="none" w:sz="0" w:space="0" w:color="auto"/>
            <w:left w:val="none" w:sz="0" w:space="0" w:color="auto"/>
            <w:bottom w:val="none" w:sz="0" w:space="0" w:color="auto"/>
            <w:right w:val="none" w:sz="0" w:space="0" w:color="auto"/>
          </w:divBdr>
        </w:div>
        <w:div w:id="414399102">
          <w:marLeft w:val="0"/>
          <w:marRight w:val="0"/>
          <w:marTop w:val="0"/>
          <w:marBottom w:val="74"/>
          <w:divBdr>
            <w:top w:val="none" w:sz="0" w:space="0" w:color="auto"/>
            <w:left w:val="none" w:sz="0" w:space="0" w:color="auto"/>
            <w:bottom w:val="none" w:sz="0" w:space="0" w:color="auto"/>
            <w:right w:val="none" w:sz="0" w:space="0" w:color="auto"/>
          </w:divBdr>
        </w:div>
        <w:div w:id="228001735">
          <w:marLeft w:val="0"/>
          <w:marRight w:val="0"/>
          <w:marTop w:val="0"/>
          <w:marBottom w:val="74"/>
          <w:divBdr>
            <w:top w:val="none" w:sz="0" w:space="0" w:color="auto"/>
            <w:left w:val="none" w:sz="0" w:space="0" w:color="auto"/>
            <w:bottom w:val="none" w:sz="0" w:space="0" w:color="auto"/>
            <w:right w:val="none" w:sz="0" w:space="0" w:color="auto"/>
          </w:divBdr>
        </w:div>
        <w:div w:id="1490249306">
          <w:marLeft w:val="0"/>
          <w:marRight w:val="0"/>
          <w:marTop w:val="0"/>
          <w:marBottom w:val="74"/>
          <w:divBdr>
            <w:top w:val="none" w:sz="0" w:space="0" w:color="auto"/>
            <w:left w:val="none" w:sz="0" w:space="0" w:color="auto"/>
            <w:bottom w:val="none" w:sz="0" w:space="0" w:color="auto"/>
            <w:right w:val="none" w:sz="0" w:space="0" w:color="auto"/>
          </w:divBdr>
        </w:div>
        <w:div w:id="665671375">
          <w:marLeft w:val="0"/>
          <w:marRight w:val="0"/>
          <w:marTop w:val="0"/>
          <w:marBottom w:val="74"/>
          <w:divBdr>
            <w:top w:val="none" w:sz="0" w:space="0" w:color="auto"/>
            <w:left w:val="none" w:sz="0" w:space="0" w:color="auto"/>
            <w:bottom w:val="none" w:sz="0" w:space="0" w:color="auto"/>
            <w:right w:val="none" w:sz="0" w:space="0" w:color="auto"/>
          </w:divBdr>
        </w:div>
        <w:div w:id="1488278988">
          <w:marLeft w:val="0"/>
          <w:marRight w:val="0"/>
          <w:marTop w:val="0"/>
          <w:marBottom w:val="74"/>
          <w:divBdr>
            <w:top w:val="none" w:sz="0" w:space="0" w:color="auto"/>
            <w:left w:val="none" w:sz="0" w:space="0" w:color="auto"/>
            <w:bottom w:val="none" w:sz="0" w:space="0" w:color="auto"/>
            <w:right w:val="none" w:sz="0" w:space="0" w:color="auto"/>
          </w:divBdr>
        </w:div>
        <w:div w:id="543761729">
          <w:marLeft w:val="0"/>
          <w:marRight w:val="0"/>
          <w:marTop w:val="0"/>
          <w:marBottom w:val="74"/>
          <w:divBdr>
            <w:top w:val="none" w:sz="0" w:space="0" w:color="auto"/>
            <w:left w:val="none" w:sz="0" w:space="0" w:color="auto"/>
            <w:bottom w:val="none" w:sz="0" w:space="0" w:color="auto"/>
            <w:right w:val="none" w:sz="0" w:space="0" w:color="auto"/>
          </w:divBdr>
        </w:div>
        <w:div w:id="1036731731">
          <w:marLeft w:val="0"/>
          <w:marRight w:val="0"/>
          <w:marTop w:val="0"/>
          <w:marBottom w:val="74"/>
          <w:divBdr>
            <w:top w:val="none" w:sz="0" w:space="0" w:color="auto"/>
            <w:left w:val="none" w:sz="0" w:space="0" w:color="auto"/>
            <w:bottom w:val="none" w:sz="0" w:space="0" w:color="auto"/>
            <w:right w:val="none" w:sz="0" w:space="0" w:color="auto"/>
          </w:divBdr>
        </w:div>
        <w:div w:id="276331509">
          <w:marLeft w:val="0"/>
          <w:marRight w:val="0"/>
          <w:marTop w:val="0"/>
          <w:marBottom w:val="74"/>
          <w:divBdr>
            <w:top w:val="none" w:sz="0" w:space="0" w:color="auto"/>
            <w:left w:val="none" w:sz="0" w:space="0" w:color="auto"/>
            <w:bottom w:val="none" w:sz="0" w:space="0" w:color="auto"/>
            <w:right w:val="none" w:sz="0" w:space="0" w:color="auto"/>
          </w:divBdr>
        </w:div>
        <w:div w:id="45957105">
          <w:marLeft w:val="0"/>
          <w:marRight w:val="0"/>
          <w:marTop w:val="0"/>
          <w:marBottom w:val="74"/>
          <w:divBdr>
            <w:top w:val="none" w:sz="0" w:space="0" w:color="auto"/>
            <w:left w:val="none" w:sz="0" w:space="0" w:color="auto"/>
            <w:bottom w:val="none" w:sz="0" w:space="0" w:color="auto"/>
            <w:right w:val="none" w:sz="0" w:space="0" w:color="auto"/>
          </w:divBdr>
        </w:div>
        <w:div w:id="378818565">
          <w:marLeft w:val="0"/>
          <w:marRight w:val="0"/>
          <w:marTop w:val="0"/>
          <w:marBottom w:val="74"/>
          <w:divBdr>
            <w:top w:val="none" w:sz="0" w:space="0" w:color="auto"/>
            <w:left w:val="none" w:sz="0" w:space="0" w:color="auto"/>
            <w:bottom w:val="none" w:sz="0" w:space="0" w:color="auto"/>
            <w:right w:val="none" w:sz="0" w:space="0" w:color="auto"/>
          </w:divBdr>
        </w:div>
        <w:div w:id="1981810995">
          <w:marLeft w:val="0"/>
          <w:marRight w:val="0"/>
          <w:marTop w:val="0"/>
          <w:marBottom w:val="74"/>
          <w:divBdr>
            <w:top w:val="none" w:sz="0" w:space="0" w:color="auto"/>
            <w:left w:val="none" w:sz="0" w:space="0" w:color="auto"/>
            <w:bottom w:val="none" w:sz="0" w:space="0" w:color="auto"/>
            <w:right w:val="none" w:sz="0" w:space="0" w:color="auto"/>
          </w:divBdr>
        </w:div>
        <w:div w:id="1877691410">
          <w:marLeft w:val="0"/>
          <w:marRight w:val="0"/>
          <w:marTop w:val="0"/>
          <w:marBottom w:val="74"/>
          <w:divBdr>
            <w:top w:val="none" w:sz="0" w:space="0" w:color="auto"/>
            <w:left w:val="none" w:sz="0" w:space="0" w:color="auto"/>
            <w:bottom w:val="none" w:sz="0" w:space="0" w:color="auto"/>
            <w:right w:val="none" w:sz="0" w:space="0" w:color="auto"/>
          </w:divBdr>
        </w:div>
        <w:div w:id="1554803984">
          <w:marLeft w:val="0"/>
          <w:marRight w:val="0"/>
          <w:marTop w:val="0"/>
          <w:marBottom w:val="74"/>
          <w:divBdr>
            <w:top w:val="none" w:sz="0" w:space="0" w:color="auto"/>
            <w:left w:val="none" w:sz="0" w:space="0" w:color="auto"/>
            <w:bottom w:val="none" w:sz="0" w:space="0" w:color="auto"/>
            <w:right w:val="none" w:sz="0" w:space="0" w:color="auto"/>
          </w:divBdr>
        </w:div>
        <w:div w:id="1079523545">
          <w:marLeft w:val="0"/>
          <w:marRight w:val="0"/>
          <w:marTop w:val="0"/>
          <w:marBottom w:val="74"/>
          <w:divBdr>
            <w:top w:val="none" w:sz="0" w:space="0" w:color="auto"/>
            <w:left w:val="none" w:sz="0" w:space="0" w:color="auto"/>
            <w:bottom w:val="none" w:sz="0" w:space="0" w:color="auto"/>
            <w:right w:val="none" w:sz="0" w:space="0" w:color="auto"/>
          </w:divBdr>
        </w:div>
        <w:div w:id="40786697">
          <w:marLeft w:val="0"/>
          <w:marRight w:val="0"/>
          <w:marTop w:val="0"/>
          <w:marBottom w:val="74"/>
          <w:divBdr>
            <w:top w:val="none" w:sz="0" w:space="0" w:color="auto"/>
            <w:left w:val="none" w:sz="0" w:space="0" w:color="auto"/>
            <w:bottom w:val="none" w:sz="0" w:space="0" w:color="auto"/>
            <w:right w:val="none" w:sz="0" w:space="0" w:color="auto"/>
          </w:divBdr>
        </w:div>
        <w:div w:id="119735030">
          <w:marLeft w:val="0"/>
          <w:marRight w:val="0"/>
          <w:marTop w:val="0"/>
          <w:marBottom w:val="74"/>
          <w:divBdr>
            <w:top w:val="none" w:sz="0" w:space="0" w:color="auto"/>
            <w:left w:val="none" w:sz="0" w:space="0" w:color="auto"/>
            <w:bottom w:val="none" w:sz="0" w:space="0" w:color="auto"/>
            <w:right w:val="none" w:sz="0" w:space="0" w:color="auto"/>
          </w:divBdr>
        </w:div>
        <w:div w:id="795559777">
          <w:marLeft w:val="0"/>
          <w:marRight w:val="0"/>
          <w:marTop w:val="0"/>
          <w:marBottom w:val="74"/>
          <w:divBdr>
            <w:top w:val="none" w:sz="0" w:space="0" w:color="auto"/>
            <w:left w:val="none" w:sz="0" w:space="0" w:color="auto"/>
            <w:bottom w:val="none" w:sz="0" w:space="0" w:color="auto"/>
            <w:right w:val="none" w:sz="0" w:space="0" w:color="auto"/>
          </w:divBdr>
        </w:div>
        <w:div w:id="1987315408">
          <w:marLeft w:val="0"/>
          <w:marRight w:val="0"/>
          <w:marTop w:val="0"/>
          <w:marBottom w:val="74"/>
          <w:divBdr>
            <w:top w:val="none" w:sz="0" w:space="0" w:color="auto"/>
            <w:left w:val="none" w:sz="0" w:space="0" w:color="auto"/>
            <w:bottom w:val="none" w:sz="0" w:space="0" w:color="auto"/>
            <w:right w:val="none" w:sz="0" w:space="0" w:color="auto"/>
          </w:divBdr>
        </w:div>
        <w:div w:id="1505895513">
          <w:marLeft w:val="0"/>
          <w:marRight w:val="0"/>
          <w:marTop w:val="0"/>
          <w:marBottom w:val="74"/>
          <w:divBdr>
            <w:top w:val="none" w:sz="0" w:space="0" w:color="auto"/>
            <w:left w:val="none" w:sz="0" w:space="0" w:color="auto"/>
            <w:bottom w:val="none" w:sz="0" w:space="0" w:color="auto"/>
            <w:right w:val="none" w:sz="0" w:space="0" w:color="auto"/>
          </w:divBdr>
        </w:div>
        <w:div w:id="128323261">
          <w:marLeft w:val="0"/>
          <w:marRight w:val="0"/>
          <w:marTop w:val="0"/>
          <w:marBottom w:val="74"/>
          <w:divBdr>
            <w:top w:val="none" w:sz="0" w:space="0" w:color="auto"/>
            <w:left w:val="none" w:sz="0" w:space="0" w:color="auto"/>
            <w:bottom w:val="none" w:sz="0" w:space="0" w:color="auto"/>
            <w:right w:val="none" w:sz="0" w:space="0" w:color="auto"/>
          </w:divBdr>
        </w:div>
        <w:div w:id="1989895889">
          <w:marLeft w:val="0"/>
          <w:marRight w:val="0"/>
          <w:marTop w:val="0"/>
          <w:marBottom w:val="74"/>
          <w:divBdr>
            <w:top w:val="none" w:sz="0" w:space="0" w:color="auto"/>
            <w:left w:val="none" w:sz="0" w:space="0" w:color="auto"/>
            <w:bottom w:val="none" w:sz="0" w:space="0" w:color="auto"/>
            <w:right w:val="none" w:sz="0" w:space="0" w:color="auto"/>
          </w:divBdr>
        </w:div>
        <w:div w:id="84347840">
          <w:marLeft w:val="0"/>
          <w:marRight w:val="0"/>
          <w:marTop w:val="0"/>
          <w:marBottom w:val="74"/>
          <w:divBdr>
            <w:top w:val="none" w:sz="0" w:space="0" w:color="auto"/>
            <w:left w:val="none" w:sz="0" w:space="0" w:color="auto"/>
            <w:bottom w:val="none" w:sz="0" w:space="0" w:color="auto"/>
            <w:right w:val="none" w:sz="0" w:space="0" w:color="auto"/>
          </w:divBdr>
        </w:div>
        <w:div w:id="1456024661">
          <w:marLeft w:val="0"/>
          <w:marRight w:val="0"/>
          <w:marTop w:val="0"/>
          <w:marBottom w:val="74"/>
          <w:divBdr>
            <w:top w:val="none" w:sz="0" w:space="0" w:color="auto"/>
            <w:left w:val="none" w:sz="0" w:space="0" w:color="auto"/>
            <w:bottom w:val="none" w:sz="0" w:space="0" w:color="auto"/>
            <w:right w:val="none" w:sz="0" w:space="0" w:color="auto"/>
          </w:divBdr>
        </w:div>
        <w:div w:id="1156334263">
          <w:marLeft w:val="0"/>
          <w:marRight w:val="0"/>
          <w:marTop w:val="0"/>
          <w:marBottom w:val="74"/>
          <w:divBdr>
            <w:top w:val="none" w:sz="0" w:space="0" w:color="auto"/>
            <w:left w:val="none" w:sz="0" w:space="0" w:color="auto"/>
            <w:bottom w:val="none" w:sz="0" w:space="0" w:color="auto"/>
            <w:right w:val="none" w:sz="0" w:space="0" w:color="auto"/>
          </w:divBdr>
        </w:div>
        <w:div w:id="1755584804">
          <w:marLeft w:val="0"/>
          <w:marRight w:val="0"/>
          <w:marTop w:val="0"/>
          <w:marBottom w:val="74"/>
          <w:divBdr>
            <w:top w:val="none" w:sz="0" w:space="0" w:color="auto"/>
            <w:left w:val="none" w:sz="0" w:space="0" w:color="auto"/>
            <w:bottom w:val="none" w:sz="0" w:space="0" w:color="auto"/>
            <w:right w:val="none" w:sz="0" w:space="0" w:color="auto"/>
          </w:divBdr>
        </w:div>
        <w:div w:id="162626751">
          <w:marLeft w:val="0"/>
          <w:marRight w:val="0"/>
          <w:marTop w:val="0"/>
          <w:marBottom w:val="74"/>
          <w:divBdr>
            <w:top w:val="none" w:sz="0" w:space="0" w:color="auto"/>
            <w:left w:val="none" w:sz="0" w:space="0" w:color="auto"/>
            <w:bottom w:val="none" w:sz="0" w:space="0" w:color="auto"/>
            <w:right w:val="none" w:sz="0" w:space="0" w:color="auto"/>
          </w:divBdr>
        </w:div>
        <w:div w:id="1226524702">
          <w:marLeft w:val="0"/>
          <w:marRight w:val="0"/>
          <w:marTop w:val="0"/>
          <w:marBottom w:val="74"/>
          <w:divBdr>
            <w:top w:val="none" w:sz="0" w:space="0" w:color="auto"/>
            <w:left w:val="none" w:sz="0" w:space="0" w:color="auto"/>
            <w:bottom w:val="none" w:sz="0" w:space="0" w:color="auto"/>
            <w:right w:val="none" w:sz="0" w:space="0" w:color="auto"/>
          </w:divBdr>
        </w:div>
        <w:div w:id="1098060275">
          <w:marLeft w:val="0"/>
          <w:marRight w:val="0"/>
          <w:marTop w:val="0"/>
          <w:marBottom w:val="74"/>
          <w:divBdr>
            <w:top w:val="none" w:sz="0" w:space="0" w:color="auto"/>
            <w:left w:val="none" w:sz="0" w:space="0" w:color="auto"/>
            <w:bottom w:val="none" w:sz="0" w:space="0" w:color="auto"/>
            <w:right w:val="none" w:sz="0" w:space="0" w:color="auto"/>
          </w:divBdr>
        </w:div>
        <w:div w:id="722171082">
          <w:marLeft w:val="0"/>
          <w:marRight w:val="0"/>
          <w:marTop w:val="0"/>
          <w:marBottom w:val="74"/>
          <w:divBdr>
            <w:top w:val="none" w:sz="0" w:space="0" w:color="auto"/>
            <w:left w:val="none" w:sz="0" w:space="0" w:color="auto"/>
            <w:bottom w:val="none" w:sz="0" w:space="0" w:color="auto"/>
            <w:right w:val="none" w:sz="0" w:space="0" w:color="auto"/>
          </w:divBdr>
        </w:div>
        <w:div w:id="97458232">
          <w:marLeft w:val="0"/>
          <w:marRight w:val="0"/>
          <w:marTop w:val="0"/>
          <w:marBottom w:val="74"/>
          <w:divBdr>
            <w:top w:val="none" w:sz="0" w:space="0" w:color="auto"/>
            <w:left w:val="none" w:sz="0" w:space="0" w:color="auto"/>
            <w:bottom w:val="none" w:sz="0" w:space="0" w:color="auto"/>
            <w:right w:val="none" w:sz="0" w:space="0" w:color="auto"/>
          </w:divBdr>
        </w:div>
        <w:div w:id="565652775">
          <w:marLeft w:val="0"/>
          <w:marRight w:val="0"/>
          <w:marTop w:val="0"/>
          <w:marBottom w:val="74"/>
          <w:divBdr>
            <w:top w:val="none" w:sz="0" w:space="0" w:color="auto"/>
            <w:left w:val="none" w:sz="0" w:space="0" w:color="auto"/>
            <w:bottom w:val="none" w:sz="0" w:space="0" w:color="auto"/>
            <w:right w:val="none" w:sz="0" w:space="0" w:color="auto"/>
          </w:divBdr>
        </w:div>
        <w:div w:id="1075517454">
          <w:marLeft w:val="0"/>
          <w:marRight w:val="0"/>
          <w:marTop w:val="0"/>
          <w:marBottom w:val="74"/>
          <w:divBdr>
            <w:top w:val="none" w:sz="0" w:space="0" w:color="auto"/>
            <w:left w:val="none" w:sz="0" w:space="0" w:color="auto"/>
            <w:bottom w:val="none" w:sz="0" w:space="0" w:color="auto"/>
            <w:right w:val="none" w:sz="0" w:space="0" w:color="auto"/>
          </w:divBdr>
        </w:div>
        <w:div w:id="1869491783">
          <w:marLeft w:val="0"/>
          <w:marRight w:val="0"/>
          <w:marTop w:val="0"/>
          <w:marBottom w:val="74"/>
          <w:divBdr>
            <w:top w:val="none" w:sz="0" w:space="0" w:color="auto"/>
            <w:left w:val="none" w:sz="0" w:space="0" w:color="auto"/>
            <w:bottom w:val="none" w:sz="0" w:space="0" w:color="auto"/>
            <w:right w:val="none" w:sz="0" w:space="0" w:color="auto"/>
          </w:divBdr>
        </w:div>
        <w:div w:id="1736658125">
          <w:marLeft w:val="0"/>
          <w:marRight w:val="0"/>
          <w:marTop w:val="0"/>
          <w:marBottom w:val="74"/>
          <w:divBdr>
            <w:top w:val="none" w:sz="0" w:space="0" w:color="auto"/>
            <w:left w:val="none" w:sz="0" w:space="0" w:color="auto"/>
            <w:bottom w:val="none" w:sz="0" w:space="0" w:color="auto"/>
            <w:right w:val="none" w:sz="0" w:space="0" w:color="auto"/>
          </w:divBdr>
        </w:div>
        <w:div w:id="53703112">
          <w:marLeft w:val="0"/>
          <w:marRight w:val="0"/>
          <w:marTop w:val="0"/>
          <w:marBottom w:val="74"/>
          <w:divBdr>
            <w:top w:val="none" w:sz="0" w:space="0" w:color="auto"/>
            <w:left w:val="none" w:sz="0" w:space="0" w:color="auto"/>
            <w:bottom w:val="none" w:sz="0" w:space="0" w:color="auto"/>
            <w:right w:val="none" w:sz="0" w:space="0" w:color="auto"/>
          </w:divBdr>
        </w:div>
        <w:div w:id="581258859">
          <w:marLeft w:val="0"/>
          <w:marRight w:val="0"/>
          <w:marTop w:val="0"/>
          <w:marBottom w:val="74"/>
          <w:divBdr>
            <w:top w:val="none" w:sz="0" w:space="0" w:color="auto"/>
            <w:left w:val="none" w:sz="0" w:space="0" w:color="auto"/>
            <w:bottom w:val="none" w:sz="0" w:space="0" w:color="auto"/>
            <w:right w:val="none" w:sz="0" w:space="0" w:color="auto"/>
          </w:divBdr>
        </w:div>
        <w:div w:id="184487684">
          <w:marLeft w:val="0"/>
          <w:marRight w:val="0"/>
          <w:marTop w:val="0"/>
          <w:marBottom w:val="74"/>
          <w:divBdr>
            <w:top w:val="none" w:sz="0" w:space="0" w:color="auto"/>
            <w:left w:val="none" w:sz="0" w:space="0" w:color="auto"/>
            <w:bottom w:val="none" w:sz="0" w:space="0" w:color="auto"/>
            <w:right w:val="none" w:sz="0" w:space="0" w:color="auto"/>
          </w:divBdr>
        </w:div>
        <w:div w:id="1375231835">
          <w:marLeft w:val="0"/>
          <w:marRight w:val="0"/>
          <w:marTop w:val="0"/>
          <w:marBottom w:val="74"/>
          <w:divBdr>
            <w:top w:val="none" w:sz="0" w:space="0" w:color="auto"/>
            <w:left w:val="none" w:sz="0" w:space="0" w:color="auto"/>
            <w:bottom w:val="none" w:sz="0" w:space="0" w:color="auto"/>
            <w:right w:val="none" w:sz="0" w:space="0" w:color="auto"/>
          </w:divBdr>
        </w:div>
        <w:div w:id="1203832740">
          <w:marLeft w:val="0"/>
          <w:marRight w:val="0"/>
          <w:marTop w:val="0"/>
          <w:marBottom w:val="74"/>
          <w:divBdr>
            <w:top w:val="none" w:sz="0" w:space="0" w:color="auto"/>
            <w:left w:val="none" w:sz="0" w:space="0" w:color="auto"/>
            <w:bottom w:val="none" w:sz="0" w:space="0" w:color="auto"/>
            <w:right w:val="none" w:sz="0" w:space="0" w:color="auto"/>
          </w:divBdr>
        </w:div>
        <w:div w:id="750543537">
          <w:marLeft w:val="0"/>
          <w:marRight w:val="0"/>
          <w:marTop w:val="0"/>
          <w:marBottom w:val="74"/>
          <w:divBdr>
            <w:top w:val="none" w:sz="0" w:space="0" w:color="auto"/>
            <w:left w:val="none" w:sz="0" w:space="0" w:color="auto"/>
            <w:bottom w:val="none" w:sz="0" w:space="0" w:color="auto"/>
            <w:right w:val="none" w:sz="0" w:space="0" w:color="auto"/>
          </w:divBdr>
        </w:div>
        <w:div w:id="891618427">
          <w:marLeft w:val="0"/>
          <w:marRight w:val="0"/>
          <w:marTop w:val="0"/>
          <w:marBottom w:val="74"/>
          <w:divBdr>
            <w:top w:val="none" w:sz="0" w:space="0" w:color="auto"/>
            <w:left w:val="none" w:sz="0" w:space="0" w:color="auto"/>
            <w:bottom w:val="none" w:sz="0" w:space="0" w:color="auto"/>
            <w:right w:val="none" w:sz="0" w:space="0" w:color="auto"/>
          </w:divBdr>
        </w:div>
        <w:div w:id="1974405617">
          <w:marLeft w:val="0"/>
          <w:marRight w:val="0"/>
          <w:marTop w:val="0"/>
          <w:marBottom w:val="74"/>
          <w:divBdr>
            <w:top w:val="none" w:sz="0" w:space="0" w:color="auto"/>
            <w:left w:val="none" w:sz="0" w:space="0" w:color="auto"/>
            <w:bottom w:val="none" w:sz="0" w:space="0" w:color="auto"/>
            <w:right w:val="none" w:sz="0" w:space="0" w:color="auto"/>
          </w:divBdr>
        </w:div>
        <w:div w:id="1566917238">
          <w:marLeft w:val="0"/>
          <w:marRight w:val="0"/>
          <w:marTop w:val="0"/>
          <w:marBottom w:val="74"/>
          <w:divBdr>
            <w:top w:val="none" w:sz="0" w:space="0" w:color="auto"/>
            <w:left w:val="none" w:sz="0" w:space="0" w:color="auto"/>
            <w:bottom w:val="none" w:sz="0" w:space="0" w:color="auto"/>
            <w:right w:val="none" w:sz="0" w:space="0" w:color="auto"/>
          </w:divBdr>
        </w:div>
        <w:div w:id="1144204169">
          <w:marLeft w:val="0"/>
          <w:marRight w:val="0"/>
          <w:marTop w:val="0"/>
          <w:marBottom w:val="74"/>
          <w:divBdr>
            <w:top w:val="none" w:sz="0" w:space="0" w:color="auto"/>
            <w:left w:val="none" w:sz="0" w:space="0" w:color="auto"/>
            <w:bottom w:val="none" w:sz="0" w:space="0" w:color="auto"/>
            <w:right w:val="none" w:sz="0" w:space="0" w:color="auto"/>
          </w:divBdr>
        </w:div>
        <w:div w:id="990788718">
          <w:marLeft w:val="0"/>
          <w:marRight w:val="0"/>
          <w:marTop w:val="0"/>
          <w:marBottom w:val="74"/>
          <w:divBdr>
            <w:top w:val="none" w:sz="0" w:space="0" w:color="auto"/>
            <w:left w:val="none" w:sz="0" w:space="0" w:color="auto"/>
            <w:bottom w:val="none" w:sz="0" w:space="0" w:color="auto"/>
            <w:right w:val="none" w:sz="0" w:space="0" w:color="auto"/>
          </w:divBdr>
        </w:div>
        <w:div w:id="1435125731">
          <w:marLeft w:val="0"/>
          <w:marRight w:val="0"/>
          <w:marTop w:val="0"/>
          <w:marBottom w:val="74"/>
          <w:divBdr>
            <w:top w:val="none" w:sz="0" w:space="0" w:color="auto"/>
            <w:left w:val="none" w:sz="0" w:space="0" w:color="auto"/>
            <w:bottom w:val="none" w:sz="0" w:space="0" w:color="auto"/>
            <w:right w:val="none" w:sz="0" w:space="0" w:color="auto"/>
          </w:divBdr>
        </w:div>
        <w:div w:id="1615988513">
          <w:marLeft w:val="0"/>
          <w:marRight w:val="0"/>
          <w:marTop w:val="0"/>
          <w:marBottom w:val="74"/>
          <w:divBdr>
            <w:top w:val="none" w:sz="0" w:space="0" w:color="auto"/>
            <w:left w:val="none" w:sz="0" w:space="0" w:color="auto"/>
            <w:bottom w:val="none" w:sz="0" w:space="0" w:color="auto"/>
            <w:right w:val="none" w:sz="0" w:space="0" w:color="auto"/>
          </w:divBdr>
        </w:div>
        <w:div w:id="228424294">
          <w:marLeft w:val="0"/>
          <w:marRight w:val="0"/>
          <w:marTop w:val="0"/>
          <w:marBottom w:val="74"/>
          <w:divBdr>
            <w:top w:val="none" w:sz="0" w:space="0" w:color="auto"/>
            <w:left w:val="none" w:sz="0" w:space="0" w:color="auto"/>
            <w:bottom w:val="none" w:sz="0" w:space="0" w:color="auto"/>
            <w:right w:val="none" w:sz="0" w:space="0" w:color="auto"/>
          </w:divBdr>
        </w:div>
        <w:div w:id="168646035">
          <w:marLeft w:val="0"/>
          <w:marRight w:val="0"/>
          <w:marTop w:val="0"/>
          <w:marBottom w:val="74"/>
          <w:divBdr>
            <w:top w:val="none" w:sz="0" w:space="0" w:color="auto"/>
            <w:left w:val="none" w:sz="0" w:space="0" w:color="auto"/>
            <w:bottom w:val="none" w:sz="0" w:space="0" w:color="auto"/>
            <w:right w:val="none" w:sz="0" w:space="0" w:color="auto"/>
          </w:divBdr>
        </w:div>
        <w:div w:id="2106072071">
          <w:marLeft w:val="720"/>
          <w:marRight w:val="0"/>
          <w:marTop w:val="0"/>
          <w:marBottom w:val="74"/>
          <w:divBdr>
            <w:top w:val="none" w:sz="0" w:space="0" w:color="auto"/>
            <w:left w:val="none" w:sz="0" w:space="0" w:color="auto"/>
            <w:bottom w:val="none" w:sz="0" w:space="0" w:color="auto"/>
            <w:right w:val="none" w:sz="0" w:space="0" w:color="auto"/>
          </w:divBdr>
        </w:div>
        <w:div w:id="1010914545">
          <w:marLeft w:val="720"/>
          <w:marRight w:val="0"/>
          <w:marTop w:val="0"/>
          <w:marBottom w:val="74"/>
          <w:divBdr>
            <w:top w:val="none" w:sz="0" w:space="0" w:color="auto"/>
            <w:left w:val="none" w:sz="0" w:space="0" w:color="auto"/>
            <w:bottom w:val="none" w:sz="0" w:space="0" w:color="auto"/>
            <w:right w:val="none" w:sz="0" w:space="0" w:color="auto"/>
          </w:divBdr>
        </w:div>
        <w:div w:id="1346709890">
          <w:marLeft w:val="0"/>
          <w:marRight w:val="0"/>
          <w:marTop w:val="0"/>
          <w:marBottom w:val="101"/>
          <w:divBdr>
            <w:top w:val="none" w:sz="0" w:space="0" w:color="auto"/>
            <w:left w:val="none" w:sz="0" w:space="0" w:color="auto"/>
            <w:bottom w:val="none" w:sz="0" w:space="0" w:color="auto"/>
            <w:right w:val="none" w:sz="0" w:space="0" w:color="auto"/>
          </w:divBdr>
        </w:div>
        <w:div w:id="1717002838">
          <w:marLeft w:val="0"/>
          <w:marRight w:val="0"/>
          <w:marTop w:val="0"/>
          <w:marBottom w:val="101"/>
          <w:divBdr>
            <w:top w:val="none" w:sz="0" w:space="0" w:color="auto"/>
            <w:left w:val="none" w:sz="0" w:space="0" w:color="auto"/>
            <w:bottom w:val="none" w:sz="0" w:space="0" w:color="auto"/>
            <w:right w:val="none" w:sz="0" w:space="0" w:color="auto"/>
          </w:divBdr>
        </w:div>
        <w:div w:id="763184128">
          <w:marLeft w:val="0"/>
          <w:marRight w:val="0"/>
          <w:marTop w:val="0"/>
          <w:marBottom w:val="101"/>
          <w:divBdr>
            <w:top w:val="none" w:sz="0" w:space="0" w:color="auto"/>
            <w:left w:val="none" w:sz="0" w:space="0" w:color="auto"/>
            <w:bottom w:val="none" w:sz="0" w:space="0" w:color="auto"/>
            <w:right w:val="none" w:sz="0" w:space="0" w:color="auto"/>
          </w:divBdr>
        </w:div>
        <w:div w:id="1286430665">
          <w:marLeft w:val="0"/>
          <w:marRight w:val="0"/>
          <w:marTop w:val="0"/>
          <w:marBottom w:val="101"/>
          <w:divBdr>
            <w:top w:val="none" w:sz="0" w:space="0" w:color="auto"/>
            <w:left w:val="none" w:sz="0" w:space="0" w:color="auto"/>
            <w:bottom w:val="none" w:sz="0" w:space="0" w:color="auto"/>
            <w:right w:val="none" w:sz="0" w:space="0" w:color="auto"/>
          </w:divBdr>
        </w:div>
        <w:div w:id="1393698066">
          <w:marLeft w:val="0"/>
          <w:marRight w:val="0"/>
          <w:marTop w:val="0"/>
          <w:marBottom w:val="101"/>
          <w:divBdr>
            <w:top w:val="none" w:sz="0" w:space="0" w:color="auto"/>
            <w:left w:val="none" w:sz="0" w:space="0" w:color="auto"/>
            <w:bottom w:val="none" w:sz="0" w:space="0" w:color="auto"/>
            <w:right w:val="none" w:sz="0" w:space="0" w:color="auto"/>
          </w:divBdr>
        </w:div>
        <w:div w:id="809439550">
          <w:marLeft w:val="0"/>
          <w:marRight w:val="0"/>
          <w:marTop w:val="0"/>
          <w:marBottom w:val="101"/>
          <w:divBdr>
            <w:top w:val="none" w:sz="0" w:space="0" w:color="auto"/>
            <w:left w:val="none" w:sz="0" w:space="0" w:color="auto"/>
            <w:bottom w:val="none" w:sz="0" w:space="0" w:color="auto"/>
            <w:right w:val="none" w:sz="0" w:space="0" w:color="auto"/>
          </w:divBdr>
        </w:div>
        <w:div w:id="1982271993">
          <w:marLeft w:val="0"/>
          <w:marRight w:val="0"/>
          <w:marTop w:val="0"/>
          <w:marBottom w:val="101"/>
          <w:divBdr>
            <w:top w:val="none" w:sz="0" w:space="0" w:color="auto"/>
            <w:left w:val="none" w:sz="0" w:space="0" w:color="auto"/>
            <w:bottom w:val="none" w:sz="0" w:space="0" w:color="auto"/>
            <w:right w:val="none" w:sz="0" w:space="0" w:color="auto"/>
          </w:divBdr>
        </w:div>
        <w:div w:id="116071292">
          <w:marLeft w:val="0"/>
          <w:marRight w:val="0"/>
          <w:marTop w:val="0"/>
          <w:marBottom w:val="101"/>
          <w:divBdr>
            <w:top w:val="none" w:sz="0" w:space="0" w:color="auto"/>
            <w:left w:val="none" w:sz="0" w:space="0" w:color="auto"/>
            <w:bottom w:val="none" w:sz="0" w:space="0" w:color="auto"/>
            <w:right w:val="none" w:sz="0" w:space="0" w:color="auto"/>
          </w:divBdr>
        </w:div>
        <w:div w:id="1844125151">
          <w:marLeft w:val="0"/>
          <w:marRight w:val="0"/>
          <w:marTop w:val="0"/>
          <w:marBottom w:val="101"/>
          <w:divBdr>
            <w:top w:val="none" w:sz="0" w:space="0" w:color="auto"/>
            <w:left w:val="none" w:sz="0" w:space="0" w:color="auto"/>
            <w:bottom w:val="none" w:sz="0" w:space="0" w:color="auto"/>
            <w:right w:val="none" w:sz="0" w:space="0" w:color="auto"/>
          </w:divBdr>
        </w:div>
        <w:div w:id="265891486">
          <w:marLeft w:val="0"/>
          <w:marRight w:val="0"/>
          <w:marTop w:val="0"/>
          <w:marBottom w:val="101"/>
          <w:divBdr>
            <w:top w:val="none" w:sz="0" w:space="0" w:color="auto"/>
            <w:left w:val="none" w:sz="0" w:space="0" w:color="auto"/>
            <w:bottom w:val="none" w:sz="0" w:space="0" w:color="auto"/>
            <w:right w:val="none" w:sz="0" w:space="0" w:color="auto"/>
          </w:divBdr>
        </w:div>
        <w:div w:id="2082825060">
          <w:marLeft w:val="0"/>
          <w:marRight w:val="0"/>
          <w:marTop w:val="0"/>
          <w:marBottom w:val="101"/>
          <w:divBdr>
            <w:top w:val="none" w:sz="0" w:space="0" w:color="auto"/>
            <w:left w:val="none" w:sz="0" w:space="0" w:color="auto"/>
            <w:bottom w:val="none" w:sz="0" w:space="0" w:color="auto"/>
            <w:right w:val="none" w:sz="0" w:space="0" w:color="auto"/>
          </w:divBdr>
        </w:div>
        <w:div w:id="241332992">
          <w:marLeft w:val="0"/>
          <w:marRight w:val="0"/>
          <w:marTop w:val="0"/>
          <w:marBottom w:val="101"/>
          <w:divBdr>
            <w:top w:val="none" w:sz="0" w:space="0" w:color="auto"/>
            <w:left w:val="none" w:sz="0" w:space="0" w:color="auto"/>
            <w:bottom w:val="none" w:sz="0" w:space="0" w:color="auto"/>
            <w:right w:val="none" w:sz="0" w:space="0" w:color="auto"/>
          </w:divBdr>
        </w:div>
        <w:div w:id="1684474341">
          <w:marLeft w:val="0"/>
          <w:marRight w:val="0"/>
          <w:marTop w:val="0"/>
          <w:marBottom w:val="101"/>
          <w:divBdr>
            <w:top w:val="none" w:sz="0" w:space="0" w:color="auto"/>
            <w:left w:val="none" w:sz="0" w:space="0" w:color="auto"/>
            <w:bottom w:val="none" w:sz="0" w:space="0" w:color="auto"/>
            <w:right w:val="none" w:sz="0" w:space="0" w:color="auto"/>
          </w:divBdr>
        </w:div>
        <w:div w:id="414404453">
          <w:marLeft w:val="0"/>
          <w:marRight w:val="0"/>
          <w:marTop w:val="0"/>
          <w:marBottom w:val="101"/>
          <w:divBdr>
            <w:top w:val="none" w:sz="0" w:space="0" w:color="auto"/>
            <w:left w:val="none" w:sz="0" w:space="0" w:color="auto"/>
            <w:bottom w:val="none" w:sz="0" w:space="0" w:color="auto"/>
            <w:right w:val="none" w:sz="0" w:space="0" w:color="auto"/>
          </w:divBdr>
        </w:div>
        <w:div w:id="1602492950">
          <w:marLeft w:val="0"/>
          <w:marRight w:val="0"/>
          <w:marTop w:val="0"/>
          <w:marBottom w:val="101"/>
          <w:divBdr>
            <w:top w:val="none" w:sz="0" w:space="0" w:color="auto"/>
            <w:left w:val="none" w:sz="0" w:space="0" w:color="auto"/>
            <w:bottom w:val="none" w:sz="0" w:space="0" w:color="auto"/>
            <w:right w:val="none" w:sz="0" w:space="0" w:color="auto"/>
          </w:divBdr>
        </w:div>
        <w:div w:id="1448501083">
          <w:marLeft w:val="0"/>
          <w:marRight w:val="0"/>
          <w:marTop w:val="0"/>
          <w:marBottom w:val="101"/>
          <w:divBdr>
            <w:top w:val="none" w:sz="0" w:space="0" w:color="auto"/>
            <w:left w:val="none" w:sz="0" w:space="0" w:color="auto"/>
            <w:bottom w:val="none" w:sz="0" w:space="0" w:color="auto"/>
            <w:right w:val="none" w:sz="0" w:space="0" w:color="auto"/>
          </w:divBdr>
        </w:div>
        <w:div w:id="1188912835">
          <w:marLeft w:val="0"/>
          <w:marRight w:val="0"/>
          <w:marTop w:val="0"/>
          <w:marBottom w:val="101"/>
          <w:divBdr>
            <w:top w:val="none" w:sz="0" w:space="0" w:color="auto"/>
            <w:left w:val="none" w:sz="0" w:space="0" w:color="auto"/>
            <w:bottom w:val="none" w:sz="0" w:space="0" w:color="auto"/>
            <w:right w:val="none" w:sz="0" w:space="0" w:color="auto"/>
          </w:divBdr>
        </w:div>
        <w:div w:id="205147921">
          <w:marLeft w:val="0"/>
          <w:marRight w:val="0"/>
          <w:marTop w:val="0"/>
          <w:marBottom w:val="101"/>
          <w:divBdr>
            <w:top w:val="none" w:sz="0" w:space="0" w:color="auto"/>
            <w:left w:val="none" w:sz="0" w:space="0" w:color="auto"/>
            <w:bottom w:val="none" w:sz="0" w:space="0" w:color="auto"/>
            <w:right w:val="none" w:sz="0" w:space="0" w:color="auto"/>
          </w:divBdr>
        </w:div>
        <w:div w:id="1860316640">
          <w:marLeft w:val="0"/>
          <w:marRight w:val="0"/>
          <w:marTop w:val="0"/>
          <w:marBottom w:val="101"/>
          <w:divBdr>
            <w:top w:val="none" w:sz="0" w:space="0" w:color="auto"/>
            <w:left w:val="none" w:sz="0" w:space="0" w:color="auto"/>
            <w:bottom w:val="none" w:sz="0" w:space="0" w:color="auto"/>
            <w:right w:val="none" w:sz="0" w:space="0" w:color="auto"/>
          </w:divBdr>
        </w:div>
        <w:div w:id="76707971">
          <w:marLeft w:val="0"/>
          <w:marRight w:val="0"/>
          <w:marTop w:val="0"/>
          <w:marBottom w:val="101"/>
          <w:divBdr>
            <w:top w:val="none" w:sz="0" w:space="0" w:color="auto"/>
            <w:left w:val="none" w:sz="0" w:space="0" w:color="auto"/>
            <w:bottom w:val="none" w:sz="0" w:space="0" w:color="auto"/>
            <w:right w:val="none" w:sz="0" w:space="0" w:color="auto"/>
          </w:divBdr>
        </w:div>
        <w:div w:id="1565993741">
          <w:marLeft w:val="0"/>
          <w:marRight w:val="0"/>
          <w:marTop w:val="0"/>
          <w:marBottom w:val="101"/>
          <w:divBdr>
            <w:top w:val="none" w:sz="0" w:space="0" w:color="auto"/>
            <w:left w:val="none" w:sz="0" w:space="0" w:color="auto"/>
            <w:bottom w:val="none" w:sz="0" w:space="0" w:color="auto"/>
            <w:right w:val="none" w:sz="0" w:space="0" w:color="auto"/>
          </w:divBdr>
        </w:div>
        <w:div w:id="628512427">
          <w:marLeft w:val="0"/>
          <w:marRight w:val="0"/>
          <w:marTop w:val="0"/>
          <w:marBottom w:val="101"/>
          <w:divBdr>
            <w:top w:val="none" w:sz="0" w:space="0" w:color="auto"/>
            <w:left w:val="none" w:sz="0" w:space="0" w:color="auto"/>
            <w:bottom w:val="none" w:sz="0" w:space="0" w:color="auto"/>
            <w:right w:val="none" w:sz="0" w:space="0" w:color="auto"/>
          </w:divBdr>
        </w:div>
        <w:div w:id="80181536">
          <w:marLeft w:val="0"/>
          <w:marRight w:val="0"/>
          <w:marTop w:val="0"/>
          <w:marBottom w:val="101"/>
          <w:divBdr>
            <w:top w:val="none" w:sz="0" w:space="0" w:color="auto"/>
            <w:left w:val="none" w:sz="0" w:space="0" w:color="auto"/>
            <w:bottom w:val="none" w:sz="0" w:space="0" w:color="auto"/>
            <w:right w:val="none" w:sz="0" w:space="0" w:color="auto"/>
          </w:divBdr>
        </w:div>
        <w:div w:id="1689791477">
          <w:marLeft w:val="0"/>
          <w:marRight w:val="0"/>
          <w:marTop w:val="0"/>
          <w:marBottom w:val="101"/>
          <w:divBdr>
            <w:top w:val="none" w:sz="0" w:space="0" w:color="auto"/>
            <w:left w:val="none" w:sz="0" w:space="0" w:color="auto"/>
            <w:bottom w:val="none" w:sz="0" w:space="0" w:color="auto"/>
            <w:right w:val="none" w:sz="0" w:space="0" w:color="auto"/>
          </w:divBdr>
        </w:div>
        <w:div w:id="1521049069">
          <w:marLeft w:val="0"/>
          <w:marRight w:val="0"/>
          <w:marTop w:val="0"/>
          <w:marBottom w:val="101"/>
          <w:divBdr>
            <w:top w:val="none" w:sz="0" w:space="0" w:color="auto"/>
            <w:left w:val="none" w:sz="0" w:space="0" w:color="auto"/>
            <w:bottom w:val="none" w:sz="0" w:space="0" w:color="auto"/>
            <w:right w:val="none" w:sz="0" w:space="0" w:color="auto"/>
          </w:divBdr>
        </w:div>
        <w:div w:id="475026780">
          <w:marLeft w:val="0"/>
          <w:marRight w:val="0"/>
          <w:marTop w:val="0"/>
          <w:marBottom w:val="101"/>
          <w:divBdr>
            <w:top w:val="none" w:sz="0" w:space="0" w:color="auto"/>
            <w:left w:val="none" w:sz="0" w:space="0" w:color="auto"/>
            <w:bottom w:val="none" w:sz="0" w:space="0" w:color="auto"/>
            <w:right w:val="none" w:sz="0" w:space="0" w:color="auto"/>
          </w:divBdr>
        </w:div>
        <w:div w:id="1240677103">
          <w:marLeft w:val="0"/>
          <w:marRight w:val="0"/>
          <w:marTop w:val="0"/>
          <w:marBottom w:val="101"/>
          <w:divBdr>
            <w:top w:val="none" w:sz="0" w:space="0" w:color="auto"/>
            <w:left w:val="none" w:sz="0" w:space="0" w:color="auto"/>
            <w:bottom w:val="none" w:sz="0" w:space="0" w:color="auto"/>
            <w:right w:val="none" w:sz="0" w:space="0" w:color="auto"/>
          </w:divBdr>
        </w:div>
        <w:div w:id="1909342033">
          <w:marLeft w:val="0"/>
          <w:marRight w:val="0"/>
          <w:marTop w:val="0"/>
          <w:marBottom w:val="101"/>
          <w:divBdr>
            <w:top w:val="none" w:sz="0" w:space="0" w:color="auto"/>
            <w:left w:val="none" w:sz="0" w:space="0" w:color="auto"/>
            <w:bottom w:val="none" w:sz="0" w:space="0" w:color="auto"/>
            <w:right w:val="none" w:sz="0" w:space="0" w:color="auto"/>
          </w:divBdr>
        </w:div>
        <w:div w:id="818766592">
          <w:marLeft w:val="0"/>
          <w:marRight w:val="0"/>
          <w:marTop w:val="0"/>
          <w:marBottom w:val="101"/>
          <w:divBdr>
            <w:top w:val="none" w:sz="0" w:space="0" w:color="auto"/>
            <w:left w:val="none" w:sz="0" w:space="0" w:color="auto"/>
            <w:bottom w:val="none" w:sz="0" w:space="0" w:color="auto"/>
            <w:right w:val="none" w:sz="0" w:space="0" w:color="auto"/>
          </w:divBdr>
        </w:div>
        <w:div w:id="699935236">
          <w:marLeft w:val="0"/>
          <w:marRight w:val="0"/>
          <w:marTop w:val="0"/>
          <w:marBottom w:val="101"/>
          <w:divBdr>
            <w:top w:val="none" w:sz="0" w:space="0" w:color="auto"/>
            <w:left w:val="none" w:sz="0" w:space="0" w:color="auto"/>
            <w:bottom w:val="none" w:sz="0" w:space="0" w:color="auto"/>
            <w:right w:val="none" w:sz="0" w:space="0" w:color="auto"/>
          </w:divBdr>
        </w:div>
        <w:div w:id="1999069131">
          <w:marLeft w:val="0"/>
          <w:marRight w:val="0"/>
          <w:marTop w:val="0"/>
          <w:marBottom w:val="101"/>
          <w:divBdr>
            <w:top w:val="none" w:sz="0" w:space="0" w:color="auto"/>
            <w:left w:val="none" w:sz="0" w:space="0" w:color="auto"/>
            <w:bottom w:val="none" w:sz="0" w:space="0" w:color="auto"/>
            <w:right w:val="none" w:sz="0" w:space="0" w:color="auto"/>
          </w:divBdr>
        </w:div>
        <w:div w:id="78915961">
          <w:marLeft w:val="0"/>
          <w:marRight w:val="0"/>
          <w:marTop w:val="0"/>
          <w:marBottom w:val="101"/>
          <w:divBdr>
            <w:top w:val="none" w:sz="0" w:space="0" w:color="auto"/>
            <w:left w:val="none" w:sz="0" w:space="0" w:color="auto"/>
            <w:bottom w:val="none" w:sz="0" w:space="0" w:color="auto"/>
            <w:right w:val="none" w:sz="0" w:space="0" w:color="auto"/>
          </w:divBdr>
        </w:div>
        <w:div w:id="135924358">
          <w:marLeft w:val="0"/>
          <w:marRight w:val="0"/>
          <w:marTop w:val="0"/>
          <w:marBottom w:val="101"/>
          <w:divBdr>
            <w:top w:val="none" w:sz="0" w:space="0" w:color="auto"/>
            <w:left w:val="none" w:sz="0" w:space="0" w:color="auto"/>
            <w:bottom w:val="none" w:sz="0" w:space="0" w:color="auto"/>
            <w:right w:val="none" w:sz="0" w:space="0" w:color="auto"/>
          </w:divBdr>
        </w:div>
        <w:div w:id="813180629">
          <w:marLeft w:val="0"/>
          <w:marRight w:val="0"/>
          <w:marTop w:val="0"/>
          <w:marBottom w:val="101"/>
          <w:divBdr>
            <w:top w:val="none" w:sz="0" w:space="0" w:color="auto"/>
            <w:left w:val="none" w:sz="0" w:space="0" w:color="auto"/>
            <w:bottom w:val="none" w:sz="0" w:space="0" w:color="auto"/>
            <w:right w:val="none" w:sz="0" w:space="0" w:color="auto"/>
          </w:divBdr>
        </w:div>
        <w:div w:id="1426029687">
          <w:marLeft w:val="0"/>
          <w:marRight w:val="0"/>
          <w:marTop w:val="0"/>
          <w:marBottom w:val="101"/>
          <w:divBdr>
            <w:top w:val="none" w:sz="0" w:space="0" w:color="auto"/>
            <w:left w:val="none" w:sz="0" w:space="0" w:color="auto"/>
            <w:bottom w:val="none" w:sz="0" w:space="0" w:color="auto"/>
            <w:right w:val="none" w:sz="0" w:space="0" w:color="auto"/>
          </w:divBdr>
        </w:div>
        <w:div w:id="162163280">
          <w:marLeft w:val="0"/>
          <w:marRight w:val="0"/>
          <w:marTop w:val="0"/>
          <w:marBottom w:val="101"/>
          <w:divBdr>
            <w:top w:val="none" w:sz="0" w:space="0" w:color="auto"/>
            <w:left w:val="none" w:sz="0" w:space="0" w:color="auto"/>
            <w:bottom w:val="none" w:sz="0" w:space="0" w:color="auto"/>
            <w:right w:val="none" w:sz="0" w:space="0" w:color="auto"/>
          </w:divBdr>
        </w:div>
        <w:div w:id="509300221">
          <w:marLeft w:val="0"/>
          <w:marRight w:val="0"/>
          <w:marTop w:val="0"/>
          <w:marBottom w:val="101"/>
          <w:divBdr>
            <w:top w:val="none" w:sz="0" w:space="0" w:color="auto"/>
            <w:left w:val="none" w:sz="0" w:space="0" w:color="auto"/>
            <w:bottom w:val="none" w:sz="0" w:space="0" w:color="auto"/>
            <w:right w:val="none" w:sz="0" w:space="0" w:color="auto"/>
          </w:divBdr>
        </w:div>
        <w:div w:id="2063551974">
          <w:marLeft w:val="0"/>
          <w:marRight w:val="0"/>
          <w:marTop w:val="0"/>
          <w:marBottom w:val="101"/>
          <w:divBdr>
            <w:top w:val="none" w:sz="0" w:space="0" w:color="auto"/>
            <w:left w:val="none" w:sz="0" w:space="0" w:color="auto"/>
            <w:bottom w:val="none" w:sz="0" w:space="0" w:color="auto"/>
            <w:right w:val="none" w:sz="0" w:space="0" w:color="auto"/>
          </w:divBdr>
        </w:div>
        <w:div w:id="271403051">
          <w:marLeft w:val="0"/>
          <w:marRight w:val="0"/>
          <w:marTop w:val="0"/>
          <w:marBottom w:val="101"/>
          <w:divBdr>
            <w:top w:val="none" w:sz="0" w:space="0" w:color="auto"/>
            <w:left w:val="none" w:sz="0" w:space="0" w:color="auto"/>
            <w:bottom w:val="none" w:sz="0" w:space="0" w:color="auto"/>
            <w:right w:val="none" w:sz="0" w:space="0" w:color="auto"/>
          </w:divBdr>
        </w:div>
        <w:div w:id="763960859">
          <w:marLeft w:val="0"/>
          <w:marRight w:val="0"/>
          <w:marTop w:val="0"/>
          <w:marBottom w:val="101"/>
          <w:divBdr>
            <w:top w:val="none" w:sz="0" w:space="0" w:color="auto"/>
            <w:left w:val="none" w:sz="0" w:space="0" w:color="auto"/>
            <w:bottom w:val="none" w:sz="0" w:space="0" w:color="auto"/>
            <w:right w:val="none" w:sz="0" w:space="0" w:color="auto"/>
          </w:divBdr>
        </w:div>
        <w:div w:id="353308905">
          <w:marLeft w:val="0"/>
          <w:marRight w:val="0"/>
          <w:marTop w:val="0"/>
          <w:marBottom w:val="101"/>
          <w:divBdr>
            <w:top w:val="none" w:sz="0" w:space="0" w:color="auto"/>
            <w:left w:val="none" w:sz="0" w:space="0" w:color="auto"/>
            <w:bottom w:val="none" w:sz="0" w:space="0" w:color="auto"/>
            <w:right w:val="none" w:sz="0" w:space="0" w:color="auto"/>
          </w:divBdr>
        </w:div>
        <w:div w:id="977877991">
          <w:marLeft w:val="0"/>
          <w:marRight w:val="0"/>
          <w:marTop w:val="0"/>
          <w:marBottom w:val="101"/>
          <w:divBdr>
            <w:top w:val="none" w:sz="0" w:space="0" w:color="auto"/>
            <w:left w:val="none" w:sz="0" w:space="0" w:color="auto"/>
            <w:bottom w:val="none" w:sz="0" w:space="0" w:color="auto"/>
            <w:right w:val="none" w:sz="0" w:space="0" w:color="auto"/>
          </w:divBdr>
        </w:div>
        <w:div w:id="546601656">
          <w:marLeft w:val="0"/>
          <w:marRight w:val="0"/>
          <w:marTop w:val="0"/>
          <w:marBottom w:val="101"/>
          <w:divBdr>
            <w:top w:val="none" w:sz="0" w:space="0" w:color="auto"/>
            <w:left w:val="none" w:sz="0" w:space="0" w:color="auto"/>
            <w:bottom w:val="none" w:sz="0" w:space="0" w:color="auto"/>
            <w:right w:val="none" w:sz="0" w:space="0" w:color="auto"/>
          </w:divBdr>
        </w:div>
        <w:div w:id="249581307">
          <w:marLeft w:val="0"/>
          <w:marRight w:val="0"/>
          <w:marTop w:val="0"/>
          <w:marBottom w:val="101"/>
          <w:divBdr>
            <w:top w:val="none" w:sz="0" w:space="0" w:color="auto"/>
            <w:left w:val="none" w:sz="0" w:space="0" w:color="auto"/>
            <w:bottom w:val="none" w:sz="0" w:space="0" w:color="auto"/>
            <w:right w:val="none" w:sz="0" w:space="0" w:color="auto"/>
          </w:divBdr>
        </w:div>
        <w:div w:id="628971879">
          <w:marLeft w:val="0"/>
          <w:marRight w:val="0"/>
          <w:marTop w:val="0"/>
          <w:marBottom w:val="101"/>
          <w:divBdr>
            <w:top w:val="none" w:sz="0" w:space="0" w:color="auto"/>
            <w:left w:val="none" w:sz="0" w:space="0" w:color="auto"/>
            <w:bottom w:val="none" w:sz="0" w:space="0" w:color="auto"/>
            <w:right w:val="none" w:sz="0" w:space="0" w:color="auto"/>
          </w:divBdr>
        </w:div>
        <w:div w:id="1492602067">
          <w:marLeft w:val="0"/>
          <w:marRight w:val="0"/>
          <w:marTop w:val="0"/>
          <w:marBottom w:val="101"/>
          <w:divBdr>
            <w:top w:val="none" w:sz="0" w:space="0" w:color="auto"/>
            <w:left w:val="none" w:sz="0" w:space="0" w:color="auto"/>
            <w:bottom w:val="none" w:sz="0" w:space="0" w:color="auto"/>
            <w:right w:val="none" w:sz="0" w:space="0" w:color="auto"/>
          </w:divBdr>
        </w:div>
        <w:div w:id="1816602868">
          <w:marLeft w:val="0"/>
          <w:marRight w:val="0"/>
          <w:marTop w:val="0"/>
          <w:marBottom w:val="101"/>
          <w:divBdr>
            <w:top w:val="none" w:sz="0" w:space="0" w:color="auto"/>
            <w:left w:val="none" w:sz="0" w:space="0" w:color="auto"/>
            <w:bottom w:val="none" w:sz="0" w:space="0" w:color="auto"/>
            <w:right w:val="none" w:sz="0" w:space="0" w:color="auto"/>
          </w:divBdr>
        </w:div>
        <w:div w:id="472406440">
          <w:marLeft w:val="0"/>
          <w:marRight w:val="0"/>
          <w:marTop w:val="0"/>
          <w:marBottom w:val="101"/>
          <w:divBdr>
            <w:top w:val="none" w:sz="0" w:space="0" w:color="auto"/>
            <w:left w:val="none" w:sz="0" w:space="0" w:color="auto"/>
            <w:bottom w:val="none" w:sz="0" w:space="0" w:color="auto"/>
            <w:right w:val="none" w:sz="0" w:space="0" w:color="auto"/>
          </w:divBdr>
        </w:div>
        <w:div w:id="324476138">
          <w:marLeft w:val="0"/>
          <w:marRight w:val="0"/>
          <w:marTop w:val="0"/>
          <w:marBottom w:val="101"/>
          <w:divBdr>
            <w:top w:val="none" w:sz="0" w:space="0" w:color="auto"/>
            <w:left w:val="none" w:sz="0" w:space="0" w:color="auto"/>
            <w:bottom w:val="none" w:sz="0" w:space="0" w:color="auto"/>
            <w:right w:val="none" w:sz="0" w:space="0" w:color="auto"/>
          </w:divBdr>
        </w:div>
        <w:div w:id="1305357439">
          <w:marLeft w:val="0"/>
          <w:marRight w:val="0"/>
          <w:marTop w:val="0"/>
          <w:marBottom w:val="101"/>
          <w:divBdr>
            <w:top w:val="none" w:sz="0" w:space="0" w:color="auto"/>
            <w:left w:val="none" w:sz="0" w:space="0" w:color="auto"/>
            <w:bottom w:val="none" w:sz="0" w:space="0" w:color="auto"/>
            <w:right w:val="none" w:sz="0" w:space="0" w:color="auto"/>
          </w:divBdr>
        </w:div>
        <w:div w:id="367919212">
          <w:marLeft w:val="0"/>
          <w:marRight w:val="0"/>
          <w:marTop w:val="0"/>
          <w:marBottom w:val="101"/>
          <w:divBdr>
            <w:top w:val="none" w:sz="0" w:space="0" w:color="auto"/>
            <w:left w:val="none" w:sz="0" w:space="0" w:color="auto"/>
            <w:bottom w:val="none" w:sz="0" w:space="0" w:color="auto"/>
            <w:right w:val="none" w:sz="0" w:space="0" w:color="auto"/>
          </w:divBdr>
        </w:div>
        <w:div w:id="1121456651">
          <w:marLeft w:val="0"/>
          <w:marRight w:val="0"/>
          <w:marTop w:val="0"/>
          <w:marBottom w:val="101"/>
          <w:divBdr>
            <w:top w:val="none" w:sz="0" w:space="0" w:color="auto"/>
            <w:left w:val="none" w:sz="0" w:space="0" w:color="auto"/>
            <w:bottom w:val="none" w:sz="0" w:space="0" w:color="auto"/>
            <w:right w:val="none" w:sz="0" w:space="0" w:color="auto"/>
          </w:divBdr>
        </w:div>
        <w:div w:id="1105004286">
          <w:marLeft w:val="0"/>
          <w:marRight w:val="0"/>
          <w:marTop w:val="0"/>
          <w:marBottom w:val="101"/>
          <w:divBdr>
            <w:top w:val="none" w:sz="0" w:space="0" w:color="auto"/>
            <w:left w:val="none" w:sz="0" w:space="0" w:color="auto"/>
            <w:bottom w:val="none" w:sz="0" w:space="0" w:color="auto"/>
            <w:right w:val="none" w:sz="0" w:space="0" w:color="auto"/>
          </w:divBdr>
        </w:div>
        <w:div w:id="1089156959">
          <w:marLeft w:val="0"/>
          <w:marRight w:val="0"/>
          <w:marTop w:val="0"/>
          <w:marBottom w:val="101"/>
          <w:divBdr>
            <w:top w:val="none" w:sz="0" w:space="0" w:color="auto"/>
            <w:left w:val="none" w:sz="0" w:space="0" w:color="auto"/>
            <w:bottom w:val="none" w:sz="0" w:space="0" w:color="auto"/>
            <w:right w:val="none" w:sz="0" w:space="0" w:color="auto"/>
          </w:divBdr>
        </w:div>
        <w:div w:id="1284918295">
          <w:marLeft w:val="0"/>
          <w:marRight w:val="0"/>
          <w:marTop w:val="0"/>
          <w:marBottom w:val="101"/>
          <w:divBdr>
            <w:top w:val="none" w:sz="0" w:space="0" w:color="auto"/>
            <w:left w:val="none" w:sz="0" w:space="0" w:color="auto"/>
            <w:bottom w:val="none" w:sz="0" w:space="0" w:color="auto"/>
            <w:right w:val="none" w:sz="0" w:space="0" w:color="auto"/>
          </w:divBdr>
        </w:div>
        <w:div w:id="576478659">
          <w:marLeft w:val="0"/>
          <w:marRight w:val="0"/>
          <w:marTop w:val="0"/>
          <w:marBottom w:val="101"/>
          <w:divBdr>
            <w:top w:val="none" w:sz="0" w:space="0" w:color="auto"/>
            <w:left w:val="none" w:sz="0" w:space="0" w:color="auto"/>
            <w:bottom w:val="none" w:sz="0" w:space="0" w:color="auto"/>
            <w:right w:val="none" w:sz="0" w:space="0" w:color="auto"/>
          </w:divBdr>
        </w:div>
        <w:div w:id="662121264">
          <w:marLeft w:val="0"/>
          <w:marRight w:val="0"/>
          <w:marTop w:val="0"/>
          <w:marBottom w:val="101"/>
          <w:divBdr>
            <w:top w:val="none" w:sz="0" w:space="0" w:color="auto"/>
            <w:left w:val="none" w:sz="0" w:space="0" w:color="auto"/>
            <w:bottom w:val="none" w:sz="0" w:space="0" w:color="auto"/>
            <w:right w:val="none" w:sz="0" w:space="0" w:color="auto"/>
          </w:divBdr>
        </w:div>
        <w:div w:id="1644308873">
          <w:marLeft w:val="0"/>
          <w:marRight w:val="0"/>
          <w:marTop w:val="0"/>
          <w:marBottom w:val="101"/>
          <w:divBdr>
            <w:top w:val="none" w:sz="0" w:space="0" w:color="auto"/>
            <w:left w:val="none" w:sz="0" w:space="0" w:color="auto"/>
            <w:bottom w:val="none" w:sz="0" w:space="0" w:color="auto"/>
            <w:right w:val="none" w:sz="0" w:space="0" w:color="auto"/>
          </w:divBdr>
        </w:div>
        <w:div w:id="2078942862">
          <w:marLeft w:val="0"/>
          <w:marRight w:val="0"/>
          <w:marTop w:val="0"/>
          <w:marBottom w:val="101"/>
          <w:divBdr>
            <w:top w:val="none" w:sz="0" w:space="0" w:color="auto"/>
            <w:left w:val="none" w:sz="0" w:space="0" w:color="auto"/>
            <w:bottom w:val="none" w:sz="0" w:space="0" w:color="auto"/>
            <w:right w:val="none" w:sz="0" w:space="0" w:color="auto"/>
          </w:divBdr>
        </w:div>
        <w:div w:id="606812204">
          <w:marLeft w:val="0"/>
          <w:marRight w:val="0"/>
          <w:marTop w:val="0"/>
          <w:marBottom w:val="101"/>
          <w:divBdr>
            <w:top w:val="none" w:sz="0" w:space="0" w:color="auto"/>
            <w:left w:val="none" w:sz="0" w:space="0" w:color="auto"/>
            <w:bottom w:val="none" w:sz="0" w:space="0" w:color="auto"/>
            <w:right w:val="none" w:sz="0" w:space="0" w:color="auto"/>
          </w:divBdr>
        </w:div>
        <w:div w:id="302660383">
          <w:marLeft w:val="0"/>
          <w:marRight w:val="0"/>
          <w:marTop w:val="0"/>
          <w:marBottom w:val="101"/>
          <w:divBdr>
            <w:top w:val="none" w:sz="0" w:space="0" w:color="auto"/>
            <w:left w:val="none" w:sz="0" w:space="0" w:color="auto"/>
            <w:bottom w:val="none" w:sz="0" w:space="0" w:color="auto"/>
            <w:right w:val="none" w:sz="0" w:space="0" w:color="auto"/>
          </w:divBdr>
        </w:div>
        <w:div w:id="725379552">
          <w:marLeft w:val="0"/>
          <w:marRight w:val="0"/>
          <w:marTop w:val="0"/>
          <w:marBottom w:val="101"/>
          <w:divBdr>
            <w:top w:val="none" w:sz="0" w:space="0" w:color="auto"/>
            <w:left w:val="none" w:sz="0" w:space="0" w:color="auto"/>
            <w:bottom w:val="none" w:sz="0" w:space="0" w:color="auto"/>
            <w:right w:val="none" w:sz="0" w:space="0" w:color="auto"/>
          </w:divBdr>
        </w:div>
        <w:div w:id="1399013722">
          <w:marLeft w:val="0"/>
          <w:marRight w:val="0"/>
          <w:marTop w:val="0"/>
          <w:marBottom w:val="101"/>
          <w:divBdr>
            <w:top w:val="none" w:sz="0" w:space="0" w:color="auto"/>
            <w:left w:val="none" w:sz="0" w:space="0" w:color="auto"/>
            <w:bottom w:val="none" w:sz="0" w:space="0" w:color="auto"/>
            <w:right w:val="none" w:sz="0" w:space="0" w:color="auto"/>
          </w:divBdr>
        </w:div>
        <w:div w:id="758479901">
          <w:marLeft w:val="0"/>
          <w:marRight w:val="0"/>
          <w:marTop w:val="0"/>
          <w:marBottom w:val="101"/>
          <w:divBdr>
            <w:top w:val="none" w:sz="0" w:space="0" w:color="auto"/>
            <w:left w:val="none" w:sz="0" w:space="0" w:color="auto"/>
            <w:bottom w:val="none" w:sz="0" w:space="0" w:color="auto"/>
            <w:right w:val="none" w:sz="0" w:space="0" w:color="auto"/>
          </w:divBdr>
        </w:div>
        <w:div w:id="2145387693">
          <w:marLeft w:val="0"/>
          <w:marRight w:val="0"/>
          <w:marTop w:val="0"/>
          <w:marBottom w:val="101"/>
          <w:divBdr>
            <w:top w:val="none" w:sz="0" w:space="0" w:color="auto"/>
            <w:left w:val="none" w:sz="0" w:space="0" w:color="auto"/>
            <w:bottom w:val="none" w:sz="0" w:space="0" w:color="auto"/>
            <w:right w:val="none" w:sz="0" w:space="0" w:color="auto"/>
          </w:divBdr>
        </w:div>
        <w:div w:id="1752848927">
          <w:marLeft w:val="0"/>
          <w:marRight w:val="0"/>
          <w:marTop w:val="0"/>
          <w:marBottom w:val="101"/>
          <w:divBdr>
            <w:top w:val="none" w:sz="0" w:space="0" w:color="auto"/>
            <w:left w:val="none" w:sz="0" w:space="0" w:color="auto"/>
            <w:bottom w:val="none" w:sz="0" w:space="0" w:color="auto"/>
            <w:right w:val="none" w:sz="0" w:space="0" w:color="auto"/>
          </w:divBdr>
        </w:div>
        <w:div w:id="2019650649">
          <w:marLeft w:val="0"/>
          <w:marRight w:val="0"/>
          <w:marTop w:val="0"/>
          <w:marBottom w:val="101"/>
          <w:divBdr>
            <w:top w:val="none" w:sz="0" w:space="0" w:color="auto"/>
            <w:left w:val="none" w:sz="0" w:space="0" w:color="auto"/>
            <w:bottom w:val="none" w:sz="0" w:space="0" w:color="auto"/>
            <w:right w:val="none" w:sz="0" w:space="0" w:color="auto"/>
          </w:divBdr>
        </w:div>
        <w:div w:id="1231112263">
          <w:marLeft w:val="0"/>
          <w:marRight w:val="0"/>
          <w:marTop w:val="0"/>
          <w:marBottom w:val="101"/>
          <w:divBdr>
            <w:top w:val="none" w:sz="0" w:space="0" w:color="auto"/>
            <w:left w:val="none" w:sz="0" w:space="0" w:color="auto"/>
            <w:bottom w:val="none" w:sz="0" w:space="0" w:color="auto"/>
            <w:right w:val="none" w:sz="0" w:space="0" w:color="auto"/>
          </w:divBdr>
        </w:div>
        <w:div w:id="2053919338">
          <w:marLeft w:val="0"/>
          <w:marRight w:val="0"/>
          <w:marTop w:val="0"/>
          <w:marBottom w:val="101"/>
          <w:divBdr>
            <w:top w:val="none" w:sz="0" w:space="0" w:color="auto"/>
            <w:left w:val="none" w:sz="0" w:space="0" w:color="auto"/>
            <w:bottom w:val="none" w:sz="0" w:space="0" w:color="auto"/>
            <w:right w:val="none" w:sz="0" w:space="0" w:color="auto"/>
          </w:divBdr>
        </w:div>
        <w:div w:id="86662889">
          <w:marLeft w:val="0"/>
          <w:marRight w:val="0"/>
          <w:marTop w:val="0"/>
          <w:marBottom w:val="101"/>
          <w:divBdr>
            <w:top w:val="none" w:sz="0" w:space="0" w:color="auto"/>
            <w:left w:val="none" w:sz="0" w:space="0" w:color="auto"/>
            <w:bottom w:val="none" w:sz="0" w:space="0" w:color="auto"/>
            <w:right w:val="none" w:sz="0" w:space="0" w:color="auto"/>
          </w:divBdr>
        </w:div>
        <w:div w:id="799803746">
          <w:marLeft w:val="720"/>
          <w:marRight w:val="0"/>
          <w:marTop w:val="0"/>
          <w:marBottom w:val="101"/>
          <w:divBdr>
            <w:top w:val="none" w:sz="0" w:space="0" w:color="auto"/>
            <w:left w:val="none" w:sz="0" w:space="0" w:color="auto"/>
            <w:bottom w:val="none" w:sz="0" w:space="0" w:color="auto"/>
            <w:right w:val="none" w:sz="0" w:space="0" w:color="auto"/>
          </w:divBdr>
        </w:div>
        <w:div w:id="2079672441">
          <w:marLeft w:val="0"/>
          <w:marRight w:val="0"/>
          <w:marTop w:val="0"/>
          <w:marBottom w:val="101"/>
          <w:divBdr>
            <w:top w:val="none" w:sz="0" w:space="0" w:color="auto"/>
            <w:left w:val="none" w:sz="0" w:space="0" w:color="auto"/>
            <w:bottom w:val="none" w:sz="0" w:space="0" w:color="auto"/>
            <w:right w:val="none" w:sz="0" w:space="0" w:color="auto"/>
          </w:divBdr>
        </w:div>
        <w:div w:id="2011904294">
          <w:marLeft w:val="0"/>
          <w:marRight w:val="0"/>
          <w:marTop w:val="0"/>
          <w:marBottom w:val="101"/>
          <w:divBdr>
            <w:top w:val="none" w:sz="0" w:space="0" w:color="auto"/>
            <w:left w:val="none" w:sz="0" w:space="0" w:color="auto"/>
            <w:bottom w:val="none" w:sz="0" w:space="0" w:color="auto"/>
            <w:right w:val="none" w:sz="0" w:space="0" w:color="auto"/>
          </w:divBdr>
        </w:div>
        <w:div w:id="257763223">
          <w:marLeft w:val="0"/>
          <w:marRight w:val="0"/>
          <w:marTop w:val="0"/>
          <w:marBottom w:val="101"/>
          <w:divBdr>
            <w:top w:val="none" w:sz="0" w:space="0" w:color="auto"/>
            <w:left w:val="none" w:sz="0" w:space="0" w:color="auto"/>
            <w:bottom w:val="none" w:sz="0" w:space="0" w:color="auto"/>
            <w:right w:val="none" w:sz="0" w:space="0" w:color="auto"/>
          </w:divBdr>
        </w:div>
        <w:div w:id="1882477938">
          <w:marLeft w:val="0"/>
          <w:marRight w:val="0"/>
          <w:marTop w:val="0"/>
          <w:marBottom w:val="101"/>
          <w:divBdr>
            <w:top w:val="none" w:sz="0" w:space="0" w:color="auto"/>
            <w:left w:val="none" w:sz="0" w:space="0" w:color="auto"/>
            <w:bottom w:val="none" w:sz="0" w:space="0" w:color="auto"/>
            <w:right w:val="none" w:sz="0" w:space="0" w:color="auto"/>
          </w:divBdr>
        </w:div>
        <w:div w:id="702898158">
          <w:marLeft w:val="0"/>
          <w:marRight w:val="0"/>
          <w:marTop w:val="0"/>
          <w:marBottom w:val="101"/>
          <w:divBdr>
            <w:top w:val="none" w:sz="0" w:space="0" w:color="auto"/>
            <w:left w:val="none" w:sz="0" w:space="0" w:color="auto"/>
            <w:bottom w:val="none" w:sz="0" w:space="0" w:color="auto"/>
            <w:right w:val="none" w:sz="0" w:space="0" w:color="auto"/>
          </w:divBdr>
        </w:div>
        <w:div w:id="1266303856">
          <w:marLeft w:val="0"/>
          <w:marRight w:val="0"/>
          <w:marTop w:val="0"/>
          <w:marBottom w:val="101"/>
          <w:divBdr>
            <w:top w:val="none" w:sz="0" w:space="0" w:color="auto"/>
            <w:left w:val="none" w:sz="0" w:space="0" w:color="auto"/>
            <w:bottom w:val="none" w:sz="0" w:space="0" w:color="auto"/>
            <w:right w:val="none" w:sz="0" w:space="0" w:color="auto"/>
          </w:divBdr>
        </w:div>
        <w:div w:id="1207259279">
          <w:marLeft w:val="0"/>
          <w:marRight w:val="0"/>
          <w:marTop w:val="0"/>
          <w:marBottom w:val="101"/>
          <w:divBdr>
            <w:top w:val="none" w:sz="0" w:space="0" w:color="auto"/>
            <w:left w:val="none" w:sz="0" w:space="0" w:color="auto"/>
            <w:bottom w:val="none" w:sz="0" w:space="0" w:color="auto"/>
            <w:right w:val="none" w:sz="0" w:space="0" w:color="auto"/>
          </w:divBdr>
        </w:div>
        <w:div w:id="758871267">
          <w:marLeft w:val="0"/>
          <w:marRight w:val="0"/>
          <w:marTop w:val="0"/>
          <w:marBottom w:val="101"/>
          <w:divBdr>
            <w:top w:val="none" w:sz="0" w:space="0" w:color="auto"/>
            <w:left w:val="none" w:sz="0" w:space="0" w:color="auto"/>
            <w:bottom w:val="none" w:sz="0" w:space="0" w:color="auto"/>
            <w:right w:val="none" w:sz="0" w:space="0" w:color="auto"/>
          </w:divBdr>
        </w:div>
        <w:div w:id="1499732382">
          <w:marLeft w:val="0"/>
          <w:marRight w:val="0"/>
          <w:marTop w:val="0"/>
          <w:marBottom w:val="101"/>
          <w:divBdr>
            <w:top w:val="none" w:sz="0" w:space="0" w:color="auto"/>
            <w:left w:val="none" w:sz="0" w:space="0" w:color="auto"/>
            <w:bottom w:val="none" w:sz="0" w:space="0" w:color="auto"/>
            <w:right w:val="none" w:sz="0" w:space="0" w:color="auto"/>
          </w:divBdr>
        </w:div>
        <w:div w:id="1248685606">
          <w:marLeft w:val="0"/>
          <w:marRight w:val="0"/>
          <w:marTop w:val="0"/>
          <w:marBottom w:val="101"/>
          <w:divBdr>
            <w:top w:val="none" w:sz="0" w:space="0" w:color="auto"/>
            <w:left w:val="none" w:sz="0" w:space="0" w:color="auto"/>
            <w:bottom w:val="none" w:sz="0" w:space="0" w:color="auto"/>
            <w:right w:val="none" w:sz="0" w:space="0" w:color="auto"/>
          </w:divBdr>
        </w:div>
        <w:div w:id="1506286466">
          <w:marLeft w:val="0"/>
          <w:marRight w:val="0"/>
          <w:marTop w:val="0"/>
          <w:marBottom w:val="101"/>
          <w:divBdr>
            <w:top w:val="none" w:sz="0" w:space="0" w:color="auto"/>
            <w:left w:val="none" w:sz="0" w:space="0" w:color="auto"/>
            <w:bottom w:val="none" w:sz="0" w:space="0" w:color="auto"/>
            <w:right w:val="none" w:sz="0" w:space="0" w:color="auto"/>
          </w:divBdr>
        </w:div>
        <w:div w:id="1593464730">
          <w:marLeft w:val="0"/>
          <w:marRight w:val="0"/>
          <w:marTop w:val="0"/>
          <w:marBottom w:val="101"/>
          <w:divBdr>
            <w:top w:val="none" w:sz="0" w:space="0" w:color="auto"/>
            <w:left w:val="none" w:sz="0" w:space="0" w:color="auto"/>
            <w:bottom w:val="none" w:sz="0" w:space="0" w:color="auto"/>
            <w:right w:val="none" w:sz="0" w:space="0" w:color="auto"/>
          </w:divBdr>
        </w:div>
        <w:div w:id="1460683468">
          <w:marLeft w:val="0"/>
          <w:marRight w:val="0"/>
          <w:marTop w:val="0"/>
          <w:marBottom w:val="101"/>
          <w:divBdr>
            <w:top w:val="none" w:sz="0" w:space="0" w:color="auto"/>
            <w:left w:val="none" w:sz="0" w:space="0" w:color="auto"/>
            <w:bottom w:val="none" w:sz="0" w:space="0" w:color="auto"/>
            <w:right w:val="none" w:sz="0" w:space="0" w:color="auto"/>
          </w:divBdr>
        </w:div>
        <w:div w:id="838352265">
          <w:marLeft w:val="0"/>
          <w:marRight w:val="0"/>
          <w:marTop w:val="0"/>
          <w:marBottom w:val="101"/>
          <w:divBdr>
            <w:top w:val="none" w:sz="0" w:space="0" w:color="auto"/>
            <w:left w:val="none" w:sz="0" w:space="0" w:color="auto"/>
            <w:bottom w:val="none" w:sz="0" w:space="0" w:color="auto"/>
            <w:right w:val="none" w:sz="0" w:space="0" w:color="auto"/>
          </w:divBdr>
        </w:div>
        <w:div w:id="930620847">
          <w:marLeft w:val="0"/>
          <w:marRight w:val="0"/>
          <w:marTop w:val="0"/>
          <w:marBottom w:val="101"/>
          <w:divBdr>
            <w:top w:val="none" w:sz="0" w:space="0" w:color="auto"/>
            <w:left w:val="none" w:sz="0" w:space="0" w:color="auto"/>
            <w:bottom w:val="none" w:sz="0" w:space="0" w:color="auto"/>
            <w:right w:val="none" w:sz="0" w:space="0" w:color="auto"/>
          </w:divBdr>
        </w:div>
        <w:div w:id="1068766491">
          <w:marLeft w:val="0"/>
          <w:marRight w:val="0"/>
          <w:marTop w:val="0"/>
          <w:marBottom w:val="101"/>
          <w:divBdr>
            <w:top w:val="none" w:sz="0" w:space="0" w:color="auto"/>
            <w:left w:val="none" w:sz="0" w:space="0" w:color="auto"/>
            <w:bottom w:val="none" w:sz="0" w:space="0" w:color="auto"/>
            <w:right w:val="none" w:sz="0" w:space="0" w:color="auto"/>
          </w:divBdr>
        </w:div>
        <w:div w:id="1052535963">
          <w:marLeft w:val="0"/>
          <w:marRight w:val="0"/>
          <w:marTop w:val="0"/>
          <w:marBottom w:val="101"/>
          <w:divBdr>
            <w:top w:val="none" w:sz="0" w:space="0" w:color="auto"/>
            <w:left w:val="none" w:sz="0" w:space="0" w:color="auto"/>
            <w:bottom w:val="none" w:sz="0" w:space="0" w:color="auto"/>
            <w:right w:val="none" w:sz="0" w:space="0" w:color="auto"/>
          </w:divBdr>
        </w:div>
        <w:div w:id="778138353">
          <w:marLeft w:val="0"/>
          <w:marRight w:val="0"/>
          <w:marTop w:val="0"/>
          <w:marBottom w:val="101"/>
          <w:divBdr>
            <w:top w:val="none" w:sz="0" w:space="0" w:color="auto"/>
            <w:left w:val="none" w:sz="0" w:space="0" w:color="auto"/>
            <w:bottom w:val="none" w:sz="0" w:space="0" w:color="auto"/>
            <w:right w:val="none" w:sz="0" w:space="0" w:color="auto"/>
          </w:divBdr>
        </w:div>
        <w:div w:id="876234172">
          <w:marLeft w:val="0"/>
          <w:marRight w:val="0"/>
          <w:marTop w:val="0"/>
          <w:marBottom w:val="101"/>
          <w:divBdr>
            <w:top w:val="none" w:sz="0" w:space="0" w:color="auto"/>
            <w:left w:val="none" w:sz="0" w:space="0" w:color="auto"/>
            <w:bottom w:val="none" w:sz="0" w:space="0" w:color="auto"/>
            <w:right w:val="none" w:sz="0" w:space="0" w:color="auto"/>
          </w:divBdr>
        </w:div>
        <w:div w:id="1530533536">
          <w:marLeft w:val="0"/>
          <w:marRight w:val="0"/>
          <w:marTop w:val="0"/>
          <w:marBottom w:val="101"/>
          <w:divBdr>
            <w:top w:val="none" w:sz="0" w:space="0" w:color="auto"/>
            <w:left w:val="none" w:sz="0" w:space="0" w:color="auto"/>
            <w:bottom w:val="none" w:sz="0" w:space="0" w:color="auto"/>
            <w:right w:val="none" w:sz="0" w:space="0" w:color="auto"/>
          </w:divBdr>
        </w:div>
        <w:div w:id="1394142">
          <w:marLeft w:val="0"/>
          <w:marRight w:val="0"/>
          <w:marTop w:val="0"/>
          <w:marBottom w:val="101"/>
          <w:divBdr>
            <w:top w:val="none" w:sz="0" w:space="0" w:color="auto"/>
            <w:left w:val="none" w:sz="0" w:space="0" w:color="auto"/>
            <w:bottom w:val="none" w:sz="0" w:space="0" w:color="auto"/>
            <w:right w:val="none" w:sz="0" w:space="0" w:color="auto"/>
          </w:divBdr>
        </w:div>
        <w:div w:id="13308171">
          <w:marLeft w:val="0"/>
          <w:marRight w:val="0"/>
          <w:marTop w:val="0"/>
          <w:marBottom w:val="101"/>
          <w:divBdr>
            <w:top w:val="none" w:sz="0" w:space="0" w:color="auto"/>
            <w:left w:val="none" w:sz="0" w:space="0" w:color="auto"/>
            <w:bottom w:val="none" w:sz="0" w:space="0" w:color="auto"/>
            <w:right w:val="none" w:sz="0" w:space="0" w:color="auto"/>
          </w:divBdr>
        </w:div>
        <w:div w:id="1350374104">
          <w:marLeft w:val="0"/>
          <w:marRight w:val="0"/>
          <w:marTop w:val="0"/>
          <w:marBottom w:val="101"/>
          <w:divBdr>
            <w:top w:val="none" w:sz="0" w:space="0" w:color="auto"/>
            <w:left w:val="none" w:sz="0" w:space="0" w:color="auto"/>
            <w:bottom w:val="none" w:sz="0" w:space="0" w:color="auto"/>
            <w:right w:val="none" w:sz="0" w:space="0" w:color="auto"/>
          </w:divBdr>
        </w:div>
        <w:div w:id="1815563580">
          <w:marLeft w:val="0"/>
          <w:marRight w:val="0"/>
          <w:marTop w:val="0"/>
          <w:marBottom w:val="101"/>
          <w:divBdr>
            <w:top w:val="none" w:sz="0" w:space="0" w:color="auto"/>
            <w:left w:val="none" w:sz="0" w:space="0" w:color="auto"/>
            <w:bottom w:val="none" w:sz="0" w:space="0" w:color="auto"/>
            <w:right w:val="none" w:sz="0" w:space="0" w:color="auto"/>
          </w:divBdr>
        </w:div>
        <w:div w:id="136806103">
          <w:marLeft w:val="0"/>
          <w:marRight w:val="0"/>
          <w:marTop w:val="0"/>
          <w:marBottom w:val="101"/>
          <w:divBdr>
            <w:top w:val="none" w:sz="0" w:space="0" w:color="auto"/>
            <w:left w:val="none" w:sz="0" w:space="0" w:color="auto"/>
            <w:bottom w:val="none" w:sz="0" w:space="0" w:color="auto"/>
            <w:right w:val="none" w:sz="0" w:space="0" w:color="auto"/>
          </w:divBdr>
        </w:div>
        <w:div w:id="1020861699">
          <w:marLeft w:val="0"/>
          <w:marRight w:val="0"/>
          <w:marTop w:val="0"/>
          <w:marBottom w:val="101"/>
          <w:divBdr>
            <w:top w:val="none" w:sz="0" w:space="0" w:color="auto"/>
            <w:left w:val="none" w:sz="0" w:space="0" w:color="auto"/>
            <w:bottom w:val="none" w:sz="0" w:space="0" w:color="auto"/>
            <w:right w:val="none" w:sz="0" w:space="0" w:color="auto"/>
          </w:divBdr>
        </w:div>
        <w:div w:id="216819502">
          <w:marLeft w:val="0"/>
          <w:marRight w:val="0"/>
          <w:marTop w:val="0"/>
          <w:marBottom w:val="101"/>
          <w:divBdr>
            <w:top w:val="none" w:sz="0" w:space="0" w:color="auto"/>
            <w:left w:val="none" w:sz="0" w:space="0" w:color="auto"/>
            <w:bottom w:val="none" w:sz="0" w:space="0" w:color="auto"/>
            <w:right w:val="none" w:sz="0" w:space="0" w:color="auto"/>
          </w:divBdr>
        </w:div>
        <w:div w:id="1703627804">
          <w:marLeft w:val="0"/>
          <w:marRight w:val="0"/>
          <w:marTop w:val="0"/>
          <w:marBottom w:val="101"/>
          <w:divBdr>
            <w:top w:val="none" w:sz="0" w:space="0" w:color="auto"/>
            <w:left w:val="none" w:sz="0" w:space="0" w:color="auto"/>
            <w:bottom w:val="none" w:sz="0" w:space="0" w:color="auto"/>
            <w:right w:val="none" w:sz="0" w:space="0" w:color="auto"/>
          </w:divBdr>
        </w:div>
        <w:div w:id="1898935429">
          <w:marLeft w:val="0"/>
          <w:marRight w:val="0"/>
          <w:marTop w:val="0"/>
          <w:marBottom w:val="101"/>
          <w:divBdr>
            <w:top w:val="none" w:sz="0" w:space="0" w:color="auto"/>
            <w:left w:val="none" w:sz="0" w:space="0" w:color="auto"/>
            <w:bottom w:val="none" w:sz="0" w:space="0" w:color="auto"/>
            <w:right w:val="none" w:sz="0" w:space="0" w:color="auto"/>
          </w:divBdr>
        </w:div>
        <w:div w:id="1061758212">
          <w:marLeft w:val="0"/>
          <w:marRight w:val="0"/>
          <w:marTop w:val="0"/>
          <w:marBottom w:val="101"/>
          <w:divBdr>
            <w:top w:val="none" w:sz="0" w:space="0" w:color="auto"/>
            <w:left w:val="none" w:sz="0" w:space="0" w:color="auto"/>
            <w:bottom w:val="none" w:sz="0" w:space="0" w:color="auto"/>
            <w:right w:val="none" w:sz="0" w:space="0" w:color="auto"/>
          </w:divBdr>
        </w:div>
        <w:div w:id="644049700">
          <w:marLeft w:val="0"/>
          <w:marRight w:val="0"/>
          <w:marTop w:val="0"/>
          <w:marBottom w:val="101"/>
          <w:divBdr>
            <w:top w:val="none" w:sz="0" w:space="0" w:color="auto"/>
            <w:left w:val="none" w:sz="0" w:space="0" w:color="auto"/>
            <w:bottom w:val="none" w:sz="0" w:space="0" w:color="auto"/>
            <w:right w:val="none" w:sz="0" w:space="0" w:color="auto"/>
          </w:divBdr>
        </w:div>
        <w:div w:id="2032031214">
          <w:marLeft w:val="0"/>
          <w:marRight w:val="0"/>
          <w:marTop w:val="0"/>
          <w:marBottom w:val="101"/>
          <w:divBdr>
            <w:top w:val="none" w:sz="0" w:space="0" w:color="auto"/>
            <w:left w:val="none" w:sz="0" w:space="0" w:color="auto"/>
            <w:bottom w:val="none" w:sz="0" w:space="0" w:color="auto"/>
            <w:right w:val="none" w:sz="0" w:space="0" w:color="auto"/>
          </w:divBdr>
        </w:div>
        <w:div w:id="805395603">
          <w:marLeft w:val="0"/>
          <w:marRight w:val="0"/>
          <w:marTop w:val="0"/>
          <w:marBottom w:val="101"/>
          <w:divBdr>
            <w:top w:val="none" w:sz="0" w:space="0" w:color="auto"/>
            <w:left w:val="none" w:sz="0" w:space="0" w:color="auto"/>
            <w:bottom w:val="none" w:sz="0" w:space="0" w:color="auto"/>
            <w:right w:val="none" w:sz="0" w:space="0" w:color="auto"/>
          </w:divBdr>
        </w:div>
        <w:div w:id="244069381">
          <w:marLeft w:val="0"/>
          <w:marRight w:val="0"/>
          <w:marTop w:val="0"/>
          <w:marBottom w:val="101"/>
          <w:divBdr>
            <w:top w:val="none" w:sz="0" w:space="0" w:color="auto"/>
            <w:left w:val="none" w:sz="0" w:space="0" w:color="auto"/>
            <w:bottom w:val="none" w:sz="0" w:space="0" w:color="auto"/>
            <w:right w:val="none" w:sz="0" w:space="0" w:color="auto"/>
          </w:divBdr>
        </w:div>
        <w:div w:id="1102382489">
          <w:marLeft w:val="0"/>
          <w:marRight w:val="0"/>
          <w:marTop w:val="0"/>
          <w:marBottom w:val="101"/>
          <w:divBdr>
            <w:top w:val="none" w:sz="0" w:space="0" w:color="auto"/>
            <w:left w:val="none" w:sz="0" w:space="0" w:color="auto"/>
            <w:bottom w:val="none" w:sz="0" w:space="0" w:color="auto"/>
            <w:right w:val="none" w:sz="0" w:space="0" w:color="auto"/>
          </w:divBdr>
        </w:div>
        <w:div w:id="1410425058">
          <w:marLeft w:val="0"/>
          <w:marRight w:val="0"/>
          <w:marTop w:val="0"/>
          <w:marBottom w:val="101"/>
          <w:divBdr>
            <w:top w:val="none" w:sz="0" w:space="0" w:color="auto"/>
            <w:left w:val="none" w:sz="0" w:space="0" w:color="auto"/>
            <w:bottom w:val="none" w:sz="0" w:space="0" w:color="auto"/>
            <w:right w:val="none" w:sz="0" w:space="0" w:color="auto"/>
          </w:divBdr>
        </w:div>
        <w:div w:id="1864779089">
          <w:marLeft w:val="0"/>
          <w:marRight w:val="0"/>
          <w:marTop w:val="0"/>
          <w:marBottom w:val="101"/>
          <w:divBdr>
            <w:top w:val="none" w:sz="0" w:space="0" w:color="auto"/>
            <w:left w:val="none" w:sz="0" w:space="0" w:color="auto"/>
            <w:bottom w:val="none" w:sz="0" w:space="0" w:color="auto"/>
            <w:right w:val="none" w:sz="0" w:space="0" w:color="auto"/>
          </w:divBdr>
        </w:div>
        <w:div w:id="1074551964">
          <w:marLeft w:val="0"/>
          <w:marRight w:val="0"/>
          <w:marTop w:val="0"/>
          <w:marBottom w:val="101"/>
          <w:divBdr>
            <w:top w:val="none" w:sz="0" w:space="0" w:color="auto"/>
            <w:left w:val="none" w:sz="0" w:space="0" w:color="auto"/>
            <w:bottom w:val="none" w:sz="0" w:space="0" w:color="auto"/>
            <w:right w:val="none" w:sz="0" w:space="0" w:color="auto"/>
          </w:divBdr>
        </w:div>
        <w:div w:id="1998074008">
          <w:marLeft w:val="0"/>
          <w:marRight w:val="0"/>
          <w:marTop w:val="0"/>
          <w:marBottom w:val="101"/>
          <w:divBdr>
            <w:top w:val="none" w:sz="0" w:space="0" w:color="auto"/>
            <w:left w:val="none" w:sz="0" w:space="0" w:color="auto"/>
            <w:bottom w:val="none" w:sz="0" w:space="0" w:color="auto"/>
            <w:right w:val="none" w:sz="0" w:space="0" w:color="auto"/>
          </w:divBdr>
        </w:div>
        <w:div w:id="1450859746">
          <w:marLeft w:val="0"/>
          <w:marRight w:val="0"/>
          <w:marTop w:val="0"/>
          <w:marBottom w:val="101"/>
          <w:divBdr>
            <w:top w:val="none" w:sz="0" w:space="0" w:color="auto"/>
            <w:left w:val="none" w:sz="0" w:space="0" w:color="auto"/>
            <w:bottom w:val="none" w:sz="0" w:space="0" w:color="auto"/>
            <w:right w:val="none" w:sz="0" w:space="0" w:color="auto"/>
          </w:divBdr>
        </w:div>
        <w:div w:id="997458450">
          <w:marLeft w:val="0"/>
          <w:marRight w:val="0"/>
          <w:marTop w:val="0"/>
          <w:marBottom w:val="93"/>
          <w:divBdr>
            <w:top w:val="none" w:sz="0" w:space="0" w:color="auto"/>
            <w:left w:val="none" w:sz="0" w:space="0" w:color="auto"/>
            <w:bottom w:val="none" w:sz="0" w:space="0" w:color="auto"/>
            <w:right w:val="none" w:sz="0" w:space="0" w:color="auto"/>
          </w:divBdr>
        </w:div>
        <w:div w:id="90400001">
          <w:marLeft w:val="0"/>
          <w:marRight w:val="0"/>
          <w:marTop w:val="0"/>
          <w:marBottom w:val="93"/>
          <w:divBdr>
            <w:top w:val="none" w:sz="0" w:space="0" w:color="auto"/>
            <w:left w:val="none" w:sz="0" w:space="0" w:color="auto"/>
            <w:bottom w:val="none" w:sz="0" w:space="0" w:color="auto"/>
            <w:right w:val="none" w:sz="0" w:space="0" w:color="auto"/>
          </w:divBdr>
        </w:div>
        <w:div w:id="174341764">
          <w:marLeft w:val="0"/>
          <w:marRight w:val="0"/>
          <w:marTop w:val="0"/>
          <w:marBottom w:val="93"/>
          <w:divBdr>
            <w:top w:val="none" w:sz="0" w:space="0" w:color="auto"/>
            <w:left w:val="none" w:sz="0" w:space="0" w:color="auto"/>
            <w:bottom w:val="none" w:sz="0" w:space="0" w:color="auto"/>
            <w:right w:val="none" w:sz="0" w:space="0" w:color="auto"/>
          </w:divBdr>
        </w:div>
        <w:div w:id="1995186364">
          <w:marLeft w:val="0"/>
          <w:marRight w:val="0"/>
          <w:marTop w:val="0"/>
          <w:marBottom w:val="93"/>
          <w:divBdr>
            <w:top w:val="none" w:sz="0" w:space="0" w:color="auto"/>
            <w:left w:val="none" w:sz="0" w:space="0" w:color="auto"/>
            <w:bottom w:val="none" w:sz="0" w:space="0" w:color="auto"/>
            <w:right w:val="none" w:sz="0" w:space="0" w:color="auto"/>
          </w:divBdr>
        </w:div>
        <w:div w:id="1292712626">
          <w:marLeft w:val="0"/>
          <w:marRight w:val="0"/>
          <w:marTop w:val="0"/>
          <w:marBottom w:val="93"/>
          <w:divBdr>
            <w:top w:val="none" w:sz="0" w:space="0" w:color="auto"/>
            <w:left w:val="none" w:sz="0" w:space="0" w:color="auto"/>
            <w:bottom w:val="none" w:sz="0" w:space="0" w:color="auto"/>
            <w:right w:val="none" w:sz="0" w:space="0" w:color="auto"/>
          </w:divBdr>
        </w:div>
        <w:div w:id="1619220036">
          <w:marLeft w:val="0"/>
          <w:marRight w:val="0"/>
          <w:marTop w:val="0"/>
          <w:marBottom w:val="93"/>
          <w:divBdr>
            <w:top w:val="none" w:sz="0" w:space="0" w:color="auto"/>
            <w:left w:val="none" w:sz="0" w:space="0" w:color="auto"/>
            <w:bottom w:val="none" w:sz="0" w:space="0" w:color="auto"/>
            <w:right w:val="none" w:sz="0" w:space="0" w:color="auto"/>
          </w:divBdr>
        </w:div>
        <w:div w:id="188374985">
          <w:marLeft w:val="0"/>
          <w:marRight w:val="0"/>
          <w:marTop w:val="0"/>
          <w:marBottom w:val="93"/>
          <w:divBdr>
            <w:top w:val="none" w:sz="0" w:space="0" w:color="auto"/>
            <w:left w:val="none" w:sz="0" w:space="0" w:color="auto"/>
            <w:bottom w:val="none" w:sz="0" w:space="0" w:color="auto"/>
            <w:right w:val="none" w:sz="0" w:space="0" w:color="auto"/>
          </w:divBdr>
        </w:div>
        <w:div w:id="1013605993">
          <w:marLeft w:val="0"/>
          <w:marRight w:val="0"/>
          <w:marTop w:val="0"/>
          <w:marBottom w:val="93"/>
          <w:divBdr>
            <w:top w:val="none" w:sz="0" w:space="0" w:color="auto"/>
            <w:left w:val="none" w:sz="0" w:space="0" w:color="auto"/>
            <w:bottom w:val="none" w:sz="0" w:space="0" w:color="auto"/>
            <w:right w:val="none" w:sz="0" w:space="0" w:color="auto"/>
          </w:divBdr>
        </w:div>
        <w:div w:id="1718318165">
          <w:marLeft w:val="0"/>
          <w:marRight w:val="0"/>
          <w:marTop w:val="0"/>
          <w:marBottom w:val="93"/>
          <w:divBdr>
            <w:top w:val="none" w:sz="0" w:space="0" w:color="auto"/>
            <w:left w:val="none" w:sz="0" w:space="0" w:color="auto"/>
            <w:bottom w:val="none" w:sz="0" w:space="0" w:color="auto"/>
            <w:right w:val="none" w:sz="0" w:space="0" w:color="auto"/>
          </w:divBdr>
        </w:div>
        <w:div w:id="503472945">
          <w:marLeft w:val="0"/>
          <w:marRight w:val="0"/>
          <w:marTop w:val="0"/>
          <w:marBottom w:val="93"/>
          <w:divBdr>
            <w:top w:val="none" w:sz="0" w:space="0" w:color="auto"/>
            <w:left w:val="none" w:sz="0" w:space="0" w:color="auto"/>
            <w:bottom w:val="none" w:sz="0" w:space="0" w:color="auto"/>
            <w:right w:val="none" w:sz="0" w:space="0" w:color="auto"/>
          </w:divBdr>
        </w:div>
        <w:div w:id="1979535166">
          <w:marLeft w:val="0"/>
          <w:marRight w:val="0"/>
          <w:marTop w:val="0"/>
          <w:marBottom w:val="93"/>
          <w:divBdr>
            <w:top w:val="none" w:sz="0" w:space="0" w:color="auto"/>
            <w:left w:val="none" w:sz="0" w:space="0" w:color="auto"/>
            <w:bottom w:val="none" w:sz="0" w:space="0" w:color="auto"/>
            <w:right w:val="none" w:sz="0" w:space="0" w:color="auto"/>
          </w:divBdr>
        </w:div>
        <w:div w:id="427385184">
          <w:marLeft w:val="0"/>
          <w:marRight w:val="0"/>
          <w:marTop w:val="0"/>
          <w:marBottom w:val="93"/>
          <w:divBdr>
            <w:top w:val="none" w:sz="0" w:space="0" w:color="auto"/>
            <w:left w:val="none" w:sz="0" w:space="0" w:color="auto"/>
            <w:bottom w:val="none" w:sz="0" w:space="0" w:color="auto"/>
            <w:right w:val="none" w:sz="0" w:space="0" w:color="auto"/>
          </w:divBdr>
        </w:div>
        <w:div w:id="951596715">
          <w:marLeft w:val="0"/>
          <w:marRight w:val="0"/>
          <w:marTop w:val="0"/>
          <w:marBottom w:val="93"/>
          <w:divBdr>
            <w:top w:val="none" w:sz="0" w:space="0" w:color="auto"/>
            <w:left w:val="none" w:sz="0" w:space="0" w:color="auto"/>
            <w:bottom w:val="none" w:sz="0" w:space="0" w:color="auto"/>
            <w:right w:val="none" w:sz="0" w:space="0" w:color="auto"/>
          </w:divBdr>
        </w:div>
        <w:div w:id="1724987447">
          <w:marLeft w:val="0"/>
          <w:marRight w:val="0"/>
          <w:marTop w:val="0"/>
          <w:marBottom w:val="93"/>
          <w:divBdr>
            <w:top w:val="none" w:sz="0" w:space="0" w:color="auto"/>
            <w:left w:val="none" w:sz="0" w:space="0" w:color="auto"/>
            <w:bottom w:val="none" w:sz="0" w:space="0" w:color="auto"/>
            <w:right w:val="none" w:sz="0" w:space="0" w:color="auto"/>
          </w:divBdr>
        </w:div>
        <w:div w:id="472597039">
          <w:marLeft w:val="0"/>
          <w:marRight w:val="0"/>
          <w:marTop w:val="0"/>
          <w:marBottom w:val="93"/>
          <w:divBdr>
            <w:top w:val="none" w:sz="0" w:space="0" w:color="auto"/>
            <w:left w:val="none" w:sz="0" w:space="0" w:color="auto"/>
            <w:bottom w:val="none" w:sz="0" w:space="0" w:color="auto"/>
            <w:right w:val="none" w:sz="0" w:space="0" w:color="auto"/>
          </w:divBdr>
        </w:div>
        <w:div w:id="523443870">
          <w:marLeft w:val="0"/>
          <w:marRight w:val="0"/>
          <w:marTop w:val="0"/>
          <w:marBottom w:val="93"/>
          <w:divBdr>
            <w:top w:val="none" w:sz="0" w:space="0" w:color="auto"/>
            <w:left w:val="none" w:sz="0" w:space="0" w:color="auto"/>
            <w:bottom w:val="none" w:sz="0" w:space="0" w:color="auto"/>
            <w:right w:val="none" w:sz="0" w:space="0" w:color="auto"/>
          </w:divBdr>
        </w:div>
        <w:div w:id="401030284">
          <w:marLeft w:val="0"/>
          <w:marRight w:val="0"/>
          <w:marTop w:val="0"/>
          <w:marBottom w:val="93"/>
          <w:divBdr>
            <w:top w:val="none" w:sz="0" w:space="0" w:color="auto"/>
            <w:left w:val="none" w:sz="0" w:space="0" w:color="auto"/>
            <w:bottom w:val="none" w:sz="0" w:space="0" w:color="auto"/>
            <w:right w:val="none" w:sz="0" w:space="0" w:color="auto"/>
          </w:divBdr>
        </w:div>
        <w:div w:id="493648897">
          <w:marLeft w:val="0"/>
          <w:marRight w:val="0"/>
          <w:marTop w:val="0"/>
          <w:marBottom w:val="93"/>
          <w:divBdr>
            <w:top w:val="none" w:sz="0" w:space="0" w:color="auto"/>
            <w:left w:val="none" w:sz="0" w:space="0" w:color="auto"/>
            <w:bottom w:val="none" w:sz="0" w:space="0" w:color="auto"/>
            <w:right w:val="none" w:sz="0" w:space="0" w:color="auto"/>
          </w:divBdr>
        </w:div>
        <w:div w:id="1675641639">
          <w:marLeft w:val="0"/>
          <w:marRight w:val="0"/>
          <w:marTop w:val="0"/>
          <w:marBottom w:val="93"/>
          <w:divBdr>
            <w:top w:val="none" w:sz="0" w:space="0" w:color="auto"/>
            <w:left w:val="none" w:sz="0" w:space="0" w:color="auto"/>
            <w:bottom w:val="none" w:sz="0" w:space="0" w:color="auto"/>
            <w:right w:val="none" w:sz="0" w:space="0" w:color="auto"/>
          </w:divBdr>
        </w:div>
        <w:div w:id="1462649077">
          <w:marLeft w:val="0"/>
          <w:marRight w:val="0"/>
          <w:marTop w:val="0"/>
          <w:marBottom w:val="93"/>
          <w:divBdr>
            <w:top w:val="none" w:sz="0" w:space="0" w:color="auto"/>
            <w:left w:val="none" w:sz="0" w:space="0" w:color="auto"/>
            <w:bottom w:val="none" w:sz="0" w:space="0" w:color="auto"/>
            <w:right w:val="none" w:sz="0" w:space="0" w:color="auto"/>
          </w:divBdr>
        </w:div>
        <w:div w:id="410352117">
          <w:marLeft w:val="0"/>
          <w:marRight w:val="0"/>
          <w:marTop w:val="0"/>
          <w:marBottom w:val="93"/>
          <w:divBdr>
            <w:top w:val="none" w:sz="0" w:space="0" w:color="auto"/>
            <w:left w:val="none" w:sz="0" w:space="0" w:color="auto"/>
            <w:bottom w:val="none" w:sz="0" w:space="0" w:color="auto"/>
            <w:right w:val="none" w:sz="0" w:space="0" w:color="auto"/>
          </w:divBdr>
        </w:div>
        <w:div w:id="1329595611">
          <w:marLeft w:val="0"/>
          <w:marRight w:val="0"/>
          <w:marTop w:val="0"/>
          <w:marBottom w:val="93"/>
          <w:divBdr>
            <w:top w:val="none" w:sz="0" w:space="0" w:color="auto"/>
            <w:left w:val="none" w:sz="0" w:space="0" w:color="auto"/>
            <w:bottom w:val="none" w:sz="0" w:space="0" w:color="auto"/>
            <w:right w:val="none" w:sz="0" w:space="0" w:color="auto"/>
          </w:divBdr>
        </w:div>
        <w:div w:id="1415277390">
          <w:marLeft w:val="0"/>
          <w:marRight w:val="0"/>
          <w:marTop w:val="0"/>
          <w:marBottom w:val="93"/>
          <w:divBdr>
            <w:top w:val="none" w:sz="0" w:space="0" w:color="auto"/>
            <w:left w:val="none" w:sz="0" w:space="0" w:color="auto"/>
            <w:bottom w:val="none" w:sz="0" w:space="0" w:color="auto"/>
            <w:right w:val="none" w:sz="0" w:space="0" w:color="auto"/>
          </w:divBdr>
        </w:div>
        <w:div w:id="924609645">
          <w:marLeft w:val="0"/>
          <w:marRight w:val="0"/>
          <w:marTop w:val="0"/>
          <w:marBottom w:val="93"/>
          <w:divBdr>
            <w:top w:val="none" w:sz="0" w:space="0" w:color="auto"/>
            <w:left w:val="none" w:sz="0" w:space="0" w:color="auto"/>
            <w:bottom w:val="none" w:sz="0" w:space="0" w:color="auto"/>
            <w:right w:val="none" w:sz="0" w:space="0" w:color="auto"/>
          </w:divBdr>
        </w:div>
        <w:div w:id="937174111">
          <w:marLeft w:val="0"/>
          <w:marRight w:val="0"/>
          <w:marTop w:val="0"/>
          <w:marBottom w:val="93"/>
          <w:divBdr>
            <w:top w:val="none" w:sz="0" w:space="0" w:color="auto"/>
            <w:left w:val="none" w:sz="0" w:space="0" w:color="auto"/>
            <w:bottom w:val="none" w:sz="0" w:space="0" w:color="auto"/>
            <w:right w:val="none" w:sz="0" w:space="0" w:color="auto"/>
          </w:divBdr>
        </w:div>
        <w:div w:id="1562710575">
          <w:marLeft w:val="0"/>
          <w:marRight w:val="0"/>
          <w:marTop w:val="0"/>
          <w:marBottom w:val="93"/>
          <w:divBdr>
            <w:top w:val="none" w:sz="0" w:space="0" w:color="auto"/>
            <w:left w:val="none" w:sz="0" w:space="0" w:color="auto"/>
            <w:bottom w:val="none" w:sz="0" w:space="0" w:color="auto"/>
            <w:right w:val="none" w:sz="0" w:space="0" w:color="auto"/>
          </w:divBdr>
        </w:div>
        <w:div w:id="695272982">
          <w:marLeft w:val="0"/>
          <w:marRight w:val="0"/>
          <w:marTop w:val="0"/>
          <w:marBottom w:val="93"/>
          <w:divBdr>
            <w:top w:val="none" w:sz="0" w:space="0" w:color="auto"/>
            <w:left w:val="none" w:sz="0" w:space="0" w:color="auto"/>
            <w:bottom w:val="none" w:sz="0" w:space="0" w:color="auto"/>
            <w:right w:val="none" w:sz="0" w:space="0" w:color="auto"/>
          </w:divBdr>
        </w:div>
        <w:div w:id="116069195">
          <w:marLeft w:val="0"/>
          <w:marRight w:val="0"/>
          <w:marTop w:val="0"/>
          <w:marBottom w:val="93"/>
          <w:divBdr>
            <w:top w:val="none" w:sz="0" w:space="0" w:color="auto"/>
            <w:left w:val="none" w:sz="0" w:space="0" w:color="auto"/>
            <w:bottom w:val="none" w:sz="0" w:space="0" w:color="auto"/>
            <w:right w:val="none" w:sz="0" w:space="0" w:color="auto"/>
          </w:divBdr>
        </w:div>
        <w:div w:id="796723147">
          <w:marLeft w:val="0"/>
          <w:marRight w:val="0"/>
          <w:marTop w:val="0"/>
          <w:marBottom w:val="93"/>
          <w:divBdr>
            <w:top w:val="none" w:sz="0" w:space="0" w:color="auto"/>
            <w:left w:val="none" w:sz="0" w:space="0" w:color="auto"/>
            <w:bottom w:val="none" w:sz="0" w:space="0" w:color="auto"/>
            <w:right w:val="none" w:sz="0" w:space="0" w:color="auto"/>
          </w:divBdr>
        </w:div>
        <w:div w:id="122425996">
          <w:marLeft w:val="0"/>
          <w:marRight w:val="0"/>
          <w:marTop w:val="0"/>
          <w:marBottom w:val="93"/>
          <w:divBdr>
            <w:top w:val="none" w:sz="0" w:space="0" w:color="auto"/>
            <w:left w:val="none" w:sz="0" w:space="0" w:color="auto"/>
            <w:bottom w:val="none" w:sz="0" w:space="0" w:color="auto"/>
            <w:right w:val="none" w:sz="0" w:space="0" w:color="auto"/>
          </w:divBdr>
        </w:div>
        <w:div w:id="415323158">
          <w:marLeft w:val="0"/>
          <w:marRight w:val="0"/>
          <w:marTop w:val="0"/>
          <w:marBottom w:val="93"/>
          <w:divBdr>
            <w:top w:val="none" w:sz="0" w:space="0" w:color="auto"/>
            <w:left w:val="none" w:sz="0" w:space="0" w:color="auto"/>
            <w:bottom w:val="none" w:sz="0" w:space="0" w:color="auto"/>
            <w:right w:val="none" w:sz="0" w:space="0" w:color="auto"/>
          </w:divBdr>
        </w:div>
        <w:div w:id="15230704">
          <w:marLeft w:val="0"/>
          <w:marRight w:val="0"/>
          <w:marTop w:val="0"/>
          <w:marBottom w:val="93"/>
          <w:divBdr>
            <w:top w:val="none" w:sz="0" w:space="0" w:color="auto"/>
            <w:left w:val="none" w:sz="0" w:space="0" w:color="auto"/>
            <w:bottom w:val="none" w:sz="0" w:space="0" w:color="auto"/>
            <w:right w:val="none" w:sz="0" w:space="0" w:color="auto"/>
          </w:divBdr>
        </w:div>
        <w:div w:id="862520339">
          <w:marLeft w:val="0"/>
          <w:marRight w:val="0"/>
          <w:marTop w:val="0"/>
          <w:marBottom w:val="93"/>
          <w:divBdr>
            <w:top w:val="none" w:sz="0" w:space="0" w:color="auto"/>
            <w:left w:val="none" w:sz="0" w:space="0" w:color="auto"/>
            <w:bottom w:val="none" w:sz="0" w:space="0" w:color="auto"/>
            <w:right w:val="none" w:sz="0" w:space="0" w:color="auto"/>
          </w:divBdr>
        </w:div>
        <w:div w:id="1306932602">
          <w:marLeft w:val="0"/>
          <w:marRight w:val="0"/>
          <w:marTop w:val="0"/>
          <w:marBottom w:val="93"/>
          <w:divBdr>
            <w:top w:val="none" w:sz="0" w:space="0" w:color="auto"/>
            <w:left w:val="none" w:sz="0" w:space="0" w:color="auto"/>
            <w:bottom w:val="none" w:sz="0" w:space="0" w:color="auto"/>
            <w:right w:val="none" w:sz="0" w:space="0" w:color="auto"/>
          </w:divBdr>
        </w:div>
        <w:div w:id="236328655">
          <w:marLeft w:val="720"/>
          <w:marRight w:val="0"/>
          <w:marTop w:val="0"/>
          <w:marBottom w:val="93"/>
          <w:divBdr>
            <w:top w:val="none" w:sz="0" w:space="0" w:color="auto"/>
            <w:left w:val="none" w:sz="0" w:space="0" w:color="auto"/>
            <w:bottom w:val="none" w:sz="0" w:space="0" w:color="auto"/>
            <w:right w:val="none" w:sz="0" w:space="0" w:color="auto"/>
          </w:divBdr>
        </w:div>
        <w:div w:id="431515002">
          <w:marLeft w:val="0"/>
          <w:marRight w:val="0"/>
          <w:marTop w:val="0"/>
          <w:marBottom w:val="93"/>
          <w:divBdr>
            <w:top w:val="none" w:sz="0" w:space="0" w:color="auto"/>
            <w:left w:val="none" w:sz="0" w:space="0" w:color="auto"/>
            <w:bottom w:val="none" w:sz="0" w:space="0" w:color="auto"/>
            <w:right w:val="none" w:sz="0" w:space="0" w:color="auto"/>
          </w:divBdr>
        </w:div>
        <w:div w:id="719209177">
          <w:marLeft w:val="0"/>
          <w:marRight w:val="0"/>
          <w:marTop w:val="0"/>
          <w:marBottom w:val="93"/>
          <w:divBdr>
            <w:top w:val="none" w:sz="0" w:space="0" w:color="auto"/>
            <w:left w:val="none" w:sz="0" w:space="0" w:color="auto"/>
            <w:bottom w:val="none" w:sz="0" w:space="0" w:color="auto"/>
            <w:right w:val="none" w:sz="0" w:space="0" w:color="auto"/>
          </w:divBdr>
        </w:div>
        <w:div w:id="588347210">
          <w:marLeft w:val="0"/>
          <w:marRight w:val="0"/>
          <w:marTop w:val="0"/>
          <w:marBottom w:val="93"/>
          <w:divBdr>
            <w:top w:val="none" w:sz="0" w:space="0" w:color="auto"/>
            <w:left w:val="none" w:sz="0" w:space="0" w:color="auto"/>
            <w:bottom w:val="none" w:sz="0" w:space="0" w:color="auto"/>
            <w:right w:val="none" w:sz="0" w:space="0" w:color="auto"/>
          </w:divBdr>
        </w:div>
        <w:div w:id="31004466">
          <w:marLeft w:val="0"/>
          <w:marRight w:val="0"/>
          <w:marTop w:val="0"/>
          <w:marBottom w:val="93"/>
          <w:divBdr>
            <w:top w:val="none" w:sz="0" w:space="0" w:color="auto"/>
            <w:left w:val="none" w:sz="0" w:space="0" w:color="auto"/>
            <w:bottom w:val="none" w:sz="0" w:space="0" w:color="auto"/>
            <w:right w:val="none" w:sz="0" w:space="0" w:color="auto"/>
          </w:divBdr>
        </w:div>
        <w:div w:id="1998417651">
          <w:marLeft w:val="0"/>
          <w:marRight w:val="0"/>
          <w:marTop w:val="0"/>
          <w:marBottom w:val="93"/>
          <w:divBdr>
            <w:top w:val="none" w:sz="0" w:space="0" w:color="auto"/>
            <w:left w:val="none" w:sz="0" w:space="0" w:color="auto"/>
            <w:bottom w:val="none" w:sz="0" w:space="0" w:color="auto"/>
            <w:right w:val="none" w:sz="0" w:space="0" w:color="auto"/>
          </w:divBdr>
        </w:div>
        <w:div w:id="78260517">
          <w:marLeft w:val="0"/>
          <w:marRight w:val="0"/>
          <w:marTop w:val="0"/>
          <w:marBottom w:val="93"/>
          <w:divBdr>
            <w:top w:val="none" w:sz="0" w:space="0" w:color="auto"/>
            <w:left w:val="none" w:sz="0" w:space="0" w:color="auto"/>
            <w:bottom w:val="none" w:sz="0" w:space="0" w:color="auto"/>
            <w:right w:val="none" w:sz="0" w:space="0" w:color="auto"/>
          </w:divBdr>
        </w:div>
        <w:div w:id="211844002">
          <w:marLeft w:val="0"/>
          <w:marRight w:val="0"/>
          <w:marTop w:val="0"/>
          <w:marBottom w:val="93"/>
          <w:divBdr>
            <w:top w:val="none" w:sz="0" w:space="0" w:color="auto"/>
            <w:left w:val="none" w:sz="0" w:space="0" w:color="auto"/>
            <w:bottom w:val="none" w:sz="0" w:space="0" w:color="auto"/>
            <w:right w:val="none" w:sz="0" w:space="0" w:color="auto"/>
          </w:divBdr>
        </w:div>
        <w:div w:id="752512269">
          <w:marLeft w:val="0"/>
          <w:marRight w:val="0"/>
          <w:marTop w:val="0"/>
          <w:marBottom w:val="93"/>
          <w:divBdr>
            <w:top w:val="none" w:sz="0" w:space="0" w:color="auto"/>
            <w:left w:val="none" w:sz="0" w:space="0" w:color="auto"/>
            <w:bottom w:val="none" w:sz="0" w:space="0" w:color="auto"/>
            <w:right w:val="none" w:sz="0" w:space="0" w:color="auto"/>
          </w:divBdr>
        </w:div>
        <w:div w:id="692656278">
          <w:marLeft w:val="0"/>
          <w:marRight w:val="0"/>
          <w:marTop w:val="0"/>
          <w:marBottom w:val="93"/>
          <w:divBdr>
            <w:top w:val="none" w:sz="0" w:space="0" w:color="auto"/>
            <w:left w:val="none" w:sz="0" w:space="0" w:color="auto"/>
            <w:bottom w:val="none" w:sz="0" w:space="0" w:color="auto"/>
            <w:right w:val="none" w:sz="0" w:space="0" w:color="auto"/>
          </w:divBdr>
        </w:div>
        <w:div w:id="1058431907">
          <w:marLeft w:val="0"/>
          <w:marRight w:val="0"/>
          <w:marTop w:val="0"/>
          <w:marBottom w:val="93"/>
          <w:divBdr>
            <w:top w:val="none" w:sz="0" w:space="0" w:color="auto"/>
            <w:left w:val="none" w:sz="0" w:space="0" w:color="auto"/>
            <w:bottom w:val="none" w:sz="0" w:space="0" w:color="auto"/>
            <w:right w:val="none" w:sz="0" w:space="0" w:color="auto"/>
          </w:divBdr>
        </w:div>
        <w:div w:id="306277807">
          <w:marLeft w:val="0"/>
          <w:marRight w:val="0"/>
          <w:marTop w:val="0"/>
          <w:marBottom w:val="93"/>
          <w:divBdr>
            <w:top w:val="none" w:sz="0" w:space="0" w:color="auto"/>
            <w:left w:val="none" w:sz="0" w:space="0" w:color="auto"/>
            <w:bottom w:val="none" w:sz="0" w:space="0" w:color="auto"/>
            <w:right w:val="none" w:sz="0" w:space="0" w:color="auto"/>
          </w:divBdr>
        </w:div>
        <w:div w:id="1793329461">
          <w:marLeft w:val="0"/>
          <w:marRight w:val="0"/>
          <w:marTop w:val="0"/>
          <w:marBottom w:val="93"/>
          <w:divBdr>
            <w:top w:val="none" w:sz="0" w:space="0" w:color="auto"/>
            <w:left w:val="none" w:sz="0" w:space="0" w:color="auto"/>
            <w:bottom w:val="none" w:sz="0" w:space="0" w:color="auto"/>
            <w:right w:val="none" w:sz="0" w:space="0" w:color="auto"/>
          </w:divBdr>
        </w:div>
        <w:div w:id="1039672648">
          <w:marLeft w:val="0"/>
          <w:marRight w:val="0"/>
          <w:marTop w:val="0"/>
          <w:marBottom w:val="93"/>
          <w:divBdr>
            <w:top w:val="none" w:sz="0" w:space="0" w:color="auto"/>
            <w:left w:val="none" w:sz="0" w:space="0" w:color="auto"/>
            <w:bottom w:val="none" w:sz="0" w:space="0" w:color="auto"/>
            <w:right w:val="none" w:sz="0" w:space="0" w:color="auto"/>
          </w:divBdr>
        </w:div>
        <w:div w:id="1323390120">
          <w:marLeft w:val="0"/>
          <w:marRight w:val="0"/>
          <w:marTop w:val="0"/>
          <w:marBottom w:val="93"/>
          <w:divBdr>
            <w:top w:val="none" w:sz="0" w:space="0" w:color="auto"/>
            <w:left w:val="none" w:sz="0" w:space="0" w:color="auto"/>
            <w:bottom w:val="none" w:sz="0" w:space="0" w:color="auto"/>
            <w:right w:val="none" w:sz="0" w:space="0" w:color="auto"/>
          </w:divBdr>
        </w:div>
        <w:div w:id="851803632">
          <w:marLeft w:val="0"/>
          <w:marRight w:val="0"/>
          <w:marTop w:val="0"/>
          <w:marBottom w:val="93"/>
          <w:divBdr>
            <w:top w:val="none" w:sz="0" w:space="0" w:color="auto"/>
            <w:left w:val="none" w:sz="0" w:space="0" w:color="auto"/>
            <w:bottom w:val="none" w:sz="0" w:space="0" w:color="auto"/>
            <w:right w:val="none" w:sz="0" w:space="0" w:color="auto"/>
          </w:divBdr>
        </w:div>
        <w:div w:id="437991776">
          <w:marLeft w:val="0"/>
          <w:marRight w:val="0"/>
          <w:marTop w:val="0"/>
          <w:marBottom w:val="93"/>
          <w:divBdr>
            <w:top w:val="none" w:sz="0" w:space="0" w:color="auto"/>
            <w:left w:val="none" w:sz="0" w:space="0" w:color="auto"/>
            <w:bottom w:val="none" w:sz="0" w:space="0" w:color="auto"/>
            <w:right w:val="none" w:sz="0" w:space="0" w:color="auto"/>
          </w:divBdr>
        </w:div>
        <w:div w:id="667750133">
          <w:marLeft w:val="0"/>
          <w:marRight w:val="0"/>
          <w:marTop w:val="0"/>
          <w:marBottom w:val="93"/>
          <w:divBdr>
            <w:top w:val="none" w:sz="0" w:space="0" w:color="auto"/>
            <w:left w:val="none" w:sz="0" w:space="0" w:color="auto"/>
            <w:bottom w:val="none" w:sz="0" w:space="0" w:color="auto"/>
            <w:right w:val="none" w:sz="0" w:space="0" w:color="auto"/>
          </w:divBdr>
        </w:div>
        <w:div w:id="1509637263">
          <w:marLeft w:val="0"/>
          <w:marRight w:val="0"/>
          <w:marTop w:val="0"/>
          <w:marBottom w:val="93"/>
          <w:divBdr>
            <w:top w:val="none" w:sz="0" w:space="0" w:color="auto"/>
            <w:left w:val="none" w:sz="0" w:space="0" w:color="auto"/>
            <w:bottom w:val="none" w:sz="0" w:space="0" w:color="auto"/>
            <w:right w:val="none" w:sz="0" w:space="0" w:color="auto"/>
          </w:divBdr>
        </w:div>
        <w:div w:id="1503157399">
          <w:marLeft w:val="0"/>
          <w:marRight w:val="0"/>
          <w:marTop w:val="0"/>
          <w:marBottom w:val="93"/>
          <w:divBdr>
            <w:top w:val="none" w:sz="0" w:space="0" w:color="auto"/>
            <w:left w:val="none" w:sz="0" w:space="0" w:color="auto"/>
            <w:bottom w:val="none" w:sz="0" w:space="0" w:color="auto"/>
            <w:right w:val="none" w:sz="0" w:space="0" w:color="auto"/>
          </w:divBdr>
        </w:div>
        <w:div w:id="533271270">
          <w:marLeft w:val="0"/>
          <w:marRight w:val="0"/>
          <w:marTop w:val="0"/>
          <w:marBottom w:val="93"/>
          <w:divBdr>
            <w:top w:val="none" w:sz="0" w:space="0" w:color="auto"/>
            <w:left w:val="none" w:sz="0" w:space="0" w:color="auto"/>
            <w:bottom w:val="none" w:sz="0" w:space="0" w:color="auto"/>
            <w:right w:val="none" w:sz="0" w:space="0" w:color="auto"/>
          </w:divBdr>
        </w:div>
        <w:div w:id="61680946">
          <w:marLeft w:val="0"/>
          <w:marRight w:val="0"/>
          <w:marTop w:val="0"/>
          <w:marBottom w:val="93"/>
          <w:divBdr>
            <w:top w:val="none" w:sz="0" w:space="0" w:color="auto"/>
            <w:left w:val="none" w:sz="0" w:space="0" w:color="auto"/>
            <w:bottom w:val="none" w:sz="0" w:space="0" w:color="auto"/>
            <w:right w:val="none" w:sz="0" w:space="0" w:color="auto"/>
          </w:divBdr>
        </w:div>
        <w:div w:id="1527980070">
          <w:marLeft w:val="0"/>
          <w:marRight w:val="0"/>
          <w:marTop w:val="0"/>
          <w:marBottom w:val="93"/>
          <w:divBdr>
            <w:top w:val="none" w:sz="0" w:space="0" w:color="auto"/>
            <w:left w:val="none" w:sz="0" w:space="0" w:color="auto"/>
            <w:bottom w:val="none" w:sz="0" w:space="0" w:color="auto"/>
            <w:right w:val="none" w:sz="0" w:space="0" w:color="auto"/>
          </w:divBdr>
        </w:div>
        <w:div w:id="1807314858">
          <w:marLeft w:val="0"/>
          <w:marRight w:val="0"/>
          <w:marTop w:val="0"/>
          <w:marBottom w:val="93"/>
          <w:divBdr>
            <w:top w:val="none" w:sz="0" w:space="0" w:color="auto"/>
            <w:left w:val="none" w:sz="0" w:space="0" w:color="auto"/>
            <w:bottom w:val="none" w:sz="0" w:space="0" w:color="auto"/>
            <w:right w:val="none" w:sz="0" w:space="0" w:color="auto"/>
          </w:divBdr>
        </w:div>
        <w:div w:id="1779373286">
          <w:marLeft w:val="0"/>
          <w:marRight w:val="0"/>
          <w:marTop w:val="0"/>
          <w:marBottom w:val="93"/>
          <w:divBdr>
            <w:top w:val="none" w:sz="0" w:space="0" w:color="auto"/>
            <w:left w:val="none" w:sz="0" w:space="0" w:color="auto"/>
            <w:bottom w:val="none" w:sz="0" w:space="0" w:color="auto"/>
            <w:right w:val="none" w:sz="0" w:space="0" w:color="auto"/>
          </w:divBdr>
        </w:div>
        <w:div w:id="1551069202">
          <w:marLeft w:val="0"/>
          <w:marRight w:val="0"/>
          <w:marTop w:val="0"/>
          <w:marBottom w:val="93"/>
          <w:divBdr>
            <w:top w:val="none" w:sz="0" w:space="0" w:color="auto"/>
            <w:left w:val="none" w:sz="0" w:space="0" w:color="auto"/>
            <w:bottom w:val="none" w:sz="0" w:space="0" w:color="auto"/>
            <w:right w:val="none" w:sz="0" w:space="0" w:color="auto"/>
          </w:divBdr>
        </w:div>
        <w:div w:id="515122784">
          <w:marLeft w:val="0"/>
          <w:marRight w:val="0"/>
          <w:marTop w:val="0"/>
          <w:marBottom w:val="93"/>
          <w:divBdr>
            <w:top w:val="none" w:sz="0" w:space="0" w:color="auto"/>
            <w:left w:val="none" w:sz="0" w:space="0" w:color="auto"/>
            <w:bottom w:val="none" w:sz="0" w:space="0" w:color="auto"/>
            <w:right w:val="none" w:sz="0" w:space="0" w:color="auto"/>
          </w:divBdr>
        </w:div>
        <w:div w:id="951714031">
          <w:marLeft w:val="0"/>
          <w:marRight w:val="0"/>
          <w:marTop w:val="0"/>
          <w:marBottom w:val="93"/>
          <w:divBdr>
            <w:top w:val="none" w:sz="0" w:space="0" w:color="auto"/>
            <w:left w:val="none" w:sz="0" w:space="0" w:color="auto"/>
            <w:bottom w:val="none" w:sz="0" w:space="0" w:color="auto"/>
            <w:right w:val="none" w:sz="0" w:space="0" w:color="auto"/>
          </w:divBdr>
        </w:div>
        <w:div w:id="1437362025">
          <w:marLeft w:val="0"/>
          <w:marRight w:val="0"/>
          <w:marTop w:val="0"/>
          <w:marBottom w:val="93"/>
          <w:divBdr>
            <w:top w:val="none" w:sz="0" w:space="0" w:color="auto"/>
            <w:left w:val="none" w:sz="0" w:space="0" w:color="auto"/>
            <w:bottom w:val="none" w:sz="0" w:space="0" w:color="auto"/>
            <w:right w:val="none" w:sz="0" w:space="0" w:color="auto"/>
          </w:divBdr>
        </w:div>
        <w:div w:id="1037315540">
          <w:marLeft w:val="0"/>
          <w:marRight w:val="0"/>
          <w:marTop w:val="0"/>
          <w:marBottom w:val="93"/>
          <w:divBdr>
            <w:top w:val="none" w:sz="0" w:space="0" w:color="auto"/>
            <w:left w:val="none" w:sz="0" w:space="0" w:color="auto"/>
            <w:bottom w:val="none" w:sz="0" w:space="0" w:color="auto"/>
            <w:right w:val="none" w:sz="0" w:space="0" w:color="auto"/>
          </w:divBdr>
        </w:div>
        <w:div w:id="713963953">
          <w:marLeft w:val="0"/>
          <w:marRight w:val="0"/>
          <w:marTop w:val="0"/>
          <w:marBottom w:val="93"/>
          <w:divBdr>
            <w:top w:val="none" w:sz="0" w:space="0" w:color="auto"/>
            <w:left w:val="none" w:sz="0" w:space="0" w:color="auto"/>
            <w:bottom w:val="none" w:sz="0" w:space="0" w:color="auto"/>
            <w:right w:val="none" w:sz="0" w:space="0" w:color="auto"/>
          </w:divBdr>
        </w:div>
        <w:div w:id="1119372521">
          <w:marLeft w:val="0"/>
          <w:marRight w:val="0"/>
          <w:marTop w:val="0"/>
          <w:marBottom w:val="93"/>
          <w:divBdr>
            <w:top w:val="none" w:sz="0" w:space="0" w:color="auto"/>
            <w:left w:val="none" w:sz="0" w:space="0" w:color="auto"/>
            <w:bottom w:val="none" w:sz="0" w:space="0" w:color="auto"/>
            <w:right w:val="none" w:sz="0" w:space="0" w:color="auto"/>
          </w:divBdr>
        </w:div>
        <w:div w:id="749080470">
          <w:marLeft w:val="0"/>
          <w:marRight w:val="0"/>
          <w:marTop w:val="0"/>
          <w:marBottom w:val="93"/>
          <w:divBdr>
            <w:top w:val="none" w:sz="0" w:space="0" w:color="auto"/>
            <w:left w:val="none" w:sz="0" w:space="0" w:color="auto"/>
            <w:bottom w:val="none" w:sz="0" w:space="0" w:color="auto"/>
            <w:right w:val="none" w:sz="0" w:space="0" w:color="auto"/>
          </w:divBdr>
        </w:div>
        <w:div w:id="2031451147">
          <w:marLeft w:val="0"/>
          <w:marRight w:val="0"/>
          <w:marTop w:val="0"/>
          <w:marBottom w:val="93"/>
          <w:divBdr>
            <w:top w:val="none" w:sz="0" w:space="0" w:color="auto"/>
            <w:left w:val="none" w:sz="0" w:space="0" w:color="auto"/>
            <w:bottom w:val="none" w:sz="0" w:space="0" w:color="auto"/>
            <w:right w:val="none" w:sz="0" w:space="0" w:color="auto"/>
          </w:divBdr>
        </w:div>
        <w:div w:id="1895310799">
          <w:marLeft w:val="0"/>
          <w:marRight w:val="0"/>
          <w:marTop w:val="0"/>
          <w:marBottom w:val="93"/>
          <w:divBdr>
            <w:top w:val="none" w:sz="0" w:space="0" w:color="auto"/>
            <w:left w:val="none" w:sz="0" w:space="0" w:color="auto"/>
            <w:bottom w:val="none" w:sz="0" w:space="0" w:color="auto"/>
            <w:right w:val="none" w:sz="0" w:space="0" w:color="auto"/>
          </w:divBdr>
        </w:div>
        <w:div w:id="77561569">
          <w:marLeft w:val="0"/>
          <w:marRight w:val="0"/>
          <w:marTop w:val="0"/>
          <w:marBottom w:val="93"/>
          <w:divBdr>
            <w:top w:val="none" w:sz="0" w:space="0" w:color="auto"/>
            <w:left w:val="none" w:sz="0" w:space="0" w:color="auto"/>
            <w:bottom w:val="none" w:sz="0" w:space="0" w:color="auto"/>
            <w:right w:val="none" w:sz="0" w:space="0" w:color="auto"/>
          </w:divBdr>
        </w:div>
        <w:div w:id="411390857">
          <w:marLeft w:val="0"/>
          <w:marRight w:val="0"/>
          <w:marTop w:val="0"/>
          <w:marBottom w:val="93"/>
          <w:divBdr>
            <w:top w:val="none" w:sz="0" w:space="0" w:color="auto"/>
            <w:left w:val="none" w:sz="0" w:space="0" w:color="auto"/>
            <w:bottom w:val="none" w:sz="0" w:space="0" w:color="auto"/>
            <w:right w:val="none" w:sz="0" w:space="0" w:color="auto"/>
          </w:divBdr>
        </w:div>
        <w:div w:id="1328173963">
          <w:marLeft w:val="0"/>
          <w:marRight w:val="0"/>
          <w:marTop w:val="0"/>
          <w:marBottom w:val="93"/>
          <w:divBdr>
            <w:top w:val="none" w:sz="0" w:space="0" w:color="auto"/>
            <w:left w:val="none" w:sz="0" w:space="0" w:color="auto"/>
            <w:bottom w:val="none" w:sz="0" w:space="0" w:color="auto"/>
            <w:right w:val="none" w:sz="0" w:space="0" w:color="auto"/>
          </w:divBdr>
        </w:div>
        <w:div w:id="510992715">
          <w:marLeft w:val="0"/>
          <w:marRight w:val="0"/>
          <w:marTop w:val="0"/>
          <w:marBottom w:val="93"/>
          <w:divBdr>
            <w:top w:val="none" w:sz="0" w:space="0" w:color="auto"/>
            <w:left w:val="none" w:sz="0" w:space="0" w:color="auto"/>
            <w:bottom w:val="none" w:sz="0" w:space="0" w:color="auto"/>
            <w:right w:val="none" w:sz="0" w:space="0" w:color="auto"/>
          </w:divBdr>
        </w:div>
        <w:div w:id="1128160082">
          <w:marLeft w:val="0"/>
          <w:marRight w:val="0"/>
          <w:marTop w:val="0"/>
          <w:marBottom w:val="93"/>
          <w:divBdr>
            <w:top w:val="none" w:sz="0" w:space="0" w:color="auto"/>
            <w:left w:val="none" w:sz="0" w:space="0" w:color="auto"/>
            <w:bottom w:val="none" w:sz="0" w:space="0" w:color="auto"/>
            <w:right w:val="none" w:sz="0" w:space="0" w:color="auto"/>
          </w:divBdr>
        </w:div>
        <w:div w:id="217471763">
          <w:marLeft w:val="0"/>
          <w:marRight w:val="0"/>
          <w:marTop w:val="0"/>
          <w:marBottom w:val="93"/>
          <w:divBdr>
            <w:top w:val="none" w:sz="0" w:space="0" w:color="auto"/>
            <w:left w:val="none" w:sz="0" w:space="0" w:color="auto"/>
            <w:bottom w:val="none" w:sz="0" w:space="0" w:color="auto"/>
            <w:right w:val="none" w:sz="0" w:space="0" w:color="auto"/>
          </w:divBdr>
        </w:div>
        <w:div w:id="1511065953">
          <w:marLeft w:val="0"/>
          <w:marRight w:val="0"/>
          <w:marTop w:val="0"/>
          <w:marBottom w:val="93"/>
          <w:divBdr>
            <w:top w:val="none" w:sz="0" w:space="0" w:color="auto"/>
            <w:left w:val="none" w:sz="0" w:space="0" w:color="auto"/>
            <w:bottom w:val="none" w:sz="0" w:space="0" w:color="auto"/>
            <w:right w:val="none" w:sz="0" w:space="0" w:color="auto"/>
          </w:divBdr>
        </w:div>
        <w:div w:id="1198275908">
          <w:marLeft w:val="0"/>
          <w:marRight w:val="0"/>
          <w:marTop w:val="0"/>
          <w:marBottom w:val="93"/>
          <w:divBdr>
            <w:top w:val="none" w:sz="0" w:space="0" w:color="auto"/>
            <w:left w:val="none" w:sz="0" w:space="0" w:color="auto"/>
            <w:bottom w:val="none" w:sz="0" w:space="0" w:color="auto"/>
            <w:right w:val="none" w:sz="0" w:space="0" w:color="auto"/>
          </w:divBdr>
        </w:div>
        <w:div w:id="2002780945">
          <w:marLeft w:val="0"/>
          <w:marRight w:val="0"/>
          <w:marTop w:val="0"/>
          <w:marBottom w:val="93"/>
          <w:divBdr>
            <w:top w:val="none" w:sz="0" w:space="0" w:color="auto"/>
            <w:left w:val="none" w:sz="0" w:space="0" w:color="auto"/>
            <w:bottom w:val="none" w:sz="0" w:space="0" w:color="auto"/>
            <w:right w:val="none" w:sz="0" w:space="0" w:color="auto"/>
          </w:divBdr>
        </w:div>
        <w:div w:id="889078924">
          <w:marLeft w:val="0"/>
          <w:marRight w:val="0"/>
          <w:marTop w:val="0"/>
          <w:marBottom w:val="93"/>
          <w:divBdr>
            <w:top w:val="none" w:sz="0" w:space="0" w:color="auto"/>
            <w:left w:val="none" w:sz="0" w:space="0" w:color="auto"/>
            <w:bottom w:val="none" w:sz="0" w:space="0" w:color="auto"/>
            <w:right w:val="none" w:sz="0" w:space="0" w:color="auto"/>
          </w:divBdr>
        </w:div>
        <w:div w:id="1060597935">
          <w:marLeft w:val="0"/>
          <w:marRight w:val="0"/>
          <w:marTop w:val="0"/>
          <w:marBottom w:val="93"/>
          <w:divBdr>
            <w:top w:val="none" w:sz="0" w:space="0" w:color="auto"/>
            <w:left w:val="none" w:sz="0" w:space="0" w:color="auto"/>
            <w:bottom w:val="none" w:sz="0" w:space="0" w:color="auto"/>
            <w:right w:val="none" w:sz="0" w:space="0" w:color="auto"/>
          </w:divBdr>
        </w:div>
        <w:div w:id="492140141">
          <w:marLeft w:val="0"/>
          <w:marRight w:val="0"/>
          <w:marTop w:val="0"/>
          <w:marBottom w:val="93"/>
          <w:divBdr>
            <w:top w:val="none" w:sz="0" w:space="0" w:color="auto"/>
            <w:left w:val="none" w:sz="0" w:space="0" w:color="auto"/>
            <w:bottom w:val="none" w:sz="0" w:space="0" w:color="auto"/>
            <w:right w:val="none" w:sz="0" w:space="0" w:color="auto"/>
          </w:divBdr>
        </w:div>
        <w:div w:id="1384057702">
          <w:marLeft w:val="0"/>
          <w:marRight w:val="0"/>
          <w:marTop w:val="0"/>
          <w:marBottom w:val="93"/>
          <w:divBdr>
            <w:top w:val="none" w:sz="0" w:space="0" w:color="auto"/>
            <w:left w:val="none" w:sz="0" w:space="0" w:color="auto"/>
            <w:bottom w:val="none" w:sz="0" w:space="0" w:color="auto"/>
            <w:right w:val="none" w:sz="0" w:space="0" w:color="auto"/>
          </w:divBdr>
        </w:div>
        <w:div w:id="1195385949">
          <w:marLeft w:val="0"/>
          <w:marRight w:val="0"/>
          <w:marTop w:val="0"/>
          <w:marBottom w:val="93"/>
          <w:divBdr>
            <w:top w:val="none" w:sz="0" w:space="0" w:color="auto"/>
            <w:left w:val="none" w:sz="0" w:space="0" w:color="auto"/>
            <w:bottom w:val="none" w:sz="0" w:space="0" w:color="auto"/>
            <w:right w:val="none" w:sz="0" w:space="0" w:color="auto"/>
          </w:divBdr>
        </w:div>
        <w:div w:id="229728588">
          <w:marLeft w:val="0"/>
          <w:marRight w:val="0"/>
          <w:marTop w:val="0"/>
          <w:marBottom w:val="93"/>
          <w:divBdr>
            <w:top w:val="none" w:sz="0" w:space="0" w:color="auto"/>
            <w:left w:val="none" w:sz="0" w:space="0" w:color="auto"/>
            <w:bottom w:val="none" w:sz="0" w:space="0" w:color="auto"/>
            <w:right w:val="none" w:sz="0" w:space="0" w:color="auto"/>
          </w:divBdr>
        </w:div>
        <w:div w:id="1045180855">
          <w:marLeft w:val="0"/>
          <w:marRight w:val="0"/>
          <w:marTop w:val="0"/>
          <w:marBottom w:val="93"/>
          <w:divBdr>
            <w:top w:val="none" w:sz="0" w:space="0" w:color="auto"/>
            <w:left w:val="none" w:sz="0" w:space="0" w:color="auto"/>
            <w:bottom w:val="none" w:sz="0" w:space="0" w:color="auto"/>
            <w:right w:val="none" w:sz="0" w:space="0" w:color="auto"/>
          </w:divBdr>
        </w:div>
        <w:div w:id="1201936591">
          <w:marLeft w:val="0"/>
          <w:marRight w:val="0"/>
          <w:marTop w:val="0"/>
          <w:marBottom w:val="93"/>
          <w:divBdr>
            <w:top w:val="none" w:sz="0" w:space="0" w:color="auto"/>
            <w:left w:val="none" w:sz="0" w:space="0" w:color="auto"/>
            <w:bottom w:val="none" w:sz="0" w:space="0" w:color="auto"/>
            <w:right w:val="none" w:sz="0" w:space="0" w:color="auto"/>
          </w:divBdr>
        </w:div>
        <w:div w:id="1396659999">
          <w:marLeft w:val="0"/>
          <w:marRight w:val="0"/>
          <w:marTop w:val="0"/>
          <w:marBottom w:val="93"/>
          <w:divBdr>
            <w:top w:val="none" w:sz="0" w:space="0" w:color="auto"/>
            <w:left w:val="none" w:sz="0" w:space="0" w:color="auto"/>
            <w:bottom w:val="none" w:sz="0" w:space="0" w:color="auto"/>
            <w:right w:val="none" w:sz="0" w:space="0" w:color="auto"/>
          </w:divBdr>
        </w:div>
        <w:div w:id="1924412608">
          <w:marLeft w:val="0"/>
          <w:marRight w:val="0"/>
          <w:marTop w:val="0"/>
          <w:marBottom w:val="93"/>
          <w:divBdr>
            <w:top w:val="none" w:sz="0" w:space="0" w:color="auto"/>
            <w:left w:val="none" w:sz="0" w:space="0" w:color="auto"/>
            <w:bottom w:val="none" w:sz="0" w:space="0" w:color="auto"/>
            <w:right w:val="none" w:sz="0" w:space="0" w:color="auto"/>
          </w:divBdr>
        </w:div>
        <w:div w:id="1337343673">
          <w:marLeft w:val="0"/>
          <w:marRight w:val="0"/>
          <w:marTop w:val="0"/>
          <w:marBottom w:val="93"/>
          <w:divBdr>
            <w:top w:val="none" w:sz="0" w:space="0" w:color="auto"/>
            <w:left w:val="none" w:sz="0" w:space="0" w:color="auto"/>
            <w:bottom w:val="none" w:sz="0" w:space="0" w:color="auto"/>
            <w:right w:val="none" w:sz="0" w:space="0" w:color="auto"/>
          </w:divBdr>
        </w:div>
        <w:div w:id="1509981503">
          <w:marLeft w:val="0"/>
          <w:marRight w:val="0"/>
          <w:marTop w:val="0"/>
          <w:marBottom w:val="93"/>
          <w:divBdr>
            <w:top w:val="none" w:sz="0" w:space="0" w:color="auto"/>
            <w:left w:val="none" w:sz="0" w:space="0" w:color="auto"/>
            <w:bottom w:val="none" w:sz="0" w:space="0" w:color="auto"/>
            <w:right w:val="none" w:sz="0" w:space="0" w:color="auto"/>
          </w:divBdr>
        </w:div>
        <w:div w:id="2032758077">
          <w:marLeft w:val="0"/>
          <w:marRight w:val="0"/>
          <w:marTop w:val="0"/>
          <w:marBottom w:val="93"/>
          <w:divBdr>
            <w:top w:val="none" w:sz="0" w:space="0" w:color="auto"/>
            <w:left w:val="none" w:sz="0" w:space="0" w:color="auto"/>
            <w:bottom w:val="none" w:sz="0" w:space="0" w:color="auto"/>
            <w:right w:val="none" w:sz="0" w:space="0" w:color="auto"/>
          </w:divBdr>
        </w:div>
        <w:div w:id="1981566885">
          <w:marLeft w:val="0"/>
          <w:marRight w:val="0"/>
          <w:marTop w:val="0"/>
          <w:marBottom w:val="93"/>
          <w:divBdr>
            <w:top w:val="none" w:sz="0" w:space="0" w:color="auto"/>
            <w:left w:val="none" w:sz="0" w:space="0" w:color="auto"/>
            <w:bottom w:val="none" w:sz="0" w:space="0" w:color="auto"/>
            <w:right w:val="none" w:sz="0" w:space="0" w:color="auto"/>
          </w:divBdr>
        </w:div>
        <w:div w:id="2092509866">
          <w:marLeft w:val="0"/>
          <w:marRight w:val="0"/>
          <w:marTop w:val="0"/>
          <w:marBottom w:val="93"/>
          <w:divBdr>
            <w:top w:val="none" w:sz="0" w:space="0" w:color="auto"/>
            <w:left w:val="none" w:sz="0" w:space="0" w:color="auto"/>
            <w:bottom w:val="none" w:sz="0" w:space="0" w:color="auto"/>
            <w:right w:val="none" w:sz="0" w:space="0" w:color="auto"/>
          </w:divBdr>
        </w:div>
        <w:div w:id="355473013">
          <w:marLeft w:val="0"/>
          <w:marRight w:val="0"/>
          <w:marTop w:val="0"/>
          <w:marBottom w:val="93"/>
          <w:divBdr>
            <w:top w:val="none" w:sz="0" w:space="0" w:color="auto"/>
            <w:left w:val="none" w:sz="0" w:space="0" w:color="auto"/>
            <w:bottom w:val="none" w:sz="0" w:space="0" w:color="auto"/>
            <w:right w:val="none" w:sz="0" w:space="0" w:color="auto"/>
          </w:divBdr>
        </w:div>
        <w:div w:id="463088075">
          <w:marLeft w:val="0"/>
          <w:marRight w:val="0"/>
          <w:marTop w:val="0"/>
          <w:marBottom w:val="93"/>
          <w:divBdr>
            <w:top w:val="none" w:sz="0" w:space="0" w:color="auto"/>
            <w:left w:val="none" w:sz="0" w:space="0" w:color="auto"/>
            <w:bottom w:val="none" w:sz="0" w:space="0" w:color="auto"/>
            <w:right w:val="none" w:sz="0" w:space="0" w:color="auto"/>
          </w:divBdr>
        </w:div>
        <w:div w:id="1927036321">
          <w:marLeft w:val="0"/>
          <w:marRight w:val="0"/>
          <w:marTop w:val="0"/>
          <w:marBottom w:val="93"/>
          <w:divBdr>
            <w:top w:val="none" w:sz="0" w:space="0" w:color="auto"/>
            <w:left w:val="none" w:sz="0" w:space="0" w:color="auto"/>
            <w:bottom w:val="none" w:sz="0" w:space="0" w:color="auto"/>
            <w:right w:val="none" w:sz="0" w:space="0" w:color="auto"/>
          </w:divBdr>
        </w:div>
        <w:div w:id="1673483984">
          <w:marLeft w:val="0"/>
          <w:marRight w:val="0"/>
          <w:marTop w:val="0"/>
          <w:marBottom w:val="93"/>
          <w:divBdr>
            <w:top w:val="none" w:sz="0" w:space="0" w:color="auto"/>
            <w:left w:val="none" w:sz="0" w:space="0" w:color="auto"/>
            <w:bottom w:val="none" w:sz="0" w:space="0" w:color="auto"/>
            <w:right w:val="none" w:sz="0" w:space="0" w:color="auto"/>
          </w:divBdr>
        </w:div>
        <w:div w:id="2101488380">
          <w:marLeft w:val="0"/>
          <w:marRight w:val="0"/>
          <w:marTop w:val="0"/>
          <w:marBottom w:val="93"/>
          <w:divBdr>
            <w:top w:val="none" w:sz="0" w:space="0" w:color="auto"/>
            <w:left w:val="none" w:sz="0" w:space="0" w:color="auto"/>
            <w:bottom w:val="none" w:sz="0" w:space="0" w:color="auto"/>
            <w:right w:val="none" w:sz="0" w:space="0" w:color="auto"/>
          </w:divBdr>
        </w:div>
        <w:div w:id="482309334">
          <w:marLeft w:val="0"/>
          <w:marRight w:val="0"/>
          <w:marTop w:val="0"/>
          <w:marBottom w:val="93"/>
          <w:divBdr>
            <w:top w:val="none" w:sz="0" w:space="0" w:color="auto"/>
            <w:left w:val="none" w:sz="0" w:space="0" w:color="auto"/>
            <w:bottom w:val="none" w:sz="0" w:space="0" w:color="auto"/>
            <w:right w:val="none" w:sz="0" w:space="0" w:color="auto"/>
          </w:divBdr>
        </w:div>
        <w:div w:id="1867913232">
          <w:marLeft w:val="0"/>
          <w:marRight w:val="0"/>
          <w:marTop w:val="0"/>
          <w:marBottom w:val="93"/>
          <w:divBdr>
            <w:top w:val="none" w:sz="0" w:space="0" w:color="auto"/>
            <w:left w:val="none" w:sz="0" w:space="0" w:color="auto"/>
            <w:bottom w:val="none" w:sz="0" w:space="0" w:color="auto"/>
            <w:right w:val="none" w:sz="0" w:space="0" w:color="auto"/>
          </w:divBdr>
        </w:div>
        <w:div w:id="710613345">
          <w:marLeft w:val="0"/>
          <w:marRight w:val="0"/>
          <w:marTop w:val="0"/>
          <w:marBottom w:val="93"/>
          <w:divBdr>
            <w:top w:val="none" w:sz="0" w:space="0" w:color="auto"/>
            <w:left w:val="none" w:sz="0" w:space="0" w:color="auto"/>
            <w:bottom w:val="none" w:sz="0" w:space="0" w:color="auto"/>
            <w:right w:val="none" w:sz="0" w:space="0" w:color="auto"/>
          </w:divBdr>
        </w:div>
        <w:div w:id="686063176">
          <w:marLeft w:val="0"/>
          <w:marRight w:val="0"/>
          <w:marTop w:val="0"/>
          <w:marBottom w:val="93"/>
          <w:divBdr>
            <w:top w:val="none" w:sz="0" w:space="0" w:color="auto"/>
            <w:left w:val="none" w:sz="0" w:space="0" w:color="auto"/>
            <w:bottom w:val="none" w:sz="0" w:space="0" w:color="auto"/>
            <w:right w:val="none" w:sz="0" w:space="0" w:color="auto"/>
          </w:divBdr>
        </w:div>
        <w:div w:id="1151867441">
          <w:marLeft w:val="0"/>
          <w:marRight w:val="0"/>
          <w:marTop w:val="0"/>
          <w:marBottom w:val="93"/>
          <w:divBdr>
            <w:top w:val="none" w:sz="0" w:space="0" w:color="auto"/>
            <w:left w:val="none" w:sz="0" w:space="0" w:color="auto"/>
            <w:bottom w:val="none" w:sz="0" w:space="0" w:color="auto"/>
            <w:right w:val="none" w:sz="0" w:space="0" w:color="auto"/>
          </w:divBdr>
        </w:div>
        <w:div w:id="1466118720">
          <w:marLeft w:val="0"/>
          <w:marRight w:val="0"/>
          <w:marTop w:val="0"/>
          <w:marBottom w:val="93"/>
          <w:divBdr>
            <w:top w:val="none" w:sz="0" w:space="0" w:color="auto"/>
            <w:left w:val="none" w:sz="0" w:space="0" w:color="auto"/>
            <w:bottom w:val="none" w:sz="0" w:space="0" w:color="auto"/>
            <w:right w:val="none" w:sz="0" w:space="0" w:color="auto"/>
          </w:divBdr>
        </w:div>
        <w:div w:id="1402755786">
          <w:marLeft w:val="0"/>
          <w:marRight w:val="0"/>
          <w:marTop w:val="0"/>
          <w:marBottom w:val="93"/>
          <w:divBdr>
            <w:top w:val="none" w:sz="0" w:space="0" w:color="auto"/>
            <w:left w:val="none" w:sz="0" w:space="0" w:color="auto"/>
            <w:bottom w:val="none" w:sz="0" w:space="0" w:color="auto"/>
            <w:right w:val="none" w:sz="0" w:space="0" w:color="auto"/>
          </w:divBdr>
        </w:div>
        <w:div w:id="666399624">
          <w:marLeft w:val="0"/>
          <w:marRight w:val="0"/>
          <w:marTop w:val="0"/>
          <w:marBottom w:val="93"/>
          <w:divBdr>
            <w:top w:val="none" w:sz="0" w:space="0" w:color="auto"/>
            <w:left w:val="none" w:sz="0" w:space="0" w:color="auto"/>
            <w:bottom w:val="none" w:sz="0" w:space="0" w:color="auto"/>
            <w:right w:val="none" w:sz="0" w:space="0" w:color="auto"/>
          </w:divBdr>
        </w:div>
        <w:div w:id="1351107727">
          <w:marLeft w:val="0"/>
          <w:marRight w:val="0"/>
          <w:marTop w:val="0"/>
          <w:marBottom w:val="93"/>
          <w:divBdr>
            <w:top w:val="none" w:sz="0" w:space="0" w:color="auto"/>
            <w:left w:val="none" w:sz="0" w:space="0" w:color="auto"/>
            <w:bottom w:val="none" w:sz="0" w:space="0" w:color="auto"/>
            <w:right w:val="none" w:sz="0" w:space="0" w:color="auto"/>
          </w:divBdr>
        </w:div>
        <w:div w:id="899900440">
          <w:marLeft w:val="0"/>
          <w:marRight w:val="0"/>
          <w:marTop w:val="0"/>
          <w:marBottom w:val="93"/>
          <w:divBdr>
            <w:top w:val="none" w:sz="0" w:space="0" w:color="auto"/>
            <w:left w:val="none" w:sz="0" w:space="0" w:color="auto"/>
            <w:bottom w:val="none" w:sz="0" w:space="0" w:color="auto"/>
            <w:right w:val="none" w:sz="0" w:space="0" w:color="auto"/>
          </w:divBdr>
        </w:div>
        <w:div w:id="150950773">
          <w:marLeft w:val="0"/>
          <w:marRight w:val="0"/>
          <w:marTop w:val="0"/>
          <w:marBottom w:val="93"/>
          <w:divBdr>
            <w:top w:val="none" w:sz="0" w:space="0" w:color="auto"/>
            <w:left w:val="none" w:sz="0" w:space="0" w:color="auto"/>
            <w:bottom w:val="none" w:sz="0" w:space="0" w:color="auto"/>
            <w:right w:val="none" w:sz="0" w:space="0" w:color="auto"/>
          </w:divBdr>
        </w:div>
        <w:div w:id="1844858132">
          <w:marLeft w:val="0"/>
          <w:marRight w:val="0"/>
          <w:marTop w:val="0"/>
          <w:marBottom w:val="93"/>
          <w:divBdr>
            <w:top w:val="none" w:sz="0" w:space="0" w:color="auto"/>
            <w:left w:val="none" w:sz="0" w:space="0" w:color="auto"/>
            <w:bottom w:val="none" w:sz="0" w:space="0" w:color="auto"/>
            <w:right w:val="none" w:sz="0" w:space="0" w:color="auto"/>
          </w:divBdr>
        </w:div>
        <w:div w:id="140343003">
          <w:marLeft w:val="720"/>
          <w:marRight w:val="0"/>
          <w:marTop w:val="0"/>
          <w:marBottom w:val="93"/>
          <w:divBdr>
            <w:top w:val="none" w:sz="0" w:space="0" w:color="auto"/>
            <w:left w:val="none" w:sz="0" w:space="0" w:color="auto"/>
            <w:bottom w:val="none" w:sz="0" w:space="0" w:color="auto"/>
            <w:right w:val="none" w:sz="0" w:space="0" w:color="auto"/>
          </w:divBdr>
        </w:div>
        <w:div w:id="1330789710">
          <w:marLeft w:val="720"/>
          <w:marRight w:val="0"/>
          <w:marTop w:val="0"/>
          <w:marBottom w:val="93"/>
          <w:divBdr>
            <w:top w:val="none" w:sz="0" w:space="0" w:color="auto"/>
            <w:left w:val="none" w:sz="0" w:space="0" w:color="auto"/>
            <w:bottom w:val="none" w:sz="0" w:space="0" w:color="auto"/>
            <w:right w:val="none" w:sz="0" w:space="0" w:color="auto"/>
          </w:divBdr>
        </w:div>
        <w:div w:id="2034456735">
          <w:marLeft w:val="720"/>
          <w:marRight w:val="0"/>
          <w:marTop w:val="0"/>
          <w:marBottom w:val="93"/>
          <w:divBdr>
            <w:top w:val="none" w:sz="0" w:space="0" w:color="auto"/>
            <w:left w:val="none" w:sz="0" w:space="0" w:color="auto"/>
            <w:bottom w:val="none" w:sz="0" w:space="0" w:color="auto"/>
            <w:right w:val="none" w:sz="0" w:space="0" w:color="auto"/>
          </w:divBdr>
        </w:div>
        <w:div w:id="2140492323">
          <w:marLeft w:val="0"/>
          <w:marRight w:val="0"/>
          <w:marTop w:val="0"/>
          <w:marBottom w:val="92"/>
          <w:divBdr>
            <w:top w:val="none" w:sz="0" w:space="0" w:color="auto"/>
            <w:left w:val="none" w:sz="0" w:space="0" w:color="auto"/>
            <w:bottom w:val="none" w:sz="0" w:space="0" w:color="auto"/>
            <w:right w:val="none" w:sz="0" w:space="0" w:color="auto"/>
          </w:divBdr>
        </w:div>
        <w:div w:id="406418006">
          <w:marLeft w:val="0"/>
          <w:marRight w:val="0"/>
          <w:marTop w:val="0"/>
          <w:marBottom w:val="92"/>
          <w:divBdr>
            <w:top w:val="none" w:sz="0" w:space="0" w:color="auto"/>
            <w:left w:val="none" w:sz="0" w:space="0" w:color="auto"/>
            <w:bottom w:val="none" w:sz="0" w:space="0" w:color="auto"/>
            <w:right w:val="none" w:sz="0" w:space="0" w:color="auto"/>
          </w:divBdr>
        </w:div>
        <w:div w:id="1751736317">
          <w:marLeft w:val="0"/>
          <w:marRight w:val="0"/>
          <w:marTop w:val="0"/>
          <w:marBottom w:val="92"/>
          <w:divBdr>
            <w:top w:val="none" w:sz="0" w:space="0" w:color="auto"/>
            <w:left w:val="none" w:sz="0" w:space="0" w:color="auto"/>
            <w:bottom w:val="none" w:sz="0" w:space="0" w:color="auto"/>
            <w:right w:val="none" w:sz="0" w:space="0" w:color="auto"/>
          </w:divBdr>
        </w:div>
        <w:div w:id="563564774">
          <w:marLeft w:val="0"/>
          <w:marRight w:val="0"/>
          <w:marTop w:val="0"/>
          <w:marBottom w:val="92"/>
          <w:divBdr>
            <w:top w:val="none" w:sz="0" w:space="0" w:color="auto"/>
            <w:left w:val="none" w:sz="0" w:space="0" w:color="auto"/>
            <w:bottom w:val="none" w:sz="0" w:space="0" w:color="auto"/>
            <w:right w:val="none" w:sz="0" w:space="0" w:color="auto"/>
          </w:divBdr>
        </w:div>
        <w:div w:id="679091374">
          <w:marLeft w:val="0"/>
          <w:marRight w:val="0"/>
          <w:marTop w:val="0"/>
          <w:marBottom w:val="92"/>
          <w:divBdr>
            <w:top w:val="none" w:sz="0" w:space="0" w:color="auto"/>
            <w:left w:val="none" w:sz="0" w:space="0" w:color="auto"/>
            <w:bottom w:val="none" w:sz="0" w:space="0" w:color="auto"/>
            <w:right w:val="none" w:sz="0" w:space="0" w:color="auto"/>
          </w:divBdr>
        </w:div>
        <w:div w:id="1416784285">
          <w:marLeft w:val="0"/>
          <w:marRight w:val="0"/>
          <w:marTop w:val="0"/>
          <w:marBottom w:val="92"/>
          <w:divBdr>
            <w:top w:val="none" w:sz="0" w:space="0" w:color="auto"/>
            <w:left w:val="none" w:sz="0" w:space="0" w:color="auto"/>
            <w:bottom w:val="none" w:sz="0" w:space="0" w:color="auto"/>
            <w:right w:val="none" w:sz="0" w:space="0" w:color="auto"/>
          </w:divBdr>
        </w:div>
        <w:div w:id="1581060719">
          <w:marLeft w:val="0"/>
          <w:marRight w:val="0"/>
          <w:marTop w:val="0"/>
          <w:marBottom w:val="92"/>
          <w:divBdr>
            <w:top w:val="none" w:sz="0" w:space="0" w:color="auto"/>
            <w:left w:val="none" w:sz="0" w:space="0" w:color="auto"/>
            <w:bottom w:val="none" w:sz="0" w:space="0" w:color="auto"/>
            <w:right w:val="none" w:sz="0" w:space="0" w:color="auto"/>
          </w:divBdr>
        </w:div>
        <w:div w:id="1023088321">
          <w:marLeft w:val="0"/>
          <w:marRight w:val="0"/>
          <w:marTop w:val="0"/>
          <w:marBottom w:val="92"/>
          <w:divBdr>
            <w:top w:val="none" w:sz="0" w:space="0" w:color="auto"/>
            <w:left w:val="none" w:sz="0" w:space="0" w:color="auto"/>
            <w:bottom w:val="none" w:sz="0" w:space="0" w:color="auto"/>
            <w:right w:val="none" w:sz="0" w:space="0" w:color="auto"/>
          </w:divBdr>
        </w:div>
        <w:div w:id="1930428612">
          <w:marLeft w:val="0"/>
          <w:marRight w:val="0"/>
          <w:marTop w:val="0"/>
          <w:marBottom w:val="92"/>
          <w:divBdr>
            <w:top w:val="none" w:sz="0" w:space="0" w:color="auto"/>
            <w:left w:val="none" w:sz="0" w:space="0" w:color="auto"/>
            <w:bottom w:val="none" w:sz="0" w:space="0" w:color="auto"/>
            <w:right w:val="none" w:sz="0" w:space="0" w:color="auto"/>
          </w:divBdr>
        </w:div>
        <w:div w:id="2012416241">
          <w:marLeft w:val="0"/>
          <w:marRight w:val="0"/>
          <w:marTop w:val="0"/>
          <w:marBottom w:val="92"/>
          <w:divBdr>
            <w:top w:val="none" w:sz="0" w:space="0" w:color="auto"/>
            <w:left w:val="none" w:sz="0" w:space="0" w:color="auto"/>
            <w:bottom w:val="none" w:sz="0" w:space="0" w:color="auto"/>
            <w:right w:val="none" w:sz="0" w:space="0" w:color="auto"/>
          </w:divBdr>
        </w:div>
        <w:div w:id="503907671">
          <w:marLeft w:val="0"/>
          <w:marRight w:val="0"/>
          <w:marTop w:val="0"/>
          <w:marBottom w:val="92"/>
          <w:divBdr>
            <w:top w:val="none" w:sz="0" w:space="0" w:color="auto"/>
            <w:left w:val="none" w:sz="0" w:space="0" w:color="auto"/>
            <w:bottom w:val="none" w:sz="0" w:space="0" w:color="auto"/>
            <w:right w:val="none" w:sz="0" w:space="0" w:color="auto"/>
          </w:divBdr>
        </w:div>
        <w:div w:id="1591818027">
          <w:marLeft w:val="0"/>
          <w:marRight w:val="0"/>
          <w:marTop w:val="0"/>
          <w:marBottom w:val="92"/>
          <w:divBdr>
            <w:top w:val="none" w:sz="0" w:space="0" w:color="auto"/>
            <w:left w:val="none" w:sz="0" w:space="0" w:color="auto"/>
            <w:bottom w:val="none" w:sz="0" w:space="0" w:color="auto"/>
            <w:right w:val="none" w:sz="0" w:space="0" w:color="auto"/>
          </w:divBdr>
        </w:div>
        <w:div w:id="2009164251">
          <w:marLeft w:val="0"/>
          <w:marRight w:val="0"/>
          <w:marTop w:val="0"/>
          <w:marBottom w:val="92"/>
          <w:divBdr>
            <w:top w:val="none" w:sz="0" w:space="0" w:color="auto"/>
            <w:left w:val="none" w:sz="0" w:space="0" w:color="auto"/>
            <w:bottom w:val="none" w:sz="0" w:space="0" w:color="auto"/>
            <w:right w:val="none" w:sz="0" w:space="0" w:color="auto"/>
          </w:divBdr>
        </w:div>
        <w:div w:id="622346858">
          <w:marLeft w:val="0"/>
          <w:marRight w:val="0"/>
          <w:marTop w:val="0"/>
          <w:marBottom w:val="92"/>
          <w:divBdr>
            <w:top w:val="none" w:sz="0" w:space="0" w:color="auto"/>
            <w:left w:val="none" w:sz="0" w:space="0" w:color="auto"/>
            <w:bottom w:val="none" w:sz="0" w:space="0" w:color="auto"/>
            <w:right w:val="none" w:sz="0" w:space="0" w:color="auto"/>
          </w:divBdr>
        </w:div>
        <w:div w:id="2015110124">
          <w:marLeft w:val="0"/>
          <w:marRight w:val="0"/>
          <w:marTop w:val="0"/>
          <w:marBottom w:val="92"/>
          <w:divBdr>
            <w:top w:val="none" w:sz="0" w:space="0" w:color="auto"/>
            <w:left w:val="none" w:sz="0" w:space="0" w:color="auto"/>
            <w:bottom w:val="none" w:sz="0" w:space="0" w:color="auto"/>
            <w:right w:val="none" w:sz="0" w:space="0" w:color="auto"/>
          </w:divBdr>
        </w:div>
        <w:div w:id="915358487">
          <w:marLeft w:val="0"/>
          <w:marRight w:val="0"/>
          <w:marTop w:val="0"/>
          <w:marBottom w:val="92"/>
          <w:divBdr>
            <w:top w:val="none" w:sz="0" w:space="0" w:color="auto"/>
            <w:left w:val="none" w:sz="0" w:space="0" w:color="auto"/>
            <w:bottom w:val="none" w:sz="0" w:space="0" w:color="auto"/>
            <w:right w:val="none" w:sz="0" w:space="0" w:color="auto"/>
          </w:divBdr>
        </w:div>
        <w:div w:id="1667244317">
          <w:marLeft w:val="0"/>
          <w:marRight w:val="0"/>
          <w:marTop w:val="0"/>
          <w:marBottom w:val="92"/>
          <w:divBdr>
            <w:top w:val="none" w:sz="0" w:space="0" w:color="auto"/>
            <w:left w:val="none" w:sz="0" w:space="0" w:color="auto"/>
            <w:bottom w:val="none" w:sz="0" w:space="0" w:color="auto"/>
            <w:right w:val="none" w:sz="0" w:space="0" w:color="auto"/>
          </w:divBdr>
        </w:div>
        <w:div w:id="1591305626">
          <w:marLeft w:val="0"/>
          <w:marRight w:val="0"/>
          <w:marTop w:val="0"/>
          <w:marBottom w:val="92"/>
          <w:divBdr>
            <w:top w:val="none" w:sz="0" w:space="0" w:color="auto"/>
            <w:left w:val="none" w:sz="0" w:space="0" w:color="auto"/>
            <w:bottom w:val="none" w:sz="0" w:space="0" w:color="auto"/>
            <w:right w:val="none" w:sz="0" w:space="0" w:color="auto"/>
          </w:divBdr>
        </w:div>
        <w:div w:id="1565797250">
          <w:marLeft w:val="0"/>
          <w:marRight w:val="0"/>
          <w:marTop w:val="0"/>
          <w:marBottom w:val="92"/>
          <w:divBdr>
            <w:top w:val="none" w:sz="0" w:space="0" w:color="auto"/>
            <w:left w:val="none" w:sz="0" w:space="0" w:color="auto"/>
            <w:bottom w:val="none" w:sz="0" w:space="0" w:color="auto"/>
            <w:right w:val="none" w:sz="0" w:space="0" w:color="auto"/>
          </w:divBdr>
        </w:div>
        <w:div w:id="2090082381">
          <w:marLeft w:val="0"/>
          <w:marRight w:val="0"/>
          <w:marTop w:val="0"/>
          <w:marBottom w:val="92"/>
          <w:divBdr>
            <w:top w:val="none" w:sz="0" w:space="0" w:color="auto"/>
            <w:left w:val="none" w:sz="0" w:space="0" w:color="auto"/>
            <w:bottom w:val="none" w:sz="0" w:space="0" w:color="auto"/>
            <w:right w:val="none" w:sz="0" w:space="0" w:color="auto"/>
          </w:divBdr>
        </w:div>
        <w:div w:id="832725699">
          <w:marLeft w:val="0"/>
          <w:marRight w:val="0"/>
          <w:marTop w:val="0"/>
          <w:marBottom w:val="92"/>
          <w:divBdr>
            <w:top w:val="none" w:sz="0" w:space="0" w:color="auto"/>
            <w:left w:val="none" w:sz="0" w:space="0" w:color="auto"/>
            <w:bottom w:val="none" w:sz="0" w:space="0" w:color="auto"/>
            <w:right w:val="none" w:sz="0" w:space="0" w:color="auto"/>
          </w:divBdr>
        </w:div>
        <w:div w:id="95443339">
          <w:marLeft w:val="0"/>
          <w:marRight w:val="0"/>
          <w:marTop w:val="0"/>
          <w:marBottom w:val="92"/>
          <w:divBdr>
            <w:top w:val="none" w:sz="0" w:space="0" w:color="auto"/>
            <w:left w:val="none" w:sz="0" w:space="0" w:color="auto"/>
            <w:bottom w:val="none" w:sz="0" w:space="0" w:color="auto"/>
            <w:right w:val="none" w:sz="0" w:space="0" w:color="auto"/>
          </w:divBdr>
        </w:div>
        <w:div w:id="1465005838">
          <w:marLeft w:val="0"/>
          <w:marRight w:val="0"/>
          <w:marTop w:val="0"/>
          <w:marBottom w:val="92"/>
          <w:divBdr>
            <w:top w:val="none" w:sz="0" w:space="0" w:color="auto"/>
            <w:left w:val="none" w:sz="0" w:space="0" w:color="auto"/>
            <w:bottom w:val="none" w:sz="0" w:space="0" w:color="auto"/>
            <w:right w:val="none" w:sz="0" w:space="0" w:color="auto"/>
          </w:divBdr>
        </w:div>
        <w:div w:id="787705162">
          <w:marLeft w:val="0"/>
          <w:marRight w:val="0"/>
          <w:marTop w:val="0"/>
          <w:marBottom w:val="92"/>
          <w:divBdr>
            <w:top w:val="none" w:sz="0" w:space="0" w:color="auto"/>
            <w:left w:val="none" w:sz="0" w:space="0" w:color="auto"/>
            <w:bottom w:val="none" w:sz="0" w:space="0" w:color="auto"/>
            <w:right w:val="none" w:sz="0" w:space="0" w:color="auto"/>
          </w:divBdr>
        </w:div>
        <w:div w:id="1233203511">
          <w:marLeft w:val="0"/>
          <w:marRight w:val="0"/>
          <w:marTop w:val="0"/>
          <w:marBottom w:val="92"/>
          <w:divBdr>
            <w:top w:val="none" w:sz="0" w:space="0" w:color="auto"/>
            <w:left w:val="none" w:sz="0" w:space="0" w:color="auto"/>
            <w:bottom w:val="none" w:sz="0" w:space="0" w:color="auto"/>
            <w:right w:val="none" w:sz="0" w:space="0" w:color="auto"/>
          </w:divBdr>
        </w:div>
        <w:div w:id="711660785">
          <w:marLeft w:val="0"/>
          <w:marRight w:val="0"/>
          <w:marTop w:val="0"/>
          <w:marBottom w:val="92"/>
          <w:divBdr>
            <w:top w:val="none" w:sz="0" w:space="0" w:color="auto"/>
            <w:left w:val="none" w:sz="0" w:space="0" w:color="auto"/>
            <w:bottom w:val="none" w:sz="0" w:space="0" w:color="auto"/>
            <w:right w:val="none" w:sz="0" w:space="0" w:color="auto"/>
          </w:divBdr>
        </w:div>
        <w:div w:id="1980769761">
          <w:marLeft w:val="0"/>
          <w:marRight w:val="0"/>
          <w:marTop w:val="0"/>
          <w:marBottom w:val="92"/>
          <w:divBdr>
            <w:top w:val="none" w:sz="0" w:space="0" w:color="auto"/>
            <w:left w:val="none" w:sz="0" w:space="0" w:color="auto"/>
            <w:bottom w:val="none" w:sz="0" w:space="0" w:color="auto"/>
            <w:right w:val="none" w:sz="0" w:space="0" w:color="auto"/>
          </w:divBdr>
        </w:div>
        <w:div w:id="1207377105">
          <w:marLeft w:val="0"/>
          <w:marRight w:val="0"/>
          <w:marTop w:val="0"/>
          <w:marBottom w:val="92"/>
          <w:divBdr>
            <w:top w:val="none" w:sz="0" w:space="0" w:color="auto"/>
            <w:left w:val="none" w:sz="0" w:space="0" w:color="auto"/>
            <w:bottom w:val="none" w:sz="0" w:space="0" w:color="auto"/>
            <w:right w:val="none" w:sz="0" w:space="0" w:color="auto"/>
          </w:divBdr>
        </w:div>
        <w:div w:id="2069528077">
          <w:marLeft w:val="0"/>
          <w:marRight w:val="0"/>
          <w:marTop w:val="0"/>
          <w:marBottom w:val="92"/>
          <w:divBdr>
            <w:top w:val="none" w:sz="0" w:space="0" w:color="auto"/>
            <w:left w:val="none" w:sz="0" w:space="0" w:color="auto"/>
            <w:bottom w:val="none" w:sz="0" w:space="0" w:color="auto"/>
            <w:right w:val="none" w:sz="0" w:space="0" w:color="auto"/>
          </w:divBdr>
        </w:div>
        <w:div w:id="867252397">
          <w:marLeft w:val="0"/>
          <w:marRight w:val="0"/>
          <w:marTop w:val="0"/>
          <w:marBottom w:val="92"/>
          <w:divBdr>
            <w:top w:val="none" w:sz="0" w:space="0" w:color="auto"/>
            <w:left w:val="none" w:sz="0" w:space="0" w:color="auto"/>
            <w:bottom w:val="none" w:sz="0" w:space="0" w:color="auto"/>
            <w:right w:val="none" w:sz="0" w:space="0" w:color="auto"/>
          </w:divBdr>
        </w:div>
        <w:div w:id="1511602626">
          <w:marLeft w:val="0"/>
          <w:marRight w:val="0"/>
          <w:marTop w:val="0"/>
          <w:marBottom w:val="92"/>
          <w:divBdr>
            <w:top w:val="none" w:sz="0" w:space="0" w:color="auto"/>
            <w:left w:val="none" w:sz="0" w:space="0" w:color="auto"/>
            <w:bottom w:val="none" w:sz="0" w:space="0" w:color="auto"/>
            <w:right w:val="none" w:sz="0" w:space="0" w:color="auto"/>
          </w:divBdr>
        </w:div>
        <w:div w:id="1355838645">
          <w:marLeft w:val="0"/>
          <w:marRight w:val="0"/>
          <w:marTop w:val="0"/>
          <w:marBottom w:val="92"/>
          <w:divBdr>
            <w:top w:val="none" w:sz="0" w:space="0" w:color="auto"/>
            <w:left w:val="none" w:sz="0" w:space="0" w:color="auto"/>
            <w:bottom w:val="none" w:sz="0" w:space="0" w:color="auto"/>
            <w:right w:val="none" w:sz="0" w:space="0" w:color="auto"/>
          </w:divBdr>
        </w:div>
        <w:div w:id="1766025732">
          <w:marLeft w:val="0"/>
          <w:marRight w:val="0"/>
          <w:marTop w:val="0"/>
          <w:marBottom w:val="92"/>
          <w:divBdr>
            <w:top w:val="none" w:sz="0" w:space="0" w:color="auto"/>
            <w:left w:val="none" w:sz="0" w:space="0" w:color="auto"/>
            <w:bottom w:val="none" w:sz="0" w:space="0" w:color="auto"/>
            <w:right w:val="none" w:sz="0" w:space="0" w:color="auto"/>
          </w:divBdr>
        </w:div>
        <w:div w:id="963005417">
          <w:marLeft w:val="0"/>
          <w:marRight w:val="0"/>
          <w:marTop w:val="0"/>
          <w:marBottom w:val="92"/>
          <w:divBdr>
            <w:top w:val="none" w:sz="0" w:space="0" w:color="auto"/>
            <w:left w:val="none" w:sz="0" w:space="0" w:color="auto"/>
            <w:bottom w:val="none" w:sz="0" w:space="0" w:color="auto"/>
            <w:right w:val="none" w:sz="0" w:space="0" w:color="auto"/>
          </w:divBdr>
        </w:div>
        <w:div w:id="1467577277">
          <w:marLeft w:val="0"/>
          <w:marRight w:val="0"/>
          <w:marTop w:val="0"/>
          <w:marBottom w:val="92"/>
          <w:divBdr>
            <w:top w:val="none" w:sz="0" w:space="0" w:color="auto"/>
            <w:left w:val="none" w:sz="0" w:space="0" w:color="auto"/>
            <w:bottom w:val="none" w:sz="0" w:space="0" w:color="auto"/>
            <w:right w:val="none" w:sz="0" w:space="0" w:color="auto"/>
          </w:divBdr>
        </w:div>
        <w:div w:id="1129322980">
          <w:marLeft w:val="0"/>
          <w:marRight w:val="0"/>
          <w:marTop w:val="0"/>
          <w:marBottom w:val="92"/>
          <w:divBdr>
            <w:top w:val="none" w:sz="0" w:space="0" w:color="auto"/>
            <w:left w:val="none" w:sz="0" w:space="0" w:color="auto"/>
            <w:bottom w:val="none" w:sz="0" w:space="0" w:color="auto"/>
            <w:right w:val="none" w:sz="0" w:space="0" w:color="auto"/>
          </w:divBdr>
        </w:div>
        <w:div w:id="1230775301">
          <w:marLeft w:val="0"/>
          <w:marRight w:val="0"/>
          <w:marTop w:val="0"/>
          <w:marBottom w:val="92"/>
          <w:divBdr>
            <w:top w:val="none" w:sz="0" w:space="0" w:color="auto"/>
            <w:left w:val="none" w:sz="0" w:space="0" w:color="auto"/>
            <w:bottom w:val="none" w:sz="0" w:space="0" w:color="auto"/>
            <w:right w:val="none" w:sz="0" w:space="0" w:color="auto"/>
          </w:divBdr>
        </w:div>
        <w:div w:id="1984040800">
          <w:marLeft w:val="0"/>
          <w:marRight w:val="0"/>
          <w:marTop w:val="0"/>
          <w:marBottom w:val="92"/>
          <w:divBdr>
            <w:top w:val="none" w:sz="0" w:space="0" w:color="auto"/>
            <w:left w:val="none" w:sz="0" w:space="0" w:color="auto"/>
            <w:bottom w:val="none" w:sz="0" w:space="0" w:color="auto"/>
            <w:right w:val="none" w:sz="0" w:space="0" w:color="auto"/>
          </w:divBdr>
        </w:div>
        <w:div w:id="1662612211">
          <w:marLeft w:val="0"/>
          <w:marRight w:val="0"/>
          <w:marTop w:val="0"/>
          <w:marBottom w:val="92"/>
          <w:divBdr>
            <w:top w:val="none" w:sz="0" w:space="0" w:color="auto"/>
            <w:left w:val="none" w:sz="0" w:space="0" w:color="auto"/>
            <w:bottom w:val="none" w:sz="0" w:space="0" w:color="auto"/>
            <w:right w:val="none" w:sz="0" w:space="0" w:color="auto"/>
          </w:divBdr>
        </w:div>
        <w:div w:id="115953640">
          <w:marLeft w:val="0"/>
          <w:marRight w:val="0"/>
          <w:marTop w:val="0"/>
          <w:marBottom w:val="92"/>
          <w:divBdr>
            <w:top w:val="none" w:sz="0" w:space="0" w:color="auto"/>
            <w:left w:val="none" w:sz="0" w:space="0" w:color="auto"/>
            <w:bottom w:val="none" w:sz="0" w:space="0" w:color="auto"/>
            <w:right w:val="none" w:sz="0" w:space="0" w:color="auto"/>
          </w:divBdr>
        </w:div>
        <w:div w:id="153227494">
          <w:marLeft w:val="0"/>
          <w:marRight w:val="0"/>
          <w:marTop w:val="0"/>
          <w:marBottom w:val="92"/>
          <w:divBdr>
            <w:top w:val="none" w:sz="0" w:space="0" w:color="auto"/>
            <w:left w:val="none" w:sz="0" w:space="0" w:color="auto"/>
            <w:bottom w:val="none" w:sz="0" w:space="0" w:color="auto"/>
            <w:right w:val="none" w:sz="0" w:space="0" w:color="auto"/>
          </w:divBdr>
        </w:div>
        <w:div w:id="1399937656">
          <w:marLeft w:val="0"/>
          <w:marRight w:val="0"/>
          <w:marTop w:val="0"/>
          <w:marBottom w:val="92"/>
          <w:divBdr>
            <w:top w:val="none" w:sz="0" w:space="0" w:color="auto"/>
            <w:left w:val="none" w:sz="0" w:space="0" w:color="auto"/>
            <w:bottom w:val="none" w:sz="0" w:space="0" w:color="auto"/>
            <w:right w:val="none" w:sz="0" w:space="0" w:color="auto"/>
          </w:divBdr>
        </w:div>
        <w:div w:id="1341351945">
          <w:marLeft w:val="0"/>
          <w:marRight w:val="0"/>
          <w:marTop w:val="0"/>
          <w:marBottom w:val="92"/>
          <w:divBdr>
            <w:top w:val="none" w:sz="0" w:space="0" w:color="auto"/>
            <w:left w:val="none" w:sz="0" w:space="0" w:color="auto"/>
            <w:bottom w:val="none" w:sz="0" w:space="0" w:color="auto"/>
            <w:right w:val="none" w:sz="0" w:space="0" w:color="auto"/>
          </w:divBdr>
        </w:div>
        <w:div w:id="1481918253">
          <w:marLeft w:val="0"/>
          <w:marRight w:val="0"/>
          <w:marTop w:val="0"/>
          <w:marBottom w:val="92"/>
          <w:divBdr>
            <w:top w:val="none" w:sz="0" w:space="0" w:color="auto"/>
            <w:left w:val="none" w:sz="0" w:space="0" w:color="auto"/>
            <w:bottom w:val="none" w:sz="0" w:space="0" w:color="auto"/>
            <w:right w:val="none" w:sz="0" w:space="0" w:color="auto"/>
          </w:divBdr>
        </w:div>
        <w:div w:id="944776877">
          <w:marLeft w:val="0"/>
          <w:marRight w:val="0"/>
          <w:marTop w:val="0"/>
          <w:marBottom w:val="92"/>
          <w:divBdr>
            <w:top w:val="none" w:sz="0" w:space="0" w:color="auto"/>
            <w:left w:val="none" w:sz="0" w:space="0" w:color="auto"/>
            <w:bottom w:val="none" w:sz="0" w:space="0" w:color="auto"/>
            <w:right w:val="none" w:sz="0" w:space="0" w:color="auto"/>
          </w:divBdr>
        </w:div>
        <w:div w:id="1060716449">
          <w:marLeft w:val="0"/>
          <w:marRight w:val="0"/>
          <w:marTop w:val="0"/>
          <w:marBottom w:val="92"/>
          <w:divBdr>
            <w:top w:val="none" w:sz="0" w:space="0" w:color="auto"/>
            <w:left w:val="none" w:sz="0" w:space="0" w:color="auto"/>
            <w:bottom w:val="none" w:sz="0" w:space="0" w:color="auto"/>
            <w:right w:val="none" w:sz="0" w:space="0" w:color="auto"/>
          </w:divBdr>
        </w:div>
        <w:div w:id="301272411">
          <w:marLeft w:val="0"/>
          <w:marRight w:val="0"/>
          <w:marTop w:val="0"/>
          <w:marBottom w:val="92"/>
          <w:divBdr>
            <w:top w:val="none" w:sz="0" w:space="0" w:color="auto"/>
            <w:left w:val="none" w:sz="0" w:space="0" w:color="auto"/>
            <w:bottom w:val="none" w:sz="0" w:space="0" w:color="auto"/>
            <w:right w:val="none" w:sz="0" w:space="0" w:color="auto"/>
          </w:divBdr>
        </w:div>
        <w:div w:id="1531989316">
          <w:marLeft w:val="0"/>
          <w:marRight w:val="0"/>
          <w:marTop w:val="0"/>
          <w:marBottom w:val="92"/>
          <w:divBdr>
            <w:top w:val="none" w:sz="0" w:space="0" w:color="auto"/>
            <w:left w:val="none" w:sz="0" w:space="0" w:color="auto"/>
            <w:bottom w:val="none" w:sz="0" w:space="0" w:color="auto"/>
            <w:right w:val="none" w:sz="0" w:space="0" w:color="auto"/>
          </w:divBdr>
        </w:div>
        <w:div w:id="963002992">
          <w:marLeft w:val="0"/>
          <w:marRight w:val="0"/>
          <w:marTop w:val="0"/>
          <w:marBottom w:val="92"/>
          <w:divBdr>
            <w:top w:val="none" w:sz="0" w:space="0" w:color="auto"/>
            <w:left w:val="none" w:sz="0" w:space="0" w:color="auto"/>
            <w:bottom w:val="none" w:sz="0" w:space="0" w:color="auto"/>
            <w:right w:val="none" w:sz="0" w:space="0" w:color="auto"/>
          </w:divBdr>
        </w:div>
        <w:div w:id="1313098273">
          <w:marLeft w:val="0"/>
          <w:marRight w:val="0"/>
          <w:marTop w:val="0"/>
          <w:marBottom w:val="92"/>
          <w:divBdr>
            <w:top w:val="none" w:sz="0" w:space="0" w:color="auto"/>
            <w:left w:val="none" w:sz="0" w:space="0" w:color="auto"/>
            <w:bottom w:val="none" w:sz="0" w:space="0" w:color="auto"/>
            <w:right w:val="none" w:sz="0" w:space="0" w:color="auto"/>
          </w:divBdr>
        </w:div>
        <w:div w:id="1598253319">
          <w:marLeft w:val="0"/>
          <w:marRight w:val="0"/>
          <w:marTop w:val="0"/>
          <w:marBottom w:val="92"/>
          <w:divBdr>
            <w:top w:val="none" w:sz="0" w:space="0" w:color="auto"/>
            <w:left w:val="none" w:sz="0" w:space="0" w:color="auto"/>
            <w:bottom w:val="none" w:sz="0" w:space="0" w:color="auto"/>
            <w:right w:val="none" w:sz="0" w:space="0" w:color="auto"/>
          </w:divBdr>
        </w:div>
        <w:div w:id="1204514786">
          <w:marLeft w:val="0"/>
          <w:marRight w:val="0"/>
          <w:marTop w:val="0"/>
          <w:marBottom w:val="92"/>
          <w:divBdr>
            <w:top w:val="none" w:sz="0" w:space="0" w:color="auto"/>
            <w:left w:val="none" w:sz="0" w:space="0" w:color="auto"/>
            <w:bottom w:val="none" w:sz="0" w:space="0" w:color="auto"/>
            <w:right w:val="none" w:sz="0" w:space="0" w:color="auto"/>
          </w:divBdr>
        </w:div>
        <w:div w:id="1362827707">
          <w:marLeft w:val="0"/>
          <w:marRight w:val="0"/>
          <w:marTop w:val="0"/>
          <w:marBottom w:val="92"/>
          <w:divBdr>
            <w:top w:val="none" w:sz="0" w:space="0" w:color="auto"/>
            <w:left w:val="none" w:sz="0" w:space="0" w:color="auto"/>
            <w:bottom w:val="none" w:sz="0" w:space="0" w:color="auto"/>
            <w:right w:val="none" w:sz="0" w:space="0" w:color="auto"/>
          </w:divBdr>
        </w:div>
        <w:div w:id="631206977">
          <w:marLeft w:val="0"/>
          <w:marRight w:val="0"/>
          <w:marTop w:val="0"/>
          <w:marBottom w:val="92"/>
          <w:divBdr>
            <w:top w:val="none" w:sz="0" w:space="0" w:color="auto"/>
            <w:left w:val="none" w:sz="0" w:space="0" w:color="auto"/>
            <w:bottom w:val="none" w:sz="0" w:space="0" w:color="auto"/>
            <w:right w:val="none" w:sz="0" w:space="0" w:color="auto"/>
          </w:divBdr>
        </w:div>
        <w:div w:id="2099522212">
          <w:marLeft w:val="0"/>
          <w:marRight w:val="0"/>
          <w:marTop w:val="0"/>
          <w:marBottom w:val="92"/>
          <w:divBdr>
            <w:top w:val="none" w:sz="0" w:space="0" w:color="auto"/>
            <w:left w:val="none" w:sz="0" w:space="0" w:color="auto"/>
            <w:bottom w:val="none" w:sz="0" w:space="0" w:color="auto"/>
            <w:right w:val="none" w:sz="0" w:space="0" w:color="auto"/>
          </w:divBdr>
        </w:div>
        <w:div w:id="1869634834">
          <w:marLeft w:val="0"/>
          <w:marRight w:val="0"/>
          <w:marTop w:val="0"/>
          <w:marBottom w:val="92"/>
          <w:divBdr>
            <w:top w:val="none" w:sz="0" w:space="0" w:color="auto"/>
            <w:left w:val="none" w:sz="0" w:space="0" w:color="auto"/>
            <w:bottom w:val="none" w:sz="0" w:space="0" w:color="auto"/>
            <w:right w:val="none" w:sz="0" w:space="0" w:color="auto"/>
          </w:divBdr>
        </w:div>
        <w:div w:id="261112691">
          <w:marLeft w:val="0"/>
          <w:marRight w:val="0"/>
          <w:marTop w:val="0"/>
          <w:marBottom w:val="92"/>
          <w:divBdr>
            <w:top w:val="none" w:sz="0" w:space="0" w:color="auto"/>
            <w:left w:val="none" w:sz="0" w:space="0" w:color="auto"/>
            <w:bottom w:val="none" w:sz="0" w:space="0" w:color="auto"/>
            <w:right w:val="none" w:sz="0" w:space="0" w:color="auto"/>
          </w:divBdr>
        </w:div>
        <w:div w:id="1698459620">
          <w:marLeft w:val="0"/>
          <w:marRight w:val="0"/>
          <w:marTop w:val="0"/>
          <w:marBottom w:val="92"/>
          <w:divBdr>
            <w:top w:val="none" w:sz="0" w:space="0" w:color="auto"/>
            <w:left w:val="none" w:sz="0" w:space="0" w:color="auto"/>
            <w:bottom w:val="none" w:sz="0" w:space="0" w:color="auto"/>
            <w:right w:val="none" w:sz="0" w:space="0" w:color="auto"/>
          </w:divBdr>
        </w:div>
        <w:div w:id="901867671">
          <w:marLeft w:val="0"/>
          <w:marRight w:val="0"/>
          <w:marTop w:val="0"/>
          <w:marBottom w:val="92"/>
          <w:divBdr>
            <w:top w:val="none" w:sz="0" w:space="0" w:color="auto"/>
            <w:left w:val="none" w:sz="0" w:space="0" w:color="auto"/>
            <w:bottom w:val="none" w:sz="0" w:space="0" w:color="auto"/>
            <w:right w:val="none" w:sz="0" w:space="0" w:color="auto"/>
          </w:divBdr>
        </w:div>
        <w:div w:id="208567374">
          <w:marLeft w:val="0"/>
          <w:marRight w:val="0"/>
          <w:marTop w:val="0"/>
          <w:marBottom w:val="92"/>
          <w:divBdr>
            <w:top w:val="none" w:sz="0" w:space="0" w:color="auto"/>
            <w:left w:val="none" w:sz="0" w:space="0" w:color="auto"/>
            <w:bottom w:val="none" w:sz="0" w:space="0" w:color="auto"/>
            <w:right w:val="none" w:sz="0" w:space="0" w:color="auto"/>
          </w:divBdr>
        </w:div>
        <w:div w:id="1593470143">
          <w:marLeft w:val="0"/>
          <w:marRight w:val="0"/>
          <w:marTop w:val="0"/>
          <w:marBottom w:val="92"/>
          <w:divBdr>
            <w:top w:val="none" w:sz="0" w:space="0" w:color="auto"/>
            <w:left w:val="none" w:sz="0" w:space="0" w:color="auto"/>
            <w:bottom w:val="none" w:sz="0" w:space="0" w:color="auto"/>
            <w:right w:val="none" w:sz="0" w:space="0" w:color="auto"/>
          </w:divBdr>
        </w:div>
        <w:div w:id="161359727">
          <w:marLeft w:val="0"/>
          <w:marRight w:val="0"/>
          <w:marTop w:val="0"/>
          <w:marBottom w:val="92"/>
          <w:divBdr>
            <w:top w:val="none" w:sz="0" w:space="0" w:color="auto"/>
            <w:left w:val="none" w:sz="0" w:space="0" w:color="auto"/>
            <w:bottom w:val="none" w:sz="0" w:space="0" w:color="auto"/>
            <w:right w:val="none" w:sz="0" w:space="0" w:color="auto"/>
          </w:divBdr>
        </w:div>
        <w:div w:id="1385830040">
          <w:marLeft w:val="0"/>
          <w:marRight w:val="0"/>
          <w:marTop w:val="0"/>
          <w:marBottom w:val="92"/>
          <w:divBdr>
            <w:top w:val="none" w:sz="0" w:space="0" w:color="auto"/>
            <w:left w:val="none" w:sz="0" w:space="0" w:color="auto"/>
            <w:bottom w:val="none" w:sz="0" w:space="0" w:color="auto"/>
            <w:right w:val="none" w:sz="0" w:space="0" w:color="auto"/>
          </w:divBdr>
        </w:div>
        <w:div w:id="1682118840">
          <w:marLeft w:val="0"/>
          <w:marRight w:val="0"/>
          <w:marTop w:val="0"/>
          <w:marBottom w:val="92"/>
          <w:divBdr>
            <w:top w:val="none" w:sz="0" w:space="0" w:color="auto"/>
            <w:left w:val="none" w:sz="0" w:space="0" w:color="auto"/>
            <w:bottom w:val="none" w:sz="0" w:space="0" w:color="auto"/>
            <w:right w:val="none" w:sz="0" w:space="0" w:color="auto"/>
          </w:divBdr>
        </w:div>
        <w:div w:id="1781022615">
          <w:marLeft w:val="0"/>
          <w:marRight w:val="0"/>
          <w:marTop w:val="0"/>
          <w:marBottom w:val="92"/>
          <w:divBdr>
            <w:top w:val="none" w:sz="0" w:space="0" w:color="auto"/>
            <w:left w:val="none" w:sz="0" w:space="0" w:color="auto"/>
            <w:bottom w:val="none" w:sz="0" w:space="0" w:color="auto"/>
            <w:right w:val="none" w:sz="0" w:space="0" w:color="auto"/>
          </w:divBdr>
        </w:div>
        <w:div w:id="233398610">
          <w:marLeft w:val="0"/>
          <w:marRight w:val="0"/>
          <w:marTop w:val="0"/>
          <w:marBottom w:val="92"/>
          <w:divBdr>
            <w:top w:val="none" w:sz="0" w:space="0" w:color="auto"/>
            <w:left w:val="none" w:sz="0" w:space="0" w:color="auto"/>
            <w:bottom w:val="none" w:sz="0" w:space="0" w:color="auto"/>
            <w:right w:val="none" w:sz="0" w:space="0" w:color="auto"/>
          </w:divBdr>
        </w:div>
        <w:div w:id="719398744">
          <w:marLeft w:val="0"/>
          <w:marRight w:val="0"/>
          <w:marTop w:val="0"/>
          <w:marBottom w:val="92"/>
          <w:divBdr>
            <w:top w:val="none" w:sz="0" w:space="0" w:color="auto"/>
            <w:left w:val="none" w:sz="0" w:space="0" w:color="auto"/>
            <w:bottom w:val="none" w:sz="0" w:space="0" w:color="auto"/>
            <w:right w:val="none" w:sz="0" w:space="0" w:color="auto"/>
          </w:divBdr>
        </w:div>
        <w:div w:id="1947734073">
          <w:marLeft w:val="0"/>
          <w:marRight w:val="0"/>
          <w:marTop w:val="0"/>
          <w:marBottom w:val="92"/>
          <w:divBdr>
            <w:top w:val="none" w:sz="0" w:space="0" w:color="auto"/>
            <w:left w:val="none" w:sz="0" w:space="0" w:color="auto"/>
            <w:bottom w:val="none" w:sz="0" w:space="0" w:color="auto"/>
            <w:right w:val="none" w:sz="0" w:space="0" w:color="auto"/>
          </w:divBdr>
        </w:div>
        <w:div w:id="1887839080">
          <w:marLeft w:val="0"/>
          <w:marRight w:val="0"/>
          <w:marTop w:val="0"/>
          <w:marBottom w:val="92"/>
          <w:divBdr>
            <w:top w:val="none" w:sz="0" w:space="0" w:color="auto"/>
            <w:left w:val="none" w:sz="0" w:space="0" w:color="auto"/>
            <w:bottom w:val="none" w:sz="0" w:space="0" w:color="auto"/>
            <w:right w:val="none" w:sz="0" w:space="0" w:color="auto"/>
          </w:divBdr>
        </w:div>
        <w:div w:id="1678802105">
          <w:marLeft w:val="0"/>
          <w:marRight w:val="0"/>
          <w:marTop w:val="0"/>
          <w:marBottom w:val="92"/>
          <w:divBdr>
            <w:top w:val="none" w:sz="0" w:space="0" w:color="auto"/>
            <w:left w:val="none" w:sz="0" w:space="0" w:color="auto"/>
            <w:bottom w:val="none" w:sz="0" w:space="0" w:color="auto"/>
            <w:right w:val="none" w:sz="0" w:space="0" w:color="auto"/>
          </w:divBdr>
        </w:div>
        <w:div w:id="1875536976">
          <w:marLeft w:val="0"/>
          <w:marRight w:val="0"/>
          <w:marTop w:val="0"/>
          <w:marBottom w:val="92"/>
          <w:divBdr>
            <w:top w:val="none" w:sz="0" w:space="0" w:color="auto"/>
            <w:left w:val="none" w:sz="0" w:space="0" w:color="auto"/>
            <w:bottom w:val="none" w:sz="0" w:space="0" w:color="auto"/>
            <w:right w:val="none" w:sz="0" w:space="0" w:color="auto"/>
          </w:divBdr>
        </w:div>
        <w:div w:id="1569921597">
          <w:marLeft w:val="0"/>
          <w:marRight w:val="0"/>
          <w:marTop w:val="0"/>
          <w:marBottom w:val="92"/>
          <w:divBdr>
            <w:top w:val="none" w:sz="0" w:space="0" w:color="auto"/>
            <w:left w:val="none" w:sz="0" w:space="0" w:color="auto"/>
            <w:bottom w:val="none" w:sz="0" w:space="0" w:color="auto"/>
            <w:right w:val="none" w:sz="0" w:space="0" w:color="auto"/>
          </w:divBdr>
        </w:div>
        <w:div w:id="759717031">
          <w:marLeft w:val="0"/>
          <w:marRight w:val="0"/>
          <w:marTop w:val="0"/>
          <w:marBottom w:val="92"/>
          <w:divBdr>
            <w:top w:val="none" w:sz="0" w:space="0" w:color="auto"/>
            <w:left w:val="none" w:sz="0" w:space="0" w:color="auto"/>
            <w:bottom w:val="none" w:sz="0" w:space="0" w:color="auto"/>
            <w:right w:val="none" w:sz="0" w:space="0" w:color="auto"/>
          </w:divBdr>
        </w:div>
        <w:div w:id="1184588425">
          <w:marLeft w:val="0"/>
          <w:marRight w:val="0"/>
          <w:marTop w:val="0"/>
          <w:marBottom w:val="92"/>
          <w:divBdr>
            <w:top w:val="none" w:sz="0" w:space="0" w:color="auto"/>
            <w:left w:val="none" w:sz="0" w:space="0" w:color="auto"/>
            <w:bottom w:val="none" w:sz="0" w:space="0" w:color="auto"/>
            <w:right w:val="none" w:sz="0" w:space="0" w:color="auto"/>
          </w:divBdr>
        </w:div>
        <w:div w:id="1086341896">
          <w:marLeft w:val="720"/>
          <w:marRight w:val="0"/>
          <w:marTop w:val="0"/>
          <w:marBottom w:val="92"/>
          <w:divBdr>
            <w:top w:val="none" w:sz="0" w:space="0" w:color="auto"/>
            <w:left w:val="none" w:sz="0" w:space="0" w:color="auto"/>
            <w:bottom w:val="none" w:sz="0" w:space="0" w:color="auto"/>
            <w:right w:val="none" w:sz="0" w:space="0" w:color="auto"/>
          </w:divBdr>
        </w:div>
        <w:div w:id="923420334">
          <w:marLeft w:val="0"/>
          <w:marRight w:val="0"/>
          <w:marTop w:val="0"/>
          <w:marBottom w:val="92"/>
          <w:divBdr>
            <w:top w:val="none" w:sz="0" w:space="0" w:color="auto"/>
            <w:left w:val="none" w:sz="0" w:space="0" w:color="auto"/>
            <w:bottom w:val="none" w:sz="0" w:space="0" w:color="auto"/>
            <w:right w:val="none" w:sz="0" w:space="0" w:color="auto"/>
          </w:divBdr>
        </w:div>
        <w:div w:id="651837062">
          <w:marLeft w:val="0"/>
          <w:marRight w:val="0"/>
          <w:marTop w:val="0"/>
          <w:marBottom w:val="92"/>
          <w:divBdr>
            <w:top w:val="none" w:sz="0" w:space="0" w:color="auto"/>
            <w:left w:val="none" w:sz="0" w:space="0" w:color="auto"/>
            <w:bottom w:val="none" w:sz="0" w:space="0" w:color="auto"/>
            <w:right w:val="none" w:sz="0" w:space="0" w:color="auto"/>
          </w:divBdr>
        </w:div>
        <w:div w:id="764686705">
          <w:marLeft w:val="0"/>
          <w:marRight w:val="0"/>
          <w:marTop w:val="0"/>
          <w:marBottom w:val="92"/>
          <w:divBdr>
            <w:top w:val="none" w:sz="0" w:space="0" w:color="auto"/>
            <w:left w:val="none" w:sz="0" w:space="0" w:color="auto"/>
            <w:bottom w:val="none" w:sz="0" w:space="0" w:color="auto"/>
            <w:right w:val="none" w:sz="0" w:space="0" w:color="auto"/>
          </w:divBdr>
        </w:div>
        <w:div w:id="1501235925">
          <w:marLeft w:val="0"/>
          <w:marRight w:val="0"/>
          <w:marTop w:val="0"/>
          <w:marBottom w:val="92"/>
          <w:divBdr>
            <w:top w:val="none" w:sz="0" w:space="0" w:color="auto"/>
            <w:left w:val="none" w:sz="0" w:space="0" w:color="auto"/>
            <w:bottom w:val="none" w:sz="0" w:space="0" w:color="auto"/>
            <w:right w:val="none" w:sz="0" w:space="0" w:color="auto"/>
          </w:divBdr>
        </w:div>
        <w:div w:id="194196887">
          <w:marLeft w:val="0"/>
          <w:marRight w:val="0"/>
          <w:marTop w:val="0"/>
          <w:marBottom w:val="92"/>
          <w:divBdr>
            <w:top w:val="none" w:sz="0" w:space="0" w:color="auto"/>
            <w:left w:val="none" w:sz="0" w:space="0" w:color="auto"/>
            <w:bottom w:val="none" w:sz="0" w:space="0" w:color="auto"/>
            <w:right w:val="none" w:sz="0" w:space="0" w:color="auto"/>
          </w:divBdr>
        </w:div>
        <w:div w:id="34477187">
          <w:marLeft w:val="0"/>
          <w:marRight w:val="0"/>
          <w:marTop w:val="0"/>
          <w:marBottom w:val="92"/>
          <w:divBdr>
            <w:top w:val="none" w:sz="0" w:space="0" w:color="auto"/>
            <w:left w:val="none" w:sz="0" w:space="0" w:color="auto"/>
            <w:bottom w:val="none" w:sz="0" w:space="0" w:color="auto"/>
            <w:right w:val="none" w:sz="0" w:space="0" w:color="auto"/>
          </w:divBdr>
        </w:div>
        <w:div w:id="1691299883">
          <w:marLeft w:val="0"/>
          <w:marRight w:val="0"/>
          <w:marTop w:val="0"/>
          <w:marBottom w:val="92"/>
          <w:divBdr>
            <w:top w:val="none" w:sz="0" w:space="0" w:color="auto"/>
            <w:left w:val="none" w:sz="0" w:space="0" w:color="auto"/>
            <w:bottom w:val="none" w:sz="0" w:space="0" w:color="auto"/>
            <w:right w:val="none" w:sz="0" w:space="0" w:color="auto"/>
          </w:divBdr>
        </w:div>
        <w:div w:id="1913733890">
          <w:marLeft w:val="0"/>
          <w:marRight w:val="0"/>
          <w:marTop w:val="0"/>
          <w:marBottom w:val="92"/>
          <w:divBdr>
            <w:top w:val="none" w:sz="0" w:space="0" w:color="auto"/>
            <w:left w:val="none" w:sz="0" w:space="0" w:color="auto"/>
            <w:bottom w:val="none" w:sz="0" w:space="0" w:color="auto"/>
            <w:right w:val="none" w:sz="0" w:space="0" w:color="auto"/>
          </w:divBdr>
        </w:div>
        <w:div w:id="1262641954">
          <w:marLeft w:val="0"/>
          <w:marRight w:val="0"/>
          <w:marTop w:val="0"/>
          <w:marBottom w:val="92"/>
          <w:divBdr>
            <w:top w:val="none" w:sz="0" w:space="0" w:color="auto"/>
            <w:left w:val="none" w:sz="0" w:space="0" w:color="auto"/>
            <w:bottom w:val="none" w:sz="0" w:space="0" w:color="auto"/>
            <w:right w:val="none" w:sz="0" w:space="0" w:color="auto"/>
          </w:divBdr>
        </w:div>
        <w:div w:id="639576372">
          <w:marLeft w:val="0"/>
          <w:marRight w:val="0"/>
          <w:marTop w:val="0"/>
          <w:marBottom w:val="92"/>
          <w:divBdr>
            <w:top w:val="none" w:sz="0" w:space="0" w:color="auto"/>
            <w:left w:val="none" w:sz="0" w:space="0" w:color="auto"/>
            <w:bottom w:val="none" w:sz="0" w:space="0" w:color="auto"/>
            <w:right w:val="none" w:sz="0" w:space="0" w:color="auto"/>
          </w:divBdr>
        </w:div>
        <w:div w:id="835073355">
          <w:marLeft w:val="0"/>
          <w:marRight w:val="0"/>
          <w:marTop w:val="0"/>
          <w:marBottom w:val="92"/>
          <w:divBdr>
            <w:top w:val="none" w:sz="0" w:space="0" w:color="auto"/>
            <w:left w:val="none" w:sz="0" w:space="0" w:color="auto"/>
            <w:bottom w:val="none" w:sz="0" w:space="0" w:color="auto"/>
            <w:right w:val="none" w:sz="0" w:space="0" w:color="auto"/>
          </w:divBdr>
        </w:div>
        <w:div w:id="232588325">
          <w:marLeft w:val="0"/>
          <w:marRight w:val="0"/>
          <w:marTop w:val="0"/>
          <w:marBottom w:val="92"/>
          <w:divBdr>
            <w:top w:val="none" w:sz="0" w:space="0" w:color="auto"/>
            <w:left w:val="none" w:sz="0" w:space="0" w:color="auto"/>
            <w:bottom w:val="none" w:sz="0" w:space="0" w:color="auto"/>
            <w:right w:val="none" w:sz="0" w:space="0" w:color="auto"/>
          </w:divBdr>
        </w:div>
        <w:div w:id="154809763">
          <w:marLeft w:val="0"/>
          <w:marRight w:val="0"/>
          <w:marTop w:val="0"/>
          <w:marBottom w:val="92"/>
          <w:divBdr>
            <w:top w:val="none" w:sz="0" w:space="0" w:color="auto"/>
            <w:left w:val="none" w:sz="0" w:space="0" w:color="auto"/>
            <w:bottom w:val="none" w:sz="0" w:space="0" w:color="auto"/>
            <w:right w:val="none" w:sz="0" w:space="0" w:color="auto"/>
          </w:divBdr>
        </w:div>
        <w:div w:id="1466778894">
          <w:marLeft w:val="0"/>
          <w:marRight w:val="0"/>
          <w:marTop w:val="0"/>
          <w:marBottom w:val="92"/>
          <w:divBdr>
            <w:top w:val="none" w:sz="0" w:space="0" w:color="auto"/>
            <w:left w:val="none" w:sz="0" w:space="0" w:color="auto"/>
            <w:bottom w:val="none" w:sz="0" w:space="0" w:color="auto"/>
            <w:right w:val="none" w:sz="0" w:space="0" w:color="auto"/>
          </w:divBdr>
        </w:div>
        <w:div w:id="868418273">
          <w:marLeft w:val="0"/>
          <w:marRight w:val="0"/>
          <w:marTop w:val="0"/>
          <w:marBottom w:val="92"/>
          <w:divBdr>
            <w:top w:val="none" w:sz="0" w:space="0" w:color="auto"/>
            <w:left w:val="none" w:sz="0" w:space="0" w:color="auto"/>
            <w:bottom w:val="none" w:sz="0" w:space="0" w:color="auto"/>
            <w:right w:val="none" w:sz="0" w:space="0" w:color="auto"/>
          </w:divBdr>
        </w:div>
        <w:div w:id="1744831685">
          <w:marLeft w:val="0"/>
          <w:marRight w:val="0"/>
          <w:marTop w:val="0"/>
          <w:marBottom w:val="92"/>
          <w:divBdr>
            <w:top w:val="none" w:sz="0" w:space="0" w:color="auto"/>
            <w:left w:val="none" w:sz="0" w:space="0" w:color="auto"/>
            <w:bottom w:val="none" w:sz="0" w:space="0" w:color="auto"/>
            <w:right w:val="none" w:sz="0" w:space="0" w:color="auto"/>
          </w:divBdr>
        </w:div>
        <w:div w:id="2023359058">
          <w:marLeft w:val="0"/>
          <w:marRight w:val="0"/>
          <w:marTop w:val="0"/>
          <w:marBottom w:val="92"/>
          <w:divBdr>
            <w:top w:val="none" w:sz="0" w:space="0" w:color="auto"/>
            <w:left w:val="none" w:sz="0" w:space="0" w:color="auto"/>
            <w:bottom w:val="none" w:sz="0" w:space="0" w:color="auto"/>
            <w:right w:val="none" w:sz="0" w:space="0" w:color="auto"/>
          </w:divBdr>
        </w:div>
        <w:div w:id="457720053">
          <w:marLeft w:val="0"/>
          <w:marRight w:val="0"/>
          <w:marTop w:val="0"/>
          <w:marBottom w:val="92"/>
          <w:divBdr>
            <w:top w:val="none" w:sz="0" w:space="0" w:color="auto"/>
            <w:left w:val="none" w:sz="0" w:space="0" w:color="auto"/>
            <w:bottom w:val="none" w:sz="0" w:space="0" w:color="auto"/>
            <w:right w:val="none" w:sz="0" w:space="0" w:color="auto"/>
          </w:divBdr>
        </w:div>
        <w:div w:id="412901177">
          <w:marLeft w:val="0"/>
          <w:marRight w:val="0"/>
          <w:marTop w:val="0"/>
          <w:marBottom w:val="92"/>
          <w:divBdr>
            <w:top w:val="none" w:sz="0" w:space="0" w:color="auto"/>
            <w:left w:val="none" w:sz="0" w:space="0" w:color="auto"/>
            <w:bottom w:val="none" w:sz="0" w:space="0" w:color="auto"/>
            <w:right w:val="none" w:sz="0" w:space="0" w:color="auto"/>
          </w:divBdr>
        </w:div>
        <w:div w:id="1044525954">
          <w:marLeft w:val="0"/>
          <w:marRight w:val="0"/>
          <w:marTop w:val="0"/>
          <w:marBottom w:val="92"/>
          <w:divBdr>
            <w:top w:val="none" w:sz="0" w:space="0" w:color="auto"/>
            <w:left w:val="none" w:sz="0" w:space="0" w:color="auto"/>
            <w:bottom w:val="none" w:sz="0" w:space="0" w:color="auto"/>
            <w:right w:val="none" w:sz="0" w:space="0" w:color="auto"/>
          </w:divBdr>
        </w:div>
        <w:div w:id="181287823">
          <w:marLeft w:val="0"/>
          <w:marRight w:val="0"/>
          <w:marTop w:val="0"/>
          <w:marBottom w:val="92"/>
          <w:divBdr>
            <w:top w:val="none" w:sz="0" w:space="0" w:color="auto"/>
            <w:left w:val="none" w:sz="0" w:space="0" w:color="auto"/>
            <w:bottom w:val="none" w:sz="0" w:space="0" w:color="auto"/>
            <w:right w:val="none" w:sz="0" w:space="0" w:color="auto"/>
          </w:divBdr>
        </w:div>
        <w:div w:id="2041978792">
          <w:marLeft w:val="0"/>
          <w:marRight w:val="0"/>
          <w:marTop w:val="0"/>
          <w:marBottom w:val="92"/>
          <w:divBdr>
            <w:top w:val="none" w:sz="0" w:space="0" w:color="auto"/>
            <w:left w:val="none" w:sz="0" w:space="0" w:color="auto"/>
            <w:bottom w:val="none" w:sz="0" w:space="0" w:color="auto"/>
            <w:right w:val="none" w:sz="0" w:space="0" w:color="auto"/>
          </w:divBdr>
        </w:div>
        <w:div w:id="2137482898">
          <w:marLeft w:val="0"/>
          <w:marRight w:val="0"/>
          <w:marTop w:val="0"/>
          <w:marBottom w:val="92"/>
          <w:divBdr>
            <w:top w:val="none" w:sz="0" w:space="0" w:color="auto"/>
            <w:left w:val="none" w:sz="0" w:space="0" w:color="auto"/>
            <w:bottom w:val="none" w:sz="0" w:space="0" w:color="auto"/>
            <w:right w:val="none" w:sz="0" w:space="0" w:color="auto"/>
          </w:divBdr>
        </w:div>
        <w:div w:id="664698715">
          <w:marLeft w:val="0"/>
          <w:marRight w:val="0"/>
          <w:marTop w:val="0"/>
          <w:marBottom w:val="92"/>
          <w:divBdr>
            <w:top w:val="none" w:sz="0" w:space="0" w:color="auto"/>
            <w:left w:val="none" w:sz="0" w:space="0" w:color="auto"/>
            <w:bottom w:val="none" w:sz="0" w:space="0" w:color="auto"/>
            <w:right w:val="none" w:sz="0" w:space="0" w:color="auto"/>
          </w:divBdr>
        </w:div>
        <w:div w:id="2130200323">
          <w:marLeft w:val="0"/>
          <w:marRight w:val="0"/>
          <w:marTop w:val="0"/>
          <w:marBottom w:val="92"/>
          <w:divBdr>
            <w:top w:val="none" w:sz="0" w:space="0" w:color="auto"/>
            <w:left w:val="none" w:sz="0" w:space="0" w:color="auto"/>
            <w:bottom w:val="none" w:sz="0" w:space="0" w:color="auto"/>
            <w:right w:val="none" w:sz="0" w:space="0" w:color="auto"/>
          </w:divBdr>
        </w:div>
        <w:div w:id="1277641406">
          <w:marLeft w:val="0"/>
          <w:marRight w:val="0"/>
          <w:marTop w:val="0"/>
          <w:marBottom w:val="92"/>
          <w:divBdr>
            <w:top w:val="none" w:sz="0" w:space="0" w:color="auto"/>
            <w:left w:val="none" w:sz="0" w:space="0" w:color="auto"/>
            <w:bottom w:val="none" w:sz="0" w:space="0" w:color="auto"/>
            <w:right w:val="none" w:sz="0" w:space="0" w:color="auto"/>
          </w:divBdr>
        </w:div>
        <w:div w:id="544488247">
          <w:marLeft w:val="0"/>
          <w:marRight w:val="0"/>
          <w:marTop w:val="0"/>
          <w:marBottom w:val="92"/>
          <w:divBdr>
            <w:top w:val="none" w:sz="0" w:space="0" w:color="auto"/>
            <w:left w:val="none" w:sz="0" w:space="0" w:color="auto"/>
            <w:bottom w:val="none" w:sz="0" w:space="0" w:color="auto"/>
            <w:right w:val="none" w:sz="0" w:space="0" w:color="auto"/>
          </w:divBdr>
        </w:div>
        <w:div w:id="1500659008">
          <w:marLeft w:val="0"/>
          <w:marRight w:val="0"/>
          <w:marTop w:val="0"/>
          <w:marBottom w:val="92"/>
          <w:divBdr>
            <w:top w:val="none" w:sz="0" w:space="0" w:color="auto"/>
            <w:left w:val="none" w:sz="0" w:space="0" w:color="auto"/>
            <w:bottom w:val="none" w:sz="0" w:space="0" w:color="auto"/>
            <w:right w:val="none" w:sz="0" w:space="0" w:color="auto"/>
          </w:divBdr>
        </w:div>
        <w:div w:id="1767191373">
          <w:marLeft w:val="0"/>
          <w:marRight w:val="0"/>
          <w:marTop w:val="0"/>
          <w:marBottom w:val="92"/>
          <w:divBdr>
            <w:top w:val="none" w:sz="0" w:space="0" w:color="auto"/>
            <w:left w:val="none" w:sz="0" w:space="0" w:color="auto"/>
            <w:bottom w:val="none" w:sz="0" w:space="0" w:color="auto"/>
            <w:right w:val="none" w:sz="0" w:space="0" w:color="auto"/>
          </w:divBdr>
        </w:div>
        <w:div w:id="2050959454">
          <w:marLeft w:val="0"/>
          <w:marRight w:val="0"/>
          <w:marTop w:val="0"/>
          <w:marBottom w:val="92"/>
          <w:divBdr>
            <w:top w:val="none" w:sz="0" w:space="0" w:color="auto"/>
            <w:left w:val="none" w:sz="0" w:space="0" w:color="auto"/>
            <w:bottom w:val="none" w:sz="0" w:space="0" w:color="auto"/>
            <w:right w:val="none" w:sz="0" w:space="0" w:color="auto"/>
          </w:divBdr>
        </w:div>
        <w:div w:id="953484637">
          <w:marLeft w:val="0"/>
          <w:marRight w:val="0"/>
          <w:marTop w:val="0"/>
          <w:marBottom w:val="92"/>
          <w:divBdr>
            <w:top w:val="none" w:sz="0" w:space="0" w:color="auto"/>
            <w:left w:val="none" w:sz="0" w:space="0" w:color="auto"/>
            <w:bottom w:val="none" w:sz="0" w:space="0" w:color="auto"/>
            <w:right w:val="none" w:sz="0" w:space="0" w:color="auto"/>
          </w:divBdr>
        </w:div>
        <w:div w:id="964654693">
          <w:marLeft w:val="0"/>
          <w:marRight w:val="0"/>
          <w:marTop w:val="0"/>
          <w:marBottom w:val="92"/>
          <w:divBdr>
            <w:top w:val="none" w:sz="0" w:space="0" w:color="auto"/>
            <w:left w:val="none" w:sz="0" w:space="0" w:color="auto"/>
            <w:bottom w:val="none" w:sz="0" w:space="0" w:color="auto"/>
            <w:right w:val="none" w:sz="0" w:space="0" w:color="auto"/>
          </w:divBdr>
        </w:div>
        <w:div w:id="612590266">
          <w:marLeft w:val="0"/>
          <w:marRight w:val="0"/>
          <w:marTop w:val="0"/>
          <w:marBottom w:val="92"/>
          <w:divBdr>
            <w:top w:val="none" w:sz="0" w:space="0" w:color="auto"/>
            <w:left w:val="none" w:sz="0" w:space="0" w:color="auto"/>
            <w:bottom w:val="none" w:sz="0" w:space="0" w:color="auto"/>
            <w:right w:val="none" w:sz="0" w:space="0" w:color="auto"/>
          </w:divBdr>
        </w:div>
        <w:div w:id="629090096">
          <w:marLeft w:val="0"/>
          <w:marRight w:val="0"/>
          <w:marTop w:val="0"/>
          <w:marBottom w:val="92"/>
          <w:divBdr>
            <w:top w:val="none" w:sz="0" w:space="0" w:color="auto"/>
            <w:left w:val="none" w:sz="0" w:space="0" w:color="auto"/>
            <w:bottom w:val="none" w:sz="0" w:space="0" w:color="auto"/>
            <w:right w:val="none" w:sz="0" w:space="0" w:color="auto"/>
          </w:divBdr>
        </w:div>
        <w:div w:id="2058233287">
          <w:marLeft w:val="0"/>
          <w:marRight w:val="0"/>
          <w:marTop w:val="0"/>
          <w:marBottom w:val="92"/>
          <w:divBdr>
            <w:top w:val="none" w:sz="0" w:space="0" w:color="auto"/>
            <w:left w:val="none" w:sz="0" w:space="0" w:color="auto"/>
            <w:bottom w:val="none" w:sz="0" w:space="0" w:color="auto"/>
            <w:right w:val="none" w:sz="0" w:space="0" w:color="auto"/>
          </w:divBdr>
        </w:div>
        <w:div w:id="1686904488">
          <w:marLeft w:val="0"/>
          <w:marRight w:val="0"/>
          <w:marTop w:val="0"/>
          <w:marBottom w:val="92"/>
          <w:divBdr>
            <w:top w:val="none" w:sz="0" w:space="0" w:color="auto"/>
            <w:left w:val="none" w:sz="0" w:space="0" w:color="auto"/>
            <w:bottom w:val="none" w:sz="0" w:space="0" w:color="auto"/>
            <w:right w:val="none" w:sz="0" w:space="0" w:color="auto"/>
          </w:divBdr>
        </w:div>
        <w:div w:id="1510634945">
          <w:marLeft w:val="0"/>
          <w:marRight w:val="0"/>
          <w:marTop w:val="0"/>
          <w:marBottom w:val="92"/>
          <w:divBdr>
            <w:top w:val="none" w:sz="0" w:space="0" w:color="auto"/>
            <w:left w:val="none" w:sz="0" w:space="0" w:color="auto"/>
            <w:bottom w:val="none" w:sz="0" w:space="0" w:color="auto"/>
            <w:right w:val="none" w:sz="0" w:space="0" w:color="auto"/>
          </w:divBdr>
        </w:div>
        <w:div w:id="504977546">
          <w:marLeft w:val="0"/>
          <w:marRight w:val="0"/>
          <w:marTop w:val="0"/>
          <w:marBottom w:val="92"/>
          <w:divBdr>
            <w:top w:val="none" w:sz="0" w:space="0" w:color="auto"/>
            <w:left w:val="none" w:sz="0" w:space="0" w:color="auto"/>
            <w:bottom w:val="none" w:sz="0" w:space="0" w:color="auto"/>
            <w:right w:val="none" w:sz="0" w:space="0" w:color="auto"/>
          </w:divBdr>
        </w:div>
        <w:div w:id="1287540655">
          <w:marLeft w:val="0"/>
          <w:marRight w:val="0"/>
          <w:marTop w:val="0"/>
          <w:marBottom w:val="101"/>
          <w:divBdr>
            <w:top w:val="none" w:sz="0" w:space="0" w:color="auto"/>
            <w:left w:val="none" w:sz="0" w:space="0" w:color="auto"/>
            <w:bottom w:val="none" w:sz="0" w:space="0" w:color="auto"/>
            <w:right w:val="none" w:sz="0" w:space="0" w:color="auto"/>
          </w:divBdr>
        </w:div>
        <w:div w:id="350303241">
          <w:marLeft w:val="0"/>
          <w:marRight w:val="0"/>
          <w:marTop w:val="0"/>
          <w:marBottom w:val="101"/>
          <w:divBdr>
            <w:top w:val="none" w:sz="0" w:space="0" w:color="auto"/>
            <w:left w:val="none" w:sz="0" w:space="0" w:color="auto"/>
            <w:bottom w:val="none" w:sz="0" w:space="0" w:color="auto"/>
            <w:right w:val="none" w:sz="0" w:space="0" w:color="auto"/>
          </w:divBdr>
        </w:div>
        <w:div w:id="1558931899">
          <w:marLeft w:val="0"/>
          <w:marRight w:val="0"/>
          <w:marTop w:val="0"/>
          <w:marBottom w:val="101"/>
          <w:divBdr>
            <w:top w:val="none" w:sz="0" w:space="0" w:color="auto"/>
            <w:left w:val="none" w:sz="0" w:space="0" w:color="auto"/>
            <w:bottom w:val="none" w:sz="0" w:space="0" w:color="auto"/>
            <w:right w:val="none" w:sz="0" w:space="0" w:color="auto"/>
          </w:divBdr>
        </w:div>
        <w:div w:id="1201673981">
          <w:marLeft w:val="0"/>
          <w:marRight w:val="0"/>
          <w:marTop w:val="0"/>
          <w:marBottom w:val="101"/>
          <w:divBdr>
            <w:top w:val="none" w:sz="0" w:space="0" w:color="auto"/>
            <w:left w:val="none" w:sz="0" w:space="0" w:color="auto"/>
            <w:bottom w:val="none" w:sz="0" w:space="0" w:color="auto"/>
            <w:right w:val="none" w:sz="0" w:space="0" w:color="auto"/>
          </w:divBdr>
        </w:div>
        <w:div w:id="2102989304">
          <w:marLeft w:val="0"/>
          <w:marRight w:val="0"/>
          <w:marTop w:val="0"/>
          <w:marBottom w:val="101"/>
          <w:divBdr>
            <w:top w:val="none" w:sz="0" w:space="0" w:color="auto"/>
            <w:left w:val="none" w:sz="0" w:space="0" w:color="auto"/>
            <w:bottom w:val="none" w:sz="0" w:space="0" w:color="auto"/>
            <w:right w:val="none" w:sz="0" w:space="0" w:color="auto"/>
          </w:divBdr>
        </w:div>
        <w:div w:id="1749114817">
          <w:marLeft w:val="0"/>
          <w:marRight w:val="0"/>
          <w:marTop w:val="0"/>
          <w:marBottom w:val="101"/>
          <w:divBdr>
            <w:top w:val="none" w:sz="0" w:space="0" w:color="auto"/>
            <w:left w:val="none" w:sz="0" w:space="0" w:color="auto"/>
            <w:bottom w:val="none" w:sz="0" w:space="0" w:color="auto"/>
            <w:right w:val="none" w:sz="0" w:space="0" w:color="auto"/>
          </w:divBdr>
        </w:div>
        <w:div w:id="166988654">
          <w:marLeft w:val="0"/>
          <w:marRight w:val="0"/>
          <w:marTop w:val="0"/>
          <w:marBottom w:val="101"/>
          <w:divBdr>
            <w:top w:val="none" w:sz="0" w:space="0" w:color="auto"/>
            <w:left w:val="none" w:sz="0" w:space="0" w:color="auto"/>
            <w:bottom w:val="none" w:sz="0" w:space="0" w:color="auto"/>
            <w:right w:val="none" w:sz="0" w:space="0" w:color="auto"/>
          </w:divBdr>
        </w:div>
        <w:div w:id="2107191516">
          <w:marLeft w:val="0"/>
          <w:marRight w:val="0"/>
          <w:marTop w:val="0"/>
          <w:marBottom w:val="101"/>
          <w:divBdr>
            <w:top w:val="none" w:sz="0" w:space="0" w:color="auto"/>
            <w:left w:val="none" w:sz="0" w:space="0" w:color="auto"/>
            <w:bottom w:val="none" w:sz="0" w:space="0" w:color="auto"/>
            <w:right w:val="none" w:sz="0" w:space="0" w:color="auto"/>
          </w:divBdr>
        </w:div>
        <w:div w:id="2029328689">
          <w:marLeft w:val="0"/>
          <w:marRight w:val="0"/>
          <w:marTop w:val="0"/>
          <w:marBottom w:val="101"/>
          <w:divBdr>
            <w:top w:val="none" w:sz="0" w:space="0" w:color="auto"/>
            <w:left w:val="none" w:sz="0" w:space="0" w:color="auto"/>
            <w:bottom w:val="none" w:sz="0" w:space="0" w:color="auto"/>
            <w:right w:val="none" w:sz="0" w:space="0" w:color="auto"/>
          </w:divBdr>
        </w:div>
        <w:div w:id="95758478">
          <w:marLeft w:val="0"/>
          <w:marRight w:val="0"/>
          <w:marTop w:val="0"/>
          <w:marBottom w:val="101"/>
          <w:divBdr>
            <w:top w:val="none" w:sz="0" w:space="0" w:color="auto"/>
            <w:left w:val="none" w:sz="0" w:space="0" w:color="auto"/>
            <w:bottom w:val="none" w:sz="0" w:space="0" w:color="auto"/>
            <w:right w:val="none" w:sz="0" w:space="0" w:color="auto"/>
          </w:divBdr>
        </w:div>
        <w:div w:id="1396976359">
          <w:marLeft w:val="0"/>
          <w:marRight w:val="0"/>
          <w:marTop w:val="0"/>
          <w:marBottom w:val="101"/>
          <w:divBdr>
            <w:top w:val="none" w:sz="0" w:space="0" w:color="auto"/>
            <w:left w:val="none" w:sz="0" w:space="0" w:color="auto"/>
            <w:bottom w:val="none" w:sz="0" w:space="0" w:color="auto"/>
            <w:right w:val="none" w:sz="0" w:space="0" w:color="auto"/>
          </w:divBdr>
        </w:div>
        <w:div w:id="2041584065">
          <w:marLeft w:val="0"/>
          <w:marRight w:val="0"/>
          <w:marTop w:val="0"/>
          <w:marBottom w:val="101"/>
          <w:divBdr>
            <w:top w:val="none" w:sz="0" w:space="0" w:color="auto"/>
            <w:left w:val="none" w:sz="0" w:space="0" w:color="auto"/>
            <w:bottom w:val="none" w:sz="0" w:space="0" w:color="auto"/>
            <w:right w:val="none" w:sz="0" w:space="0" w:color="auto"/>
          </w:divBdr>
        </w:div>
        <w:div w:id="1936088258">
          <w:marLeft w:val="0"/>
          <w:marRight w:val="0"/>
          <w:marTop w:val="0"/>
          <w:marBottom w:val="101"/>
          <w:divBdr>
            <w:top w:val="none" w:sz="0" w:space="0" w:color="auto"/>
            <w:left w:val="none" w:sz="0" w:space="0" w:color="auto"/>
            <w:bottom w:val="none" w:sz="0" w:space="0" w:color="auto"/>
            <w:right w:val="none" w:sz="0" w:space="0" w:color="auto"/>
          </w:divBdr>
        </w:div>
        <w:div w:id="530267471">
          <w:marLeft w:val="0"/>
          <w:marRight w:val="0"/>
          <w:marTop w:val="0"/>
          <w:marBottom w:val="101"/>
          <w:divBdr>
            <w:top w:val="none" w:sz="0" w:space="0" w:color="auto"/>
            <w:left w:val="none" w:sz="0" w:space="0" w:color="auto"/>
            <w:bottom w:val="none" w:sz="0" w:space="0" w:color="auto"/>
            <w:right w:val="none" w:sz="0" w:space="0" w:color="auto"/>
          </w:divBdr>
        </w:div>
        <w:div w:id="160321727">
          <w:marLeft w:val="0"/>
          <w:marRight w:val="0"/>
          <w:marTop w:val="0"/>
          <w:marBottom w:val="101"/>
          <w:divBdr>
            <w:top w:val="none" w:sz="0" w:space="0" w:color="auto"/>
            <w:left w:val="none" w:sz="0" w:space="0" w:color="auto"/>
            <w:bottom w:val="none" w:sz="0" w:space="0" w:color="auto"/>
            <w:right w:val="none" w:sz="0" w:space="0" w:color="auto"/>
          </w:divBdr>
        </w:div>
        <w:div w:id="1631545611">
          <w:marLeft w:val="0"/>
          <w:marRight w:val="0"/>
          <w:marTop w:val="0"/>
          <w:marBottom w:val="101"/>
          <w:divBdr>
            <w:top w:val="none" w:sz="0" w:space="0" w:color="auto"/>
            <w:left w:val="none" w:sz="0" w:space="0" w:color="auto"/>
            <w:bottom w:val="none" w:sz="0" w:space="0" w:color="auto"/>
            <w:right w:val="none" w:sz="0" w:space="0" w:color="auto"/>
          </w:divBdr>
        </w:div>
        <w:div w:id="1603760550">
          <w:marLeft w:val="0"/>
          <w:marRight w:val="0"/>
          <w:marTop w:val="0"/>
          <w:marBottom w:val="101"/>
          <w:divBdr>
            <w:top w:val="none" w:sz="0" w:space="0" w:color="auto"/>
            <w:left w:val="none" w:sz="0" w:space="0" w:color="auto"/>
            <w:bottom w:val="none" w:sz="0" w:space="0" w:color="auto"/>
            <w:right w:val="none" w:sz="0" w:space="0" w:color="auto"/>
          </w:divBdr>
        </w:div>
        <w:div w:id="75977460">
          <w:marLeft w:val="0"/>
          <w:marRight w:val="0"/>
          <w:marTop w:val="0"/>
          <w:marBottom w:val="101"/>
          <w:divBdr>
            <w:top w:val="none" w:sz="0" w:space="0" w:color="auto"/>
            <w:left w:val="none" w:sz="0" w:space="0" w:color="auto"/>
            <w:bottom w:val="none" w:sz="0" w:space="0" w:color="auto"/>
            <w:right w:val="none" w:sz="0" w:space="0" w:color="auto"/>
          </w:divBdr>
        </w:div>
        <w:div w:id="1935891172">
          <w:marLeft w:val="0"/>
          <w:marRight w:val="0"/>
          <w:marTop w:val="0"/>
          <w:marBottom w:val="101"/>
          <w:divBdr>
            <w:top w:val="none" w:sz="0" w:space="0" w:color="auto"/>
            <w:left w:val="none" w:sz="0" w:space="0" w:color="auto"/>
            <w:bottom w:val="none" w:sz="0" w:space="0" w:color="auto"/>
            <w:right w:val="none" w:sz="0" w:space="0" w:color="auto"/>
          </w:divBdr>
        </w:div>
        <w:div w:id="1200701104">
          <w:marLeft w:val="0"/>
          <w:marRight w:val="0"/>
          <w:marTop w:val="0"/>
          <w:marBottom w:val="101"/>
          <w:divBdr>
            <w:top w:val="none" w:sz="0" w:space="0" w:color="auto"/>
            <w:left w:val="none" w:sz="0" w:space="0" w:color="auto"/>
            <w:bottom w:val="none" w:sz="0" w:space="0" w:color="auto"/>
            <w:right w:val="none" w:sz="0" w:space="0" w:color="auto"/>
          </w:divBdr>
        </w:div>
        <w:div w:id="11494073">
          <w:marLeft w:val="720"/>
          <w:marRight w:val="0"/>
          <w:marTop w:val="0"/>
          <w:marBottom w:val="101"/>
          <w:divBdr>
            <w:top w:val="none" w:sz="0" w:space="0" w:color="auto"/>
            <w:left w:val="none" w:sz="0" w:space="0" w:color="auto"/>
            <w:bottom w:val="none" w:sz="0" w:space="0" w:color="auto"/>
            <w:right w:val="none" w:sz="0" w:space="0" w:color="auto"/>
          </w:divBdr>
        </w:div>
        <w:div w:id="1757246416">
          <w:marLeft w:val="0"/>
          <w:marRight w:val="0"/>
          <w:marTop w:val="0"/>
          <w:marBottom w:val="101"/>
          <w:divBdr>
            <w:top w:val="none" w:sz="0" w:space="0" w:color="auto"/>
            <w:left w:val="none" w:sz="0" w:space="0" w:color="auto"/>
            <w:bottom w:val="none" w:sz="0" w:space="0" w:color="auto"/>
            <w:right w:val="none" w:sz="0" w:space="0" w:color="auto"/>
          </w:divBdr>
        </w:div>
        <w:div w:id="675619331">
          <w:marLeft w:val="720"/>
          <w:marRight w:val="0"/>
          <w:marTop w:val="0"/>
          <w:marBottom w:val="101"/>
          <w:divBdr>
            <w:top w:val="none" w:sz="0" w:space="0" w:color="auto"/>
            <w:left w:val="none" w:sz="0" w:space="0" w:color="auto"/>
            <w:bottom w:val="none" w:sz="0" w:space="0" w:color="auto"/>
            <w:right w:val="none" w:sz="0" w:space="0" w:color="auto"/>
          </w:divBdr>
        </w:div>
        <w:div w:id="1587229451">
          <w:marLeft w:val="0"/>
          <w:marRight w:val="0"/>
          <w:marTop w:val="0"/>
          <w:marBottom w:val="101"/>
          <w:divBdr>
            <w:top w:val="none" w:sz="0" w:space="0" w:color="auto"/>
            <w:left w:val="none" w:sz="0" w:space="0" w:color="auto"/>
            <w:bottom w:val="none" w:sz="0" w:space="0" w:color="auto"/>
            <w:right w:val="none" w:sz="0" w:space="0" w:color="auto"/>
          </w:divBdr>
        </w:div>
        <w:div w:id="1136072668">
          <w:marLeft w:val="0"/>
          <w:marRight w:val="0"/>
          <w:marTop w:val="0"/>
          <w:marBottom w:val="101"/>
          <w:divBdr>
            <w:top w:val="none" w:sz="0" w:space="0" w:color="auto"/>
            <w:left w:val="none" w:sz="0" w:space="0" w:color="auto"/>
            <w:bottom w:val="none" w:sz="0" w:space="0" w:color="auto"/>
            <w:right w:val="none" w:sz="0" w:space="0" w:color="auto"/>
          </w:divBdr>
        </w:div>
        <w:div w:id="1547331150">
          <w:marLeft w:val="0"/>
          <w:marRight w:val="0"/>
          <w:marTop w:val="0"/>
          <w:marBottom w:val="101"/>
          <w:divBdr>
            <w:top w:val="none" w:sz="0" w:space="0" w:color="auto"/>
            <w:left w:val="none" w:sz="0" w:space="0" w:color="auto"/>
            <w:bottom w:val="none" w:sz="0" w:space="0" w:color="auto"/>
            <w:right w:val="none" w:sz="0" w:space="0" w:color="auto"/>
          </w:divBdr>
        </w:div>
        <w:div w:id="1407452796">
          <w:marLeft w:val="0"/>
          <w:marRight w:val="0"/>
          <w:marTop w:val="0"/>
          <w:marBottom w:val="101"/>
          <w:divBdr>
            <w:top w:val="none" w:sz="0" w:space="0" w:color="auto"/>
            <w:left w:val="none" w:sz="0" w:space="0" w:color="auto"/>
            <w:bottom w:val="none" w:sz="0" w:space="0" w:color="auto"/>
            <w:right w:val="none" w:sz="0" w:space="0" w:color="auto"/>
          </w:divBdr>
        </w:div>
        <w:div w:id="1457214074">
          <w:marLeft w:val="0"/>
          <w:marRight w:val="0"/>
          <w:marTop w:val="0"/>
          <w:marBottom w:val="101"/>
          <w:divBdr>
            <w:top w:val="none" w:sz="0" w:space="0" w:color="auto"/>
            <w:left w:val="none" w:sz="0" w:space="0" w:color="auto"/>
            <w:bottom w:val="none" w:sz="0" w:space="0" w:color="auto"/>
            <w:right w:val="none" w:sz="0" w:space="0" w:color="auto"/>
          </w:divBdr>
        </w:div>
        <w:div w:id="1044020268">
          <w:marLeft w:val="0"/>
          <w:marRight w:val="0"/>
          <w:marTop w:val="0"/>
          <w:marBottom w:val="101"/>
          <w:divBdr>
            <w:top w:val="none" w:sz="0" w:space="0" w:color="auto"/>
            <w:left w:val="none" w:sz="0" w:space="0" w:color="auto"/>
            <w:bottom w:val="none" w:sz="0" w:space="0" w:color="auto"/>
            <w:right w:val="none" w:sz="0" w:space="0" w:color="auto"/>
          </w:divBdr>
        </w:div>
        <w:div w:id="1331789594">
          <w:marLeft w:val="0"/>
          <w:marRight w:val="0"/>
          <w:marTop w:val="0"/>
          <w:marBottom w:val="101"/>
          <w:divBdr>
            <w:top w:val="none" w:sz="0" w:space="0" w:color="auto"/>
            <w:left w:val="none" w:sz="0" w:space="0" w:color="auto"/>
            <w:bottom w:val="none" w:sz="0" w:space="0" w:color="auto"/>
            <w:right w:val="none" w:sz="0" w:space="0" w:color="auto"/>
          </w:divBdr>
        </w:div>
        <w:div w:id="841892117">
          <w:marLeft w:val="0"/>
          <w:marRight w:val="0"/>
          <w:marTop w:val="0"/>
          <w:marBottom w:val="101"/>
          <w:divBdr>
            <w:top w:val="none" w:sz="0" w:space="0" w:color="auto"/>
            <w:left w:val="none" w:sz="0" w:space="0" w:color="auto"/>
            <w:bottom w:val="none" w:sz="0" w:space="0" w:color="auto"/>
            <w:right w:val="none" w:sz="0" w:space="0" w:color="auto"/>
          </w:divBdr>
        </w:div>
        <w:div w:id="1682857377">
          <w:marLeft w:val="0"/>
          <w:marRight w:val="0"/>
          <w:marTop w:val="0"/>
          <w:marBottom w:val="101"/>
          <w:divBdr>
            <w:top w:val="none" w:sz="0" w:space="0" w:color="auto"/>
            <w:left w:val="none" w:sz="0" w:space="0" w:color="auto"/>
            <w:bottom w:val="none" w:sz="0" w:space="0" w:color="auto"/>
            <w:right w:val="none" w:sz="0" w:space="0" w:color="auto"/>
          </w:divBdr>
        </w:div>
        <w:div w:id="494107631">
          <w:marLeft w:val="0"/>
          <w:marRight w:val="0"/>
          <w:marTop w:val="0"/>
          <w:marBottom w:val="101"/>
          <w:divBdr>
            <w:top w:val="none" w:sz="0" w:space="0" w:color="auto"/>
            <w:left w:val="none" w:sz="0" w:space="0" w:color="auto"/>
            <w:bottom w:val="none" w:sz="0" w:space="0" w:color="auto"/>
            <w:right w:val="none" w:sz="0" w:space="0" w:color="auto"/>
          </w:divBdr>
        </w:div>
        <w:div w:id="805588908">
          <w:marLeft w:val="0"/>
          <w:marRight w:val="0"/>
          <w:marTop w:val="0"/>
          <w:marBottom w:val="101"/>
          <w:divBdr>
            <w:top w:val="none" w:sz="0" w:space="0" w:color="auto"/>
            <w:left w:val="none" w:sz="0" w:space="0" w:color="auto"/>
            <w:bottom w:val="none" w:sz="0" w:space="0" w:color="auto"/>
            <w:right w:val="none" w:sz="0" w:space="0" w:color="auto"/>
          </w:divBdr>
        </w:div>
        <w:div w:id="479423553">
          <w:marLeft w:val="0"/>
          <w:marRight w:val="0"/>
          <w:marTop w:val="0"/>
          <w:marBottom w:val="101"/>
          <w:divBdr>
            <w:top w:val="none" w:sz="0" w:space="0" w:color="auto"/>
            <w:left w:val="none" w:sz="0" w:space="0" w:color="auto"/>
            <w:bottom w:val="none" w:sz="0" w:space="0" w:color="auto"/>
            <w:right w:val="none" w:sz="0" w:space="0" w:color="auto"/>
          </w:divBdr>
        </w:div>
        <w:div w:id="1825394724">
          <w:marLeft w:val="0"/>
          <w:marRight w:val="0"/>
          <w:marTop w:val="0"/>
          <w:marBottom w:val="101"/>
          <w:divBdr>
            <w:top w:val="none" w:sz="0" w:space="0" w:color="auto"/>
            <w:left w:val="none" w:sz="0" w:space="0" w:color="auto"/>
            <w:bottom w:val="none" w:sz="0" w:space="0" w:color="auto"/>
            <w:right w:val="none" w:sz="0" w:space="0" w:color="auto"/>
          </w:divBdr>
        </w:div>
        <w:div w:id="434054413">
          <w:marLeft w:val="0"/>
          <w:marRight w:val="0"/>
          <w:marTop w:val="0"/>
          <w:marBottom w:val="101"/>
          <w:divBdr>
            <w:top w:val="none" w:sz="0" w:space="0" w:color="auto"/>
            <w:left w:val="none" w:sz="0" w:space="0" w:color="auto"/>
            <w:bottom w:val="none" w:sz="0" w:space="0" w:color="auto"/>
            <w:right w:val="none" w:sz="0" w:space="0" w:color="auto"/>
          </w:divBdr>
        </w:div>
        <w:div w:id="1825125991">
          <w:marLeft w:val="0"/>
          <w:marRight w:val="0"/>
          <w:marTop w:val="0"/>
          <w:marBottom w:val="101"/>
          <w:divBdr>
            <w:top w:val="none" w:sz="0" w:space="0" w:color="auto"/>
            <w:left w:val="none" w:sz="0" w:space="0" w:color="auto"/>
            <w:bottom w:val="none" w:sz="0" w:space="0" w:color="auto"/>
            <w:right w:val="none" w:sz="0" w:space="0" w:color="auto"/>
          </w:divBdr>
        </w:div>
        <w:div w:id="471026495">
          <w:marLeft w:val="0"/>
          <w:marRight w:val="0"/>
          <w:marTop w:val="0"/>
          <w:marBottom w:val="101"/>
          <w:divBdr>
            <w:top w:val="none" w:sz="0" w:space="0" w:color="auto"/>
            <w:left w:val="none" w:sz="0" w:space="0" w:color="auto"/>
            <w:bottom w:val="none" w:sz="0" w:space="0" w:color="auto"/>
            <w:right w:val="none" w:sz="0" w:space="0" w:color="auto"/>
          </w:divBdr>
        </w:div>
        <w:div w:id="1095172330">
          <w:marLeft w:val="0"/>
          <w:marRight w:val="0"/>
          <w:marTop w:val="0"/>
          <w:marBottom w:val="101"/>
          <w:divBdr>
            <w:top w:val="none" w:sz="0" w:space="0" w:color="auto"/>
            <w:left w:val="none" w:sz="0" w:space="0" w:color="auto"/>
            <w:bottom w:val="none" w:sz="0" w:space="0" w:color="auto"/>
            <w:right w:val="none" w:sz="0" w:space="0" w:color="auto"/>
          </w:divBdr>
        </w:div>
        <w:div w:id="469827880">
          <w:marLeft w:val="0"/>
          <w:marRight w:val="0"/>
          <w:marTop w:val="0"/>
          <w:marBottom w:val="101"/>
          <w:divBdr>
            <w:top w:val="none" w:sz="0" w:space="0" w:color="auto"/>
            <w:left w:val="none" w:sz="0" w:space="0" w:color="auto"/>
            <w:bottom w:val="none" w:sz="0" w:space="0" w:color="auto"/>
            <w:right w:val="none" w:sz="0" w:space="0" w:color="auto"/>
          </w:divBdr>
        </w:div>
        <w:div w:id="1709791078">
          <w:marLeft w:val="0"/>
          <w:marRight w:val="0"/>
          <w:marTop w:val="0"/>
          <w:marBottom w:val="101"/>
          <w:divBdr>
            <w:top w:val="none" w:sz="0" w:space="0" w:color="auto"/>
            <w:left w:val="none" w:sz="0" w:space="0" w:color="auto"/>
            <w:bottom w:val="none" w:sz="0" w:space="0" w:color="auto"/>
            <w:right w:val="none" w:sz="0" w:space="0" w:color="auto"/>
          </w:divBdr>
        </w:div>
        <w:div w:id="637030083">
          <w:marLeft w:val="0"/>
          <w:marRight w:val="0"/>
          <w:marTop w:val="0"/>
          <w:marBottom w:val="101"/>
          <w:divBdr>
            <w:top w:val="none" w:sz="0" w:space="0" w:color="auto"/>
            <w:left w:val="none" w:sz="0" w:space="0" w:color="auto"/>
            <w:bottom w:val="none" w:sz="0" w:space="0" w:color="auto"/>
            <w:right w:val="none" w:sz="0" w:space="0" w:color="auto"/>
          </w:divBdr>
        </w:div>
        <w:div w:id="733895583">
          <w:marLeft w:val="720"/>
          <w:marRight w:val="0"/>
          <w:marTop w:val="0"/>
          <w:marBottom w:val="101"/>
          <w:divBdr>
            <w:top w:val="none" w:sz="0" w:space="0" w:color="auto"/>
            <w:left w:val="none" w:sz="0" w:space="0" w:color="auto"/>
            <w:bottom w:val="none" w:sz="0" w:space="0" w:color="auto"/>
            <w:right w:val="none" w:sz="0" w:space="0" w:color="auto"/>
          </w:divBdr>
        </w:div>
        <w:div w:id="2137673459">
          <w:marLeft w:val="0"/>
          <w:marRight w:val="0"/>
          <w:marTop w:val="0"/>
          <w:marBottom w:val="101"/>
          <w:divBdr>
            <w:top w:val="none" w:sz="0" w:space="0" w:color="auto"/>
            <w:left w:val="none" w:sz="0" w:space="0" w:color="auto"/>
            <w:bottom w:val="none" w:sz="0" w:space="0" w:color="auto"/>
            <w:right w:val="none" w:sz="0" w:space="0" w:color="auto"/>
          </w:divBdr>
        </w:div>
        <w:div w:id="1527477427">
          <w:marLeft w:val="0"/>
          <w:marRight w:val="0"/>
          <w:marTop w:val="0"/>
          <w:marBottom w:val="101"/>
          <w:divBdr>
            <w:top w:val="none" w:sz="0" w:space="0" w:color="auto"/>
            <w:left w:val="none" w:sz="0" w:space="0" w:color="auto"/>
            <w:bottom w:val="none" w:sz="0" w:space="0" w:color="auto"/>
            <w:right w:val="none" w:sz="0" w:space="0" w:color="auto"/>
          </w:divBdr>
        </w:div>
        <w:div w:id="761145041">
          <w:marLeft w:val="0"/>
          <w:marRight w:val="0"/>
          <w:marTop w:val="0"/>
          <w:marBottom w:val="101"/>
          <w:divBdr>
            <w:top w:val="none" w:sz="0" w:space="0" w:color="auto"/>
            <w:left w:val="none" w:sz="0" w:space="0" w:color="auto"/>
            <w:bottom w:val="none" w:sz="0" w:space="0" w:color="auto"/>
            <w:right w:val="none" w:sz="0" w:space="0" w:color="auto"/>
          </w:divBdr>
        </w:div>
        <w:div w:id="1003821365">
          <w:marLeft w:val="0"/>
          <w:marRight w:val="0"/>
          <w:marTop w:val="0"/>
          <w:marBottom w:val="101"/>
          <w:divBdr>
            <w:top w:val="none" w:sz="0" w:space="0" w:color="auto"/>
            <w:left w:val="none" w:sz="0" w:space="0" w:color="auto"/>
            <w:bottom w:val="none" w:sz="0" w:space="0" w:color="auto"/>
            <w:right w:val="none" w:sz="0" w:space="0" w:color="auto"/>
          </w:divBdr>
        </w:div>
        <w:div w:id="324015662">
          <w:marLeft w:val="0"/>
          <w:marRight w:val="0"/>
          <w:marTop w:val="0"/>
          <w:marBottom w:val="101"/>
          <w:divBdr>
            <w:top w:val="none" w:sz="0" w:space="0" w:color="auto"/>
            <w:left w:val="none" w:sz="0" w:space="0" w:color="auto"/>
            <w:bottom w:val="none" w:sz="0" w:space="0" w:color="auto"/>
            <w:right w:val="none" w:sz="0" w:space="0" w:color="auto"/>
          </w:divBdr>
        </w:div>
        <w:div w:id="1765834480">
          <w:marLeft w:val="0"/>
          <w:marRight w:val="0"/>
          <w:marTop w:val="0"/>
          <w:marBottom w:val="101"/>
          <w:divBdr>
            <w:top w:val="none" w:sz="0" w:space="0" w:color="auto"/>
            <w:left w:val="none" w:sz="0" w:space="0" w:color="auto"/>
            <w:bottom w:val="none" w:sz="0" w:space="0" w:color="auto"/>
            <w:right w:val="none" w:sz="0" w:space="0" w:color="auto"/>
          </w:divBdr>
        </w:div>
        <w:div w:id="1580746920">
          <w:marLeft w:val="0"/>
          <w:marRight w:val="0"/>
          <w:marTop w:val="0"/>
          <w:marBottom w:val="101"/>
          <w:divBdr>
            <w:top w:val="none" w:sz="0" w:space="0" w:color="auto"/>
            <w:left w:val="none" w:sz="0" w:space="0" w:color="auto"/>
            <w:bottom w:val="none" w:sz="0" w:space="0" w:color="auto"/>
            <w:right w:val="none" w:sz="0" w:space="0" w:color="auto"/>
          </w:divBdr>
        </w:div>
        <w:div w:id="2139447419">
          <w:marLeft w:val="0"/>
          <w:marRight w:val="0"/>
          <w:marTop w:val="0"/>
          <w:marBottom w:val="101"/>
          <w:divBdr>
            <w:top w:val="none" w:sz="0" w:space="0" w:color="auto"/>
            <w:left w:val="none" w:sz="0" w:space="0" w:color="auto"/>
            <w:bottom w:val="none" w:sz="0" w:space="0" w:color="auto"/>
            <w:right w:val="none" w:sz="0" w:space="0" w:color="auto"/>
          </w:divBdr>
        </w:div>
        <w:div w:id="1619293155">
          <w:marLeft w:val="0"/>
          <w:marRight w:val="0"/>
          <w:marTop w:val="0"/>
          <w:marBottom w:val="101"/>
          <w:divBdr>
            <w:top w:val="none" w:sz="0" w:space="0" w:color="auto"/>
            <w:left w:val="none" w:sz="0" w:space="0" w:color="auto"/>
            <w:bottom w:val="none" w:sz="0" w:space="0" w:color="auto"/>
            <w:right w:val="none" w:sz="0" w:space="0" w:color="auto"/>
          </w:divBdr>
        </w:div>
        <w:div w:id="1727950215">
          <w:marLeft w:val="0"/>
          <w:marRight w:val="0"/>
          <w:marTop w:val="0"/>
          <w:marBottom w:val="101"/>
          <w:divBdr>
            <w:top w:val="none" w:sz="0" w:space="0" w:color="auto"/>
            <w:left w:val="none" w:sz="0" w:space="0" w:color="auto"/>
            <w:bottom w:val="none" w:sz="0" w:space="0" w:color="auto"/>
            <w:right w:val="none" w:sz="0" w:space="0" w:color="auto"/>
          </w:divBdr>
        </w:div>
        <w:div w:id="162359384">
          <w:marLeft w:val="0"/>
          <w:marRight w:val="0"/>
          <w:marTop w:val="0"/>
          <w:marBottom w:val="101"/>
          <w:divBdr>
            <w:top w:val="none" w:sz="0" w:space="0" w:color="auto"/>
            <w:left w:val="none" w:sz="0" w:space="0" w:color="auto"/>
            <w:bottom w:val="none" w:sz="0" w:space="0" w:color="auto"/>
            <w:right w:val="none" w:sz="0" w:space="0" w:color="auto"/>
          </w:divBdr>
        </w:div>
        <w:div w:id="386996421">
          <w:marLeft w:val="0"/>
          <w:marRight w:val="0"/>
          <w:marTop w:val="0"/>
          <w:marBottom w:val="101"/>
          <w:divBdr>
            <w:top w:val="none" w:sz="0" w:space="0" w:color="auto"/>
            <w:left w:val="none" w:sz="0" w:space="0" w:color="auto"/>
            <w:bottom w:val="none" w:sz="0" w:space="0" w:color="auto"/>
            <w:right w:val="none" w:sz="0" w:space="0" w:color="auto"/>
          </w:divBdr>
        </w:div>
        <w:div w:id="1546216675">
          <w:marLeft w:val="0"/>
          <w:marRight w:val="0"/>
          <w:marTop w:val="0"/>
          <w:marBottom w:val="101"/>
          <w:divBdr>
            <w:top w:val="none" w:sz="0" w:space="0" w:color="auto"/>
            <w:left w:val="none" w:sz="0" w:space="0" w:color="auto"/>
            <w:bottom w:val="none" w:sz="0" w:space="0" w:color="auto"/>
            <w:right w:val="none" w:sz="0" w:space="0" w:color="auto"/>
          </w:divBdr>
        </w:div>
        <w:div w:id="1904678807">
          <w:marLeft w:val="0"/>
          <w:marRight w:val="0"/>
          <w:marTop w:val="0"/>
          <w:marBottom w:val="101"/>
          <w:divBdr>
            <w:top w:val="none" w:sz="0" w:space="0" w:color="auto"/>
            <w:left w:val="none" w:sz="0" w:space="0" w:color="auto"/>
            <w:bottom w:val="none" w:sz="0" w:space="0" w:color="auto"/>
            <w:right w:val="none" w:sz="0" w:space="0" w:color="auto"/>
          </w:divBdr>
        </w:div>
        <w:div w:id="324861975">
          <w:marLeft w:val="0"/>
          <w:marRight w:val="0"/>
          <w:marTop w:val="0"/>
          <w:marBottom w:val="101"/>
          <w:divBdr>
            <w:top w:val="none" w:sz="0" w:space="0" w:color="auto"/>
            <w:left w:val="none" w:sz="0" w:space="0" w:color="auto"/>
            <w:bottom w:val="none" w:sz="0" w:space="0" w:color="auto"/>
            <w:right w:val="none" w:sz="0" w:space="0" w:color="auto"/>
          </w:divBdr>
        </w:div>
        <w:div w:id="1857111519">
          <w:marLeft w:val="0"/>
          <w:marRight w:val="0"/>
          <w:marTop w:val="0"/>
          <w:marBottom w:val="101"/>
          <w:divBdr>
            <w:top w:val="none" w:sz="0" w:space="0" w:color="auto"/>
            <w:left w:val="none" w:sz="0" w:space="0" w:color="auto"/>
            <w:bottom w:val="none" w:sz="0" w:space="0" w:color="auto"/>
            <w:right w:val="none" w:sz="0" w:space="0" w:color="auto"/>
          </w:divBdr>
        </w:div>
        <w:div w:id="722218322">
          <w:marLeft w:val="0"/>
          <w:marRight w:val="0"/>
          <w:marTop w:val="0"/>
          <w:marBottom w:val="101"/>
          <w:divBdr>
            <w:top w:val="none" w:sz="0" w:space="0" w:color="auto"/>
            <w:left w:val="none" w:sz="0" w:space="0" w:color="auto"/>
            <w:bottom w:val="none" w:sz="0" w:space="0" w:color="auto"/>
            <w:right w:val="none" w:sz="0" w:space="0" w:color="auto"/>
          </w:divBdr>
        </w:div>
        <w:div w:id="986129709">
          <w:marLeft w:val="0"/>
          <w:marRight w:val="0"/>
          <w:marTop w:val="0"/>
          <w:marBottom w:val="101"/>
          <w:divBdr>
            <w:top w:val="none" w:sz="0" w:space="0" w:color="auto"/>
            <w:left w:val="none" w:sz="0" w:space="0" w:color="auto"/>
            <w:bottom w:val="none" w:sz="0" w:space="0" w:color="auto"/>
            <w:right w:val="none" w:sz="0" w:space="0" w:color="auto"/>
          </w:divBdr>
        </w:div>
        <w:div w:id="1306811951">
          <w:marLeft w:val="0"/>
          <w:marRight w:val="0"/>
          <w:marTop w:val="0"/>
          <w:marBottom w:val="101"/>
          <w:divBdr>
            <w:top w:val="none" w:sz="0" w:space="0" w:color="auto"/>
            <w:left w:val="none" w:sz="0" w:space="0" w:color="auto"/>
            <w:bottom w:val="none" w:sz="0" w:space="0" w:color="auto"/>
            <w:right w:val="none" w:sz="0" w:space="0" w:color="auto"/>
          </w:divBdr>
        </w:div>
        <w:div w:id="1222209172">
          <w:marLeft w:val="0"/>
          <w:marRight w:val="0"/>
          <w:marTop w:val="0"/>
          <w:marBottom w:val="101"/>
          <w:divBdr>
            <w:top w:val="none" w:sz="0" w:space="0" w:color="auto"/>
            <w:left w:val="none" w:sz="0" w:space="0" w:color="auto"/>
            <w:bottom w:val="none" w:sz="0" w:space="0" w:color="auto"/>
            <w:right w:val="none" w:sz="0" w:space="0" w:color="auto"/>
          </w:divBdr>
        </w:div>
        <w:div w:id="1364017132">
          <w:marLeft w:val="0"/>
          <w:marRight w:val="0"/>
          <w:marTop w:val="0"/>
          <w:marBottom w:val="101"/>
          <w:divBdr>
            <w:top w:val="none" w:sz="0" w:space="0" w:color="auto"/>
            <w:left w:val="none" w:sz="0" w:space="0" w:color="auto"/>
            <w:bottom w:val="none" w:sz="0" w:space="0" w:color="auto"/>
            <w:right w:val="none" w:sz="0" w:space="0" w:color="auto"/>
          </w:divBdr>
        </w:div>
        <w:div w:id="1789737412">
          <w:marLeft w:val="0"/>
          <w:marRight w:val="0"/>
          <w:marTop w:val="0"/>
          <w:marBottom w:val="101"/>
          <w:divBdr>
            <w:top w:val="none" w:sz="0" w:space="0" w:color="auto"/>
            <w:left w:val="none" w:sz="0" w:space="0" w:color="auto"/>
            <w:bottom w:val="none" w:sz="0" w:space="0" w:color="auto"/>
            <w:right w:val="none" w:sz="0" w:space="0" w:color="auto"/>
          </w:divBdr>
        </w:div>
        <w:div w:id="1011644390">
          <w:marLeft w:val="0"/>
          <w:marRight w:val="0"/>
          <w:marTop w:val="0"/>
          <w:marBottom w:val="101"/>
          <w:divBdr>
            <w:top w:val="none" w:sz="0" w:space="0" w:color="auto"/>
            <w:left w:val="none" w:sz="0" w:space="0" w:color="auto"/>
            <w:bottom w:val="none" w:sz="0" w:space="0" w:color="auto"/>
            <w:right w:val="none" w:sz="0" w:space="0" w:color="auto"/>
          </w:divBdr>
        </w:div>
        <w:div w:id="1690790485">
          <w:marLeft w:val="0"/>
          <w:marRight w:val="0"/>
          <w:marTop w:val="0"/>
          <w:marBottom w:val="101"/>
          <w:divBdr>
            <w:top w:val="none" w:sz="0" w:space="0" w:color="auto"/>
            <w:left w:val="none" w:sz="0" w:space="0" w:color="auto"/>
            <w:bottom w:val="none" w:sz="0" w:space="0" w:color="auto"/>
            <w:right w:val="none" w:sz="0" w:space="0" w:color="auto"/>
          </w:divBdr>
        </w:div>
        <w:div w:id="1534155107">
          <w:marLeft w:val="0"/>
          <w:marRight w:val="0"/>
          <w:marTop w:val="0"/>
          <w:marBottom w:val="101"/>
          <w:divBdr>
            <w:top w:val="none" w:sz="0" w:space="0" w:color="auto"/>
            <w:left w:val="none" w:sz="0" w:space="0" w:color="auto"/>
            <w:bottom w:val="none" w:sz="0" w:space="0" w:color="auto"/>
            <w:right w:val="none" w:sz="0" w:space="0" w:color="auto"/>
          </w:divBdr>
        </w:div>
        <w:div w:id="1422677823">
          <w:marLeft w:val="0"/>
          <w:marRight w:val="0"/>
          <w:marTop w:val="0"/>
          <w:marBottom w:val="101"/>
          <w:divBdr>
            <w:top w:val="none" w:sz="0" w:space="0" w:color="auto"/>
            <w:left w:val="none" w:sz="0" w:space="0" w:color="auto"/>
            <w:bottom w:val="none" w:sz="0" w:space="0" w:color="auto"/>
            <w:right w:val="none" w:sz="0" w:space="0" w:color="auto"/>
          </w:divBdr>
        </w:div>
        <w:div w:id="722825673">
          <w:marLeft w:val="0"/>
          <w:marRight w:val="0"/>
          <w:marTop w:val="0"/>
          <w:marBottom w:val="101"/>
          <w:divBdr>
            <w:top w:val="none" w:sz="0" w:space="0" w:color="auto"/>
            <w:left w:val="none" w:sz="0" w:space="0" w:color="auto"/>
            <w:bottom w:val="none" w:sz="0" w:space="0" w:color="auto"/>
            <w:right w:val="none" w:sz="0" w:space="0" w:color="auto"/>
          </w:divBdr>
        </w:div>
        <w:div w:id="1605645526">
          <w:marLeft w:val="0"/>
          <w:marRight w:val="0"/>
          <w:marTop w:val="0"/>
          <w:marBottom w:val="101"/>
          <w:divBdr>
            <w:top w:val="none" w:sz="0" w:space="0" w:color="auto"/>
            <w:left w:val="none" w:sz="0" w:space="0" w:color="auto"/>
            <w:bottom w:val="none" w:sz="0" w:space="0" w:color="auto"/>
            <w:right w:val="none" w:sz="0" w:space="0" w:color="auto"/>
          </w:divBdr>
        </w:div>
        <w:div w:id="306783770">
          <w:marLeft w:val="0"/>
          <w:marRight w:val="0"/>
          <w:marTop w:val="0"/>
          <w:marBottom w:val="101"/>
          <w:divBdr>
            <w:top w:val="none" w:sz="0" w:space="0" w:color="auto"/>
            <w:left w:val="none" w:sz="0" w:space="0" w:color="auto"/>
            <w:bottom w:val="none" w:sz="0" w:space="0" w:color="auto"/>
            <w:right w:val="none" w:sz="0" w:space="0" w:color="auto"/>
          </w:divBdr>
        </w:div>
        <w:div w:id="92633887">
          <w:marLeft w:val="0"/>
          <w:marRight w:val="0"/>
          <w:marTop w:val="0"/>
          <w:marBottom w:val="101"/>
          <w:divBdr>
            <w:top w:val="none" w:sz="0" w:space="0" w:color="auto"/>
            <w:left w:val="none" w:sz="0" w:space="0" w:color="auto"/>
            <w:bottom w:val="none" w:sz="0" w:space="0" w:color="auto"/>
            <w:right w:val="none" w:sz="0" w:space="0" w:color="auto"/>
          </w:divBdr>
        </w:div>
        <w:div w:id="45876953">
          <w:marLeft w:val="0"/>
          <w:marRight w:val="0"/>
          <w:marTop w:val="0"/>
          <w:marBottom w:val="101"/>
          <w:divBdr>
            <w:top w:val="none" w:sz="0" w:space="0" w:color="auto"/>
            <w:left w:val="none" w:sz="0" w:space="0" w:color="auto"/>
            <w:bottom w:val="none" w:sz="0" w:space="0" w:color="auto"/>
            <w:right w:val="none" w:sz="0" w:space="0" w:color="auto"/>
          </w:divBdr>
        </w:div>
        <w:div w:id="1124470255">
          <w:marLeft w:val="0"/>
          <w:marRight w:val="0"/>
          <w:marTop w:val="0"/>
          <w:marBottom w:val="101"/>
          <w:divBdr>
            <w:top w:val="none" w:sz="0" w:space="0" w:color="auto"/>
            <w:left w:val="none" w:sz="0" w:space="0" w:color="auto"/>
            <w:bottom w:val="none" w:sz="0" w:space="0" w:color="auto"/>
            <w:right w:val="none" w:sz="0" w:space="0" w:color="auto"/>
          </w:divBdr>
        </w:div>
        <w:div w:id="411779682">
          <w:marLeft w:val="0"/>
          <w:marRight w:val="0"/>
          <w:marTop w:val="0"/>
          <w:marBottom w:val="101"/>
          <w:divBdr>
            <w:top w:val="none" w:sz="0" w:space="0" w:color="auto"/>
            <w:left w:val="none" w:sz="0" w:space="0" w:color="auto"/>
            <w:bottom w:val="none" w:sz="0" w:space="0" w:color="auto"/>
            <w:right w:val="none" w:sz="0" w:space="0" w:color="auto"/>
          </w:divBdr>
        </w:div>
        <w:div w:id="1069814221">
          <w:marLeft w:val="0"/>
          <w:marRight w:val="0"/>
          <w:marTop w:val="0"/>
          <w:marBottom w:val="101"/>
          <w:divBdr>
            <w:top w:val="none" w:sz="0" w:space="0" w:color="auto"/>
            <w:left w:val="none" w:sz="0" w:space="0" w:color="auto"/>
            <w:bottom w:val="none" w:sz="0" w:space="0" w:color="auto"/>
            <w:right w:val="none" w:sz="0" w:space="0" w:color="auto"/>
          </w:divBdr>
        </w:div>
        <w:div w:id="1975259296">
          <w:marLeft w:val="0"/>
          <w:marRight w:val="0"/>
          <w:marTop w:val="0"/>
          <w:marBottom w:val="101"/>
          <w:divBdr>
            <w:top w:val="none" w:sz="0" w:space="0" w:color="auto"/>
            <w:left w:val="none" w:sz="0" w:space="0" w:color="auto"/>
            <w:bottom w:val="none" w:sz="0" w:space="0" w:color="auto"/>
            <w:right w:val="none" w:sz="0" w:space="0" w:color="auto"/>
          </w:divBdr>
        </w:div>
        <w:div w:id="1414351818">
          <w:marLeft w:val="0"/>
          <w:marRight w:val="0"/>
          <w:marTop w:val="0"/>
          <w:marBottom w:val="101"/>
          <w:divBdr>
            <w:top w:val="none" w:sz="0" w:space="0" w:color="auto"/>
            <w:left w:val="none" w:sz="0" w:space="0" w:color="auto"/>
            <w:bottom w:val="none" w:sz="0" w:space="0" w:color="auto"/>
            <w:right w:val="none" w:sz="0" w:space="0" w:color="auto"/>
          </w:divBdr>
        </w:div>
        <w:div w:id="937954185">
          <w:marLeft w:val="0"/>
          <w:marRight w:val="0"/>
          <w:marTop w:val="0"/>
          <w:marBottom w:val="101"/>
          <w:divBdr>
            <w:top w:val="none" w:sz="0" w:space="0" w:color="auto"/>
            <w:left w:val="none" w:sz="0" w:space="0" w:color="auto"/>
            <w:bottom w:val="none" w:sz="0" w:space="0" w:color="auto"/>
            <w:right w:val="none" w:sz="0" w:space="0" w:color="auto"/>
          </w:divBdr>
        </w:div>
        <w:div w:id="73749815">
          <w:marLeft w:val="0"/>
          <w:marRight w:val="0"/>
          <w:marTop w:val="0"/>
          <w:marBottom w:val="101"/>
          <w:divBdr>
            <w:top w:val="none" w:sz="0" w:space="0" w:color="auto"/>
            <w:left w:val="none" w:sz="0" w:space="0" w:color="auto"/>
            <w:bottom w:val="none" w:sz="0" w:space="0" w:color="auto"/>
            <w:right w:val="none" w:sz="0" w:space="0" w:color="auto"/>
          </w:divBdr>
        </w:div>
        <w:div w:id="773863893">
          <w:marLeft w:val="0"/>
          <w:marRight w:val="0"/>
          <w:marTop w:val="0"/>
          <w:marBottom w:val="101"/>
          <w:divBdr>
            <w:top w:val="none" w:sz="0" w:space="0" w:color="auto"/>
            <w:left w:val="none" w:sz="0" w:space="0" w:color="auto"/>
            <w:bottom w:val="none" w:sz="0" w:space="0" w:color="auto"/>
            <w:right w:val="none" w:sz="0" w:space="0" w:color="auto"/>
          </w:divBdr>
        </w:div>
        <w:div w:id="762066934">
          <w:marLeft w:val="0"/>
          <w:marRight w:val="0"/>
          <w:marTop w:val="0"/>
          <w:marBottom w:val="101"/>
          <w:divBdr>
            <w:top w:val="none" w:sz="0" w:space="0" w:color="auto"/>
            <w:left w:val="none" w:sz="0" w:space="0" w:color="auto"/>
            <w:bottom w:val="none" w:sz="0" w:space="0" w:color="auto"/>
            <w:right w:val="none" w:sz="0" w:space="0" w:color="auto"/>
          </w:divBdr>
        </w:div>
        <w:div w:id="15348544">
          <w:marLeft w:val="0"/>
          <w:marRight w:val="0"/>
          <w:marTop w:val="0"/>
          <w:marBottom w:val="101"/>
          <w:divBdr>
            <w:top w:val="none" w:sz="0" w:space="0" w:color="auto"/>
            <w:left w:val="none" w:sz="0" w:space="0" w:color="auto"/>
            <w:bottom w:val="none" w:sz="0" w:space="0" w:color="auto"/>
            <w:right w:val="none" w:sz="0" w:space="0" w:color="auto"/>
          </w:divBdr>
        </w:div>
        <w:div w:id="945575987">
          <w:marLeft w:val="0"/>
          <w:marRight w:val="0"/>
          <w:marTop w:val="0"/>
          <w:marBottom w:val="101"/>
          <w:divBdr>
            <w:top w:val="none" w:sz="0" w:space="0" w:color="auto"/>
            <w:left w:val="none" w:sz="0" w:space="0" w:color="auto"/>
            <w:bottom w:val="none" w:sz="0" w:space="0" w:color="auto"/>
            <w:right w:val="none" w:sz="0" w:space="0" w:color="auto"/>
          </w:divBdr>
        </w:div>
        <w:div w:id="1012995450">
          <w:marLeft w:val="0"/>
          <w:marRight w:val="0"/>
          <w:marTop w:val="0"/>
          <w:marBottom w:val="101"/>
          <w:divBdr>
            <w:top w:val="none" w:sz="0" w:space="0" w:color="auto"/>
            <w:left w:val="none" w:sz="0" w:space="0" w:color="auto"/>
            <w:bottom w:val="none" w:sz="0" w:space="0" w:color="auto"/>
            <w:right w:val="none" w:sz="0" w:space="0" w:color="auto"/>
          </w:divBdr>
        </w:div>
        <w:div w:id="2102680560">
          <w:marLeft w:val="0"/>
          <w:marRight w:val="0"/>
          <w:marTop w:val="0"/>
          <w:marBottom w:val="101"/>
          <w:divBdr>
            <w:top w:val="none" w:sz="0" w:space="0" w:color="auto"/>
            <w:left w:val="none" w:sz="0" w:space="0" w:color="auto"/>
            <w:bottom w:val="none" w:sz="0" w:space="0" w:color="auto"/>
            <w:right w:val="none" w:sz="0" w:space="0" w:color="auto"/>
          </w:divBdr>
        </w:div>
        <w:div w:id="889850203">
          <w:marLeft w:val="0"/>
          <w:marRight w:val="0"/>
          <w:marTop w:val="0"/>
          <w:marBottom w:val="101"/>
          <w:divBdr>
            <w:top w:val="none" w:sz="0" w:space="0" w:color="auto"/>
            <w:left w:val="none" w:sz="0" w:space="0" w:color="auto"/>
            <w:bottom w:val="none" w:sz="0" w:space="0" w:color="auto"/>
            <w:right w:val="none" w:sz="0" w:space="0" w:color="auto"/>
          </w:divBdr>
        </w:div>
        <w:div w:id="44333262">
          <w:marLeft w:val="0"/>
          <w:marRight w:val="0"/>
          <w:marTop w:val="0"/>
          <w:marBottom w:val="101"/>
          <w:divBdr>
            <w:top w:val="none" w:sz="0" w:space="0" w:color="auto"/>
            <w:left w:val="none" w:sz="0" w:space="0" w:color="auto"/>
            <w:bottom w:val="none" w:sz="0" w:space="0" w:color="auto"/>
            <w:right w:val="none" w:sz="0" w:space="0" w:color="auto"/>
          </w:divBdr>
        </w:div>
        <w:div w:id="463889737">
          <w:marLeft w:val="0"/>
          <w:marRight w:val="0"/>
          <w:marTop w:val="0"/>
          <w:marBottom w:val="101"/>
          <w:divBdr>
            <w:top w:val="none" w:sz="0" w:space="0" w:color="auto"/>
            <w:left w:val="none" w:sz="0" w:space="0" w:color="auto"/>
            <w:bottom w:val="none" w:sz="0" w:space="0" w:color="auto"/>
            <w:right w:val="none" w:sz="0" w:space="0" w:color="auto"/>
          </w:divBdr>
        </w:div>
        <w:div w:id="1163400163">
          <w:marLeft w:val="0"/>
          <w:marRight w:val="0"/>
          <w:marTop w:val="0"/>
          <w:marBottom w:val="101"/>
          <w:divBdr>
            <w:top w:val="none" w:sz="0" w:space="0" w:color="auto"/>
            <w:left w:val="none" w:sz="0" w:space="0" w:color="auto"/>
            <w:bottom w:val="none" w:sz="0" w:space="0" w:color="auto"/>
            <w:right w:val="none" w:sz="0" w:space="0" w:color="auto"/>
          </w:divBdr>
        </w:div>
        <w:div w:id="1863473526">
          <w:marLeft w:val="0"/>
          <w:marRight w:val="0"/>
          <w:marTop w:val="0"/>
          <w:marBottom w:val="101"/>
          <w:divBdr>
            <w:top w:val="none" w:sz="0" w:space="0" w:color="auto"/>
            <w:left w:val="none" w:sz="0" w:space="0" w:color="auto"/>
            <w:bottom w:val="none" w:sz="0" w:space="0" w:color="auto"/>
            <w:right w:val="none" w:sz="0" w:space="0" w:color="auto"/>
          </w:divBdr>
        </w:div>
        <w:div w:id="585068583">
          <w:marLeft w:val="0"/>
          <w:marRight w:val="0"/>
          <w:marTop w:val="0"/>
          <w:marBottom w:val="101"/>
          <w:divBdr>
            <w:top w:val="none" w:sz="0" w:space="0" w:color="auto"/>
            <w:left w:val="none" w:sz="0" w:space="0" w:color="auto"/>
            <w:bottom w:val="none" w:sz="0" w:space="0" w:color="auto"/>
            <w:right w:val="none" w:sz="0" w:space="0" w:color="auto"/>
          </w:divBdr>
        </w:div>
        <w:div w:id="1020621136">
          <w:marLeft w:val="0"/>
          <w:marRight w:val="0"/>
          <w:marTop w:val="0"/>
          <w:marBottom w:val="101"/>
          <w:divBdr>
            <w:top w:val="none" w:sz="0" w:space="0" w:color="auto"/>
            <w:left w:val="none" w:sz="0" w:space="0" w:color="auto"/>
            <w:bottom w:val="none" w:sz="0" w:space="0" w:color="auto"/>
            <w:right w:val="none" w:sz="0" w:space="0" w:color="auto"/>
          </w:divBdr>
        </w:div>
        <w:div w:id="1006595809">
          <w:marLeft w:val="0"/>
          <w:marRight w:val="0"/>
          <w:marTop w:val="0"/>
          <w:marBottom w:val="101"/>
          <w:divBdr>
            <w:top w:val="none" w:sz="0" w:space="0" w:color="auto"/>
            <w:left w:val="none" w:sz="0" w:space="0" w:color="auto"/>
            <w:bottom w:val="none" w:sz="0" w:space="0" w:color="auto"/>
            <w:right w:val="none" w:sz="0" w:space="0" w:color="auto"/>
          </w:divBdr>
        </w:div>
        <w:div w:id="1320503424">
          <w:marLeft w:val="0"/>
          <w:marRight w:val="0"/>
          <w:marTop w:val="0"/>
          <w:marBottom w:val="101"/>
          <w:divBdr>
            <w:top w:val="none" w:sz="0" w:space="0" w:color="auto"/>
            <w:left w:val="none" w:sz="0" w:space="0" w:color="auto"/>
            <w:bottom w:val="none" w:sz="0" w:space="0" w:color="auto"/>
            <w:right w:val="none" w:sz="0" w:space="0" w:color="auto"/>
          </w:divBdr>
        </w:div>
        <w:div w:id="1808352372">
          <w:marLeft w:val="0"/>
          <w:marRight w:val="0"/>
          <w:marTop w:val="0"/>
          <w:marBottom w:val="101"/>
          <w:divBdr>
            <w:top w:val="none" w:sz="0" w:space="0" w:color="auto"/>
            <w:left w:val="none" w:sz="0" w:space="0" w:color="auto"/>
            <w:bottom w:val="none" w:sz="0" w:space="0" w:color="auto"/>
            <w:right w:val="none" w:sz="0" w:space="0" w:color="auto"/>
          </w:divBdr>
        </w:div>
        <w:div w:id="1053776358">
          <w:marLeft w:val="0"/>
          <w:marRight w:val="0"/>
          <w:marTop w:val="0"/>
          <w:marBottom w:val="101"/>
          <w:divBdr>
            <w:top w:val="none" w:sz="0" w:space="0" w:color="auto"/>
            <w:left w:val="none" w:sz="0" w:space="0" w:color="auto"/>
            <w:bottom w:val="none" w:sz="0" w:space="0" w:color="auto"/>
            <w:right w:val="none" w:sz="0" w:space="0" w:color="auto"/>
          </w:divBdr>
        </w:div>
        <w:div w:id="1879393376">
          <w:marLeft w:val="0"/>
          <w:marRight w:val="0"/>
          <w:marTop w:val="0"/>
          <w:marBottom w:val="101"/>
          <w:divBdr>
            <w:top w:val="none" w:sz="0" w:space="0" w:color="auto"/>
            <w:left w:val="none" w:sz="0" w:space="0" w:color="auto"/>
            <w:bottom w:val="none" w:sz="0" w:space="0" w:color="auto"/>
            <w:right w:val="none" w:sz="0" w:space="0" w:color="auto"/>
          </w:divBdr>
        </w:div>
        <w:div w:id="664866991">
          <w:marLeft w:val="0"/>
          <w:marRight w:val="0"/>
          <w:marTop w:val="0"/>
          <w:marBottom w:val="101"/>
          <w:divBdr>
            <w:top w:val="none" w:sz="0" w:space="0" w:color="auto"/>
            <w:left w:val="none" w:sz="0" w:space="0" w:color="auto"/>
            <w:bottom w:val="none" w:sz="0" w:space="0" w:color="auto"/>
            <w:right w:val="none" w:sz="0" w:space="0" w:color="auto"/>
          </w:divBdr>
        </w:div>
        <w:div w:id="890044843">
          <w:marLeft w:val="0"/>
          <w:marRight w:val="0"/>
          <w:marTop w:val="0"/>
          <w:marBottom w:val="101"/>
          <w:divBdr>
            <w:top w:val="none" w:sz="0" w:space="0" w:color="auto"/>
            <w:left w:val="none" w:sz="0" w:space="0" w:color="auto"/>
            <w:bottom w:val="none" w:sz="0" w:space="0" w:color="auto"/>
            <w:right w:val="none" w:sz="0" w:space="0" w:color="auto"/>
          </w:divBdr>
        </w:div>
        <w:div w:id="42992863">
          <w:marLeft w:val="720"/>
          <w:marRight w:val="0"/>
          <w:marTop w:val="0"/>
          <w:marBottom w:val="101"/>
          <w:divBdr>
            <w:top w:val="none" w:sz="0" w:space="0" w:color="auto"/>
            <w:left w:val="none" w:sz="0" w:space="0" w:color="auto"/>
            <w:bottom w:val="none" w:sz="0" w:space="0" w:color="auto"/>
            <w:right w:val="none" w:sz="0" w:space="0" w:color="auto"/>
          </w:divBdr>
        </w:div>
        <w:div w:id="1939290365">
          <w:marLeft w:val="720"/>
          <w:marRight w:val="0"/>
          <w:marTop w:val="0"/>
          <w:marBottom w:val="101"/>
          <w:divBdr>
            <w:top w:val="none" w:sz="0" w:space="0" w:color="auto"/>
            <w:left w:val="none" w:sz="0" w:space="0" w:color="auto"/>
            <w:bottom w:val="none" w:sz="0" w:space="0" w:color="auto"/>
            <w:right w:val="none" w:sz="0" w:space="0" w:color="auto"/>
          </w:divBdr>
        </w:div>
        <w:div w:id="1301688975">
          <w:marLeft w:val="0"/>
          <w:marRight w:val="0"/>
          <w:marTop w:val="0"/>
          <w:marBottom w:val="101"/>
          <w:divBdr>
            <w:top w:val="none" w:sz="0" w:space="0" w:color="auto"/>
            <w:left w:val="none" w:sz="0" w:space="0" w:color="auto"/>
            <w:bottom w:val="none" w:sz="0" w:space="0" w:color="auto"/>
            <w:right w:val="none" w:sz="0" w:space="0" w:color="auto"/>
          </w:divBdr>
        </w:div>
        <w:div w:id="1022974102">
          <w:marLeft w:val="0"/>
          <w:marRight w:val="0"/>
          <w:marTop w:val="0"/>
          <w:marBottom w:val="101"/>
          <w:divBdr>
            <w:top w:val="none" w:sz="0" w:space="0" w:color="auto"/>
            <w:left w:val="none" w:sz="0" w:space="0" w:color="auto"/>
            <w:bottom w:val="none" w:sz="0" w:space="0" w:color="auto"/>
            <w:right w:val="none" w:sz="0" w:space="0" w:color="auto"/>
          </w:divBdr>
        </w:div>
        <w:div w:id="329259112">
          <w:marLeft w:val="0"/>
          <w:marRight w:val="0"/>
          <w:marTop w:val="0"/>
          <w:marBottom w:val="101"/>
          <w:divBdr>
            <w:top w:val="none" w:sz="0" w:space="0" w:color="auto"/>
            <w:left w:val="none" w:sz="0" w:space="0" w:color="auto"/>
            <w:bottom w:val="none" w:sz="0" w:space="0" w:color="auto"/>
            <w:right w:val="none" w:sz="0" w:space="0" w:color="auto"/>
          </w:divBdr>
        </w:div>
        <w:div w:id="1255552975">
          <w:marLeft w:val="0"/>
          <w:marRight w:val="0"/>
          <w:marTop w:val="0"/>
          <w:marBottom w:val="101"/>
          <w:divBdr>
            <w:top w:val="none" w:sz="0" w:space="0" w:color="auto"/>
            <w:left w:val="none" w:sz="0" w:space="0" w:color="auto"/>
            <w:bottom w:val="none" w:sz="0" w:space="0" w:color="auto"/>
            <w:right w:val="none" w:sz="0" w:space="0" w:color="auto"/>
          </w:divBdr>
        </w:div>
        <w:div w:id="254828369">
          <w:marLeft w:val="0"/>
          <w:marRight w:val="0"/>
          <w:marTop w:val="0"/>
          <w:marBottom w:val="101"/>
          <w:divBdr>
            <w:top w:val="none" w:sz="0" w:space="0" w:color="auto"/>
            <w:left w:val="none" w:sz="0" w:space="0" w:color="auto"/>
            <w:bottom w:val="none" w:sz="0" w:space="0" w:color="auto"/>
            <w:right w:val="none" w:sz="0" w:space="0" w:color="auto"/>
          </w:divBdr>
        </w:div>
        <w:div w:id="972637089">
          <w:marLeft w:val="0"/>
          <w:marRight w:val="0"/>
          <w:marTop w:val="0"/>
          <w:marBottom w:val="101"/>
          <w:divBdr>
            <w:top w:val="none" w:sz="0" w:space="0" w:color="auto"/>
            <w:left w:val="none" w:sz="0" w:space="0" w:color="auto"/>
            <w:bottom w:val="none" w:sz="0" w:space="0" w:color="auto"/>
            <w:right w:val="none" w:sz="0" w:space="0" w:color="auto"/>
          </w:divBdr>
        </w:div>
        <w:div w:id="420225941">
          <w:marLeft w:val="0"/>
          <w:marRight w:val="0"/>
          <w:marTop w:val="0"/>
          <w:marBottom w:val="101"/>
          <w:divBdr>
            <w:top w:val="none" w:sz="0" w:space="0" w:color="auto"/>
            <w:left w:val="none" w:sz="0" w:space="0" w:color="auto"/>
            <w:bottom w:val="none" w:sz="0" w:space="0" w:color="auto"/>
            <w:right w:val="none" w:sz="0" w:space="0" w:color="auto"/>
          </w:divBdr>
        </w:div>
        <w:div w:id="378169884">
          <w:marLeft w:val="0"/>
          <w:marRight w:val="0"/>
          <w:marTop w:val="0"/>
          <w:marBottom w:val="101"/>
          <w:divBdr>
            <w:top w:val="none" w:sz="0" w:space="0" w:color="auto"/>
            <w:left w:val="none" w:sz="0" w:space="0" w:color="auto"/>
            <w:bottom w:val="none" w:sz="0" w:space="0" w:color="auto"/>
            <w:right w:val="none" w:sz="0" w:space="0" w:color="auto"/>
          </w:divBdr>
        </w:div>
        <w:div w:id="1281958597">
          <w:marLeft w:val="0"/>
          <w:marRight w:val="0"/>
          <w:marTop w:val="0"/>
          <w:marBottom w:val="101"/>
          <w:divBdr>
            <w:top w:val="none" w:sz="0" w:space="0" w:color="auto"/>
            <w:left w:val="none" w:sz="0" w:space="0" w:color="auto"/>
            <w:bottom w:val="none" w:sz="0" w:space="0" w:color="auto"/>
            <w:right w:val="none" w:sz="0" w:space="0" w:color="auto"/>
          </w:divBdr>
        </w:div>
        <w:div w:id="2017920186">
          <w:marLeft w:val="0"/>
          <w:marRight w:val="0"/>
          <w:marTop w:val="0"/>
          <w:marBottom w:val="101"/>
          <w:divBdr>
            <w:top w:val="none" w:sz="0" w:space="0" w:color="auto"/>
            <w:left w:val="none" w:sz="0" w:space="0" w:color="auto"/>
            <w:bottom w:val="none" w:sz="0" w:space="0" w:color="auto"/>
            <w:right w:val="none" w:sz="0" w:space="0" w:color="auto"/>
          </w:divBdr>
        </w:div>
        <w:div w:id="1804229487">
          <w:marLeft w:val="0"/>
          <w:marRight w:val="0"/>
          <w:marTop w:val="0"/>
          <w:marBottom w:val="101"/>
          <w:divBdr>
            <w:top w:val="none" w:sz="0" w:space="0" w:color="auto"/>
            <w:left w:val="none" w:sz="0" w:space="0" w:color="auto"/>
            <w:bottom w:val="none" w:sz="0" w:space="0" w:color="auto"/>
            <w:right w:val="none" w:sz="0" w:space="0" w:color="auto"/>
          </w:divBdr>
        </w:div>
        <w:div w:id="1356882411">
          <w:marLeft w:val="0"/>
          <w:marRight w:val="0"/>
          <w:marTop w:val="0"/>
          <w:marBottom w:val="101"/>
          <w:divBdr>
            <w:top w:val="none" w:sz="0" w:space="0" w:color="auto"/>
            <w:left w:val="none" w:sz="0" w:space="0" w:color="auto"/>
            <w:bottom w:val="none" w:sz="0" w:space="0" w:color="auto"/>
            <w:right w:val="none" w:sz="0" w:space="0" w:color="auto"/>
          </w:divBdr>
        </w:div>
        <w:div w:id="309867453">
          <w:marLeft w:val="0"/>
          <w:marRight w:val="0"/>
          <w:marTop w:val="0"/>
          <w:marBottom w:val="101"/>
          <w:divBdr>
            <w:top w:val="none" w:sz="0" w:space="0" w:color="auto"/>
            <w:left w:val="none" w:sz="0" w:space="0" w:color="auto"/>
            <w:bottom w:val="none" w:sz="0" w:space="0" w:color="auto"/>
            <w:right w:val="none" w:sz="0" w:space="0" w:color="auto"/>
          </w:divBdr>
        </w:div>
        <w:div w:id="1782647877">
          <w:marLeft w:val="0"/>
          <w:marRight w:val="0"/>
          <w:marTop w:val="0"/>
          <w:marBottom w:val="101"/>
          <w:divBdr>
            <w:top w:val="none" w:sz="0" w:space="0" w:color="auto"/>
            <w:left w:val="none" w:sz="0" w:space="0" w:color="auto"/>
            <w:bottom w:val="none" w:sz="0" w:space="0" w:color="auto"/>
            <w:right w:val="none" w:sz="0" w:space="0" w:color="auto"/>
          </w:divBdr>
        </w:div>
        <w:div w:id="1227258371">
          <w:marLeft w:val="0"/>
          <w:marRight w:val="0"/>
          <w:marTop w:val="0"/>
          <w:marBottom w:val="101"/>
          <w:divBdr>
            <w:top w:val="none" w:sz="0" w:space="0" w:color="auto"/>
            <w:left w:val="none" w:sz="0" w:space="0" w:color="auto"/>
            <w:bottom w:val="none" w:sz="0" w:space="0" w:color="auto"/>
            <w:right w:val="none" w:sz="0" w:space="0" w:color="auto"/>
          </w:divBdr>
        </w:div>
        <w:div w:id="1627203291">
          <w:marLeft w:val="0"/>
          <w:marRight w:val="0"/>
          <w:marTop w:val="0"/>
          <w:marBottom w:val="101"/>
          <w:divBdr>
            <w:top w:val="none" w:sz="0" w:space="0" w:color="auto"/>
            <w:left w:val="none" w:sz="0" w:space="0" w:color="auto"/>
            <w:bottom w:val="none" w:sz="0" w:space="0" w:color="auto"/>
            <w:right w:val="none" w:sz="0" w:space="0" w:color="auto"/>
          </w:divBdr>
        </w:div>
        <w:div w:id="730731486">
          <w:marLeft w:val="0"/>
          <w:marRight w:val="0"/>
          <w:marTop w:val="0"/>
          <w:marBottom w:val="101"/>
          <w:divBdr>
            <w:top w:val="none" w:sz="0" w:space="0" w:color="auto"/>
            <w:left w:val="none" w:sz="0" w:space="0" w:color="auto"/>
            <w:bottom w:val="none" w:sz="0" w:space="0" w:color="auto"/>
            <w:right w:val="none" w:sz="0" w:space="0" w:color="auto"/>
          </w:divBdr>
        </w:div>
        <w:div w:id="802313036">
          <w:marLeft w:val="0"/>
          <w:marRight w:val="0"/>
          <w:marTop w:val="0"/>
          <w:marBottom w:val="101"/>
          <w:divBdr>
            <w:top w:val="none" w:sz="0" w:space="0" w:color="auto"/>
            <w:left w:val="none" w:sz="0" w:space="0" w:color="auto"/>
            <w:bottom w:val="none" w:sz="0" w:space="0" w:color="auto"/>
            <w:right w:val="none" w:sz="0" w:space="0" w:color="auto"/>
          </w:divBdr>
        </w:div>
        <w:div w:id="708913922">
          <w:marLeft w:val="0"/>
          <w:marRight w:val="0"/>
          <w:marTop w:val="0"/>
          <w:marBottom w:val="101"/>
          <w:divBdr>
            <w:top w:val="none" w:sz="0" w:space="0" w:color="auto"/>
            <w:left w:val="none" w:sz="0" w:space="0" w:color="auto"/>
            <w:bottom w:val="none" w:sz="0" w:space="0" w:color="auto"/>
            <w:right w:val="none" w:sz="0" w:space="0" w:color="auto"/>
          </w:divBdr>
        </w:div>
        <w:div w:id="729116714">
          <w:marLeft w:val="0"/>
          <w:marRight w:val="0"/>
          <w:marTop w:val="0"/>
          <w:marBottom w:val="101"/>
          <w:divBdr>
            <w:top w:val="none" w:sz="0" w:space="0" w:color="auto"/>
            <w:left w:val="none" w:sz="0" w:space="0" w:color="auto"/>
            <w:bottom w:val="none" w:sz="0" w:space="0" w:color="auto"/>
            <w:right w:val="none" w:sz="0" w:space="0" w:color="auto"/>
          </w:divBdr>
        </w:div>
        <w:div w:id="782460525">
          <w:marLeft w:val="0"/>
          <w:marRight w:val="0"/>
          <w:marTop w:val="0"/>
          <w:marBottom w:val="101"/>
          <w:divBdr>
            <w:top w:val="none" w:sz="0" w:space="0" w:color="auto"/>
            <w:left w:val="none" w:sz="0" w:space="0" w:color="auto"/>
            <w:bottom w:val="none" w:sz="0" w:space="0" w:color="auto"/>
            <w:right w:val="none" w:sz="0" w:space="0" w:color="auto"/>
          </w:divBdr>
        </w:div>
        <w:div w:id="94594645">
          <w:marLeft w:val="0"/>
          <w:marRight w:val="0"/>
          <w:marTop w:val="0"/>
          <w:marBottom w:val="101"/>
          <w:divBdr>
            <w:top w:val="none" w:sz="0" w:space="0" w:color="auto"/>
            <w:left w:val="none" w:sz="0" w:space="0" w:color="auto"/>
            <w:bottom w:val="none" w:sz="0" w:space="0" w:color="auto"/>
            <w:right w:val="none" w:sz="0" w:space="0" w:color="auto"/>
          </w:divBdr>
        </w:div>
        <w:div w:id="1609892406">
          <w:marLeft w:val="0"/>
          <w:marRight w:val="0"/>
          <w:marTop w:val="0"/>
          <w:marBottom w:val="101"/>
          <w:divBdr>
            <w:top w:val="none" w:sz="0" w:space="0" w:color="auto"/>
            <w:left w:val="none" w:sz="0" w:space="0" w:color="auto"/>
            <w:bottom w:val="none" w:sz="0" w:space="0" w:color="auto"/>
            <w:right w:val="none" w:sz="0" w:space="0" w:color="auto"/>
          </w:divBdr>
        </w:div>
        <w:div w:id="1825049895">
          <w:marLeft w:val="0"/>
          <w:marRight w:val="0"/>
          <w:marTop w:val="0"/>
          <w:marBottom w:val="101"/>
          <w:divBdr>
            <w:top w:val="none" w:sz="0" w:space="0" w:color="auto"/>
            <w:left w:val="none" w:sz="0" w:space="0" w:color="auto"/>
            <w:bottom w:val="none" w:sz="0" w:space="0" w:color="auto"/>
            <w:right w:val="none" w:sz="0" w:space="0" w:color="auto"/>
          </w:divBdr>
        </w:div>
        <w:div w:id="690036611">
          <w:marLeft w:val="0"/>
          <w:marRight w:val="0"/>
          <w:marTop w:val="0"/>
          <w:marBottom w:val="101"/>
          <w:divBdr>
            <w:top w:val="none" w:sz="0" w:space="0" w:color="auto"/>
            <w:left w:val="none" w:sz="0" w:space="0" w:color="auto"/>
            <w:bottom w:val="none" w:sz="0" w:space="0" w:color="auto"/>
            <w:right w:val="none" w:sz="0" w:space="0" w:color="auto"/>
          </w:divBdr>
        </w:div>
        <w:div w:id="1709798260">
          <w:marLeft w:val="0"/>
          <w:marRight w:val="0"/>
          <w:marTop w:val="0"/>
          <w:marBottom w:val="101"/>
          <w:divBdr>
            <w:top w:val="none" w:sz="0" w:space="0" w:color="auto"/>
            <w:left w:val="none" w:sz="0" w:space="0" w:color="auto"/>
            <w:bottom w:val="none" w:sz="0" w:space="0" w:color="auto"/>
            <w:right w:val="none" w:sz="0" w:space="0" w:color="auto"/>
          </w:divBdr>
        </w:div>
        <w:div w:id="1311668368">
          <w:marLeft w:val="0"/>
          <w:marRight w:val="0"/>
          <w:marTop w:val="0"/>
          <w:marBottom w:val="101"/>
          <w:divBdr>
            <w:top w:val="none" w:sz="0" w:space="0" w:color="auto"/>
            <w:left w:val="none" w:sz="0" w:space="0" w:color="auto"/>
            <w:bottom w:val="none" w:sz="0" w:space="0" w:color="auto"/>
            <w:right w:val="none" w:sz="0" w:space="0" w:color="auto"/>
          </w:divBdr>
        </w:div>
        <w:div w:id="1633169500">
          <w:marLeft w:val="0"/>
          <w:marRight w:val="0"/>
          <w:marTop w:val="0"/>
          <w:marBottom w:val="101"/>
          <w:divBdr>
            <w:top w:val="none" w:sz="0" w:space="0" w:color="auto"/>
            <w:left w:val="none" w:sz="0" w:space="0" w:color="auto"/>
            <w:bottom w:val="none" w:sz="0" w:space="0" w:color="auto"/>
            <w:right w:val="none" w:sz="0" w:space="0" w:color="auto"/>
          </w:divBdr>
        </w:div>
        <w:div w:id="1628664285">
          <w:marLeft w:val="0"/>
          <w:marRight w:val="0"/>
          <w:marTop w:val="0"/>
          <w:marBottom w:val="101"/>
          <w:divBdr>
            <w:top w:val="none" w:sz="0" w:space="0" w:color="auto"/>
            <w:left w:val="none" w:sz="0" w:space="0" w:color="auto"/>
            <w:bottom w:val="none" w:sz="0" w:space="0" w:color="auto"/>
            <w:right w:val="none" w:sz="0" w:space="0" w:color="auto"/>
          </w:divBdr>
        </w:div>
        <w:div w:id="482745114">
          <w:marLeft w:val="0"/>
          <w:marRight w:val="0"/>
          <w:marTop w:val="0"/>
          <w:marBottom w:val="101"/>
          <w:divBdr>
            <w:top w:val="none" w:sz="0" w:space="0" w:color="auto"/>
            <w:left w:val="none" w:sz="0" w:space="0" w:color="auto"/>
            <w:bottom w:val="none" w:sz="0" w:space="0" w:color="auto"/>
            <w:right w:val="none" w:sz="0" w:space="0" w:color="auto"/>
          </w:divBdr>
        </w:div>
        <w:div w:id="1405688201">
          <w:marLeft w:val="0"/>
          <w:marRight w:val="0"/>
          <w:marTop w:val="0"/>
          <w:marBottom w:val="101"/>
          <w:divBdr>
            <w:top w:val="none" w:sz="0" w:space="0" w:color="auto"/>
            <w:left w:val="none" w:sz="0" w:space="0" w:color="auto"/>
            <w:bottom w:val="none" w:sz="0" w:space="0" w:color="auto"/>
            <w:right w:val="none" w:sz="0" w:space="0" w:color="auto"/>
          </w:divBdr>
        </w:div>
        <w:div w:id="488986572">
          <w:marLeft w:val="0"/>
          <w:marRight w:val="0"/>
          <w:marTop w:val="0"/>
          <w:marBottom w:val="101"/>
          <w:divBdr>
            <w:top w:val="none" w:sz="0" w:space="0" w:color="auto"/>
            <w:left w:val="none" w:sz="0" w:space="0" w:color="auto"/>
            <w:bottom w:val="none" w:sz="0" w:space="0" w:color="auto"/>
            <w:right w:val="none" w:sz="0" w:space="0" w:color="auto"/>
          </w:divBdr>
        </w:div>
        <w:div w:id="1047493676">
          <w:marLeft w:val="0"/>
          <w:marRight w:val="0"/>
          <w:marTop w:val="0"/>
          <w:marBottom w:val="101"/>
          <w:divBdr>
            <w:top w:val="none" w:sz="0" w:space="0" w:color="auto"/>
            <w:left w:val="none" w:sz="0" w:space="0" w:color="auto"/>
            <w:bottom w:val="none" w:sz="0" w:space="0" w:color="auto"/>
            <w:right w:val="none" w:sz="0" w:space="0" w:color="auto"/>
          </w:divBdr>
        </w:div>
        <w:div w:id="1482773978">
          <w:marLeft w:val="0"/>
          <w:marRight w:val="0"/>
          <w:marTop w:val="0"/>
          <w:marBottom w:val="101"/>
          <w:divBdr>
            <w:top w:val="none" w:sz="0" w:space="0" w:color="auto"/>
            <w:left w:val="none" w:sz="0" w:space="0" w:color="auto"/>
            <w:bottom w:val="none" w:sz="0" w:space="0" w:color="auto"/>
            <w:right w:val="none" w:sz="0" w:space="0" w:color="auto"/>
          </w:divBdr>
        </w:div>
        <w:div w:id="910045312">
          <w:marLeft w:val="0"/>
          <w:marRight w:val="0"/>
          <w:marTop w:val="0"/>
          <w:marBottom w:val="101"/>
          <w:divBdr>
            <w:top w:val="none" w:sz="0" w:space="0" w:color="auto"/>
            <w:left w:val="none" w:sz="0" w:space="0" w:color="auto"/>
            <w:bottom w:val="none" w:sz="0" w:space="0" w:color="auto"/>
            <w:right w:val="none" w:sz="0" w:space="0" w:color="auto"/>
          </w:divBdr>
        </w:div>
        <w:div w:id="721368095">
          <w:marLeft w:val="0"/>
          <w:marRight w:val="0"/>
          <w:marTop w:val="0"/>
          <w:marBottom w:val="101"/>
          <w:divBdr>
            <w:top w:val="none" w:sz="0" w:space="0" w:color="auto"/>
            <w:left w:val="none" w:sz="0" w:space="0" w:color="auto"/>
            <w:bottom w:val="none" w:sz="0" w:space="0" w:color="auto"/>
            <w:right w:val="none" w:sz="0" w:space="0" w:color="auto"/>
          </w:divBdr>
        </w:div>
        <w:div w:id="665323304">
          <w:marLeft w:val="0"/>
          <w:marRight w:val="0"/>
          <w:marTop w:val="0"/>
          <w:marBottom w:val="101"/>
          <w:divBdr>
            <w:top w:val="none" w:sz="0" w:space="0" w:color="auto"/>
            <w:left w:val="none" w:sz="0" w:space="0" w:color="auto"/>
            <w:bottom w:val="none" w:sz="0" w:space="0" w:color="auto"/>
            <w:right w:val="none" w:sz="0" w:space="0" w:color="auto"/>
          </w:divBdr>
        </w:div>
        <w:div w:id="538278550">
          <w:marLeft w:val="0"/>
          <w:marRight w:val="0"/>
          <w:marTop w:val="0"/>
          <w:marBottom w:val="101"/>
          <w:divBdr>
            <w:top w:val="none" w:sz="0" w:space="0" w:color="auto"/>
            <w:left w:val="none" w:sz="0" w:space="0" w:color="auto"/>
            <w:bottom w:val="none" w:sz="0" w:space="0" w:color="auto"/>
            <w:right w:val="none" w:sz="0" w:space="0" w:color="auto"/>
          </w:divBdr>
        </w:div>
        <w:div w:id="1845852163">
          <w:marLeft w:val="0"/>
          <w:marRight w:val="0"/>
          <w:marTop w:val="0"/>
          <w:marBottom w:val="101"/>
          <w:divBdr>
            <w:top w:val="none" w:sz="0" w:space="0" w:color="auto"/>
            <w:left w:val="none" w:sz="0" w:space="0" w:color="auto"/>
            <w:bottom w:val="none" w:sz="0" w:space="0" w:color="auto"/>
            <w:right w:val="none" w:sz="0" w:space="0" w:color="auto"/>
          </w:divBdr>
        </w:div>
        <w:div w:id="818155049">
          <w:marLeft w:val="0"/>
          <w:marRight w:val="0"/>
          <w:marTop w:val="0"/>
          <w:marBottom w:val="101"/>
          <w:divBdr>
            <w:top w:val="none" w:sz="0" w:space="0" w:color="auto"/>
            <w:left w:val="none" w:sz="0" w:space="0" w:color="auto"/>
            <w:bottom w:val="none" w:sz="0" w:space="0" w:color="auto"/>
            <w:right w:val="none" w:sz="0" w:space="0" w:color="auto"/>
          </w:divBdr>
        </w:div>
        <w:div w:id="1307078740">
          <w:marLeft w:val="0"/>
          <w:marRight w:val="0"/>
          <w:marTop w:val="0"/>
          <w:marBottom w:val="101"/>
          <w:divBdr>
            <w:top w:val="none" w:sz="0" w:space="0" w:color="auto"/>
            <w:left w:val="none" w:sz="0" w:space="0" w:color="auto"/>
            <w:bottom w:val="none" w:sz="0" w:space="0" w:color="auto"/>
            <w:right w:val="none" w:sz="0" w:space="0" w:color="auto"/>
          </w:divBdr>
        </w:div>
        <w:div w:id="1801993014">
          <w:marLeft w:val="0"/>
          <w:marRight w:val="0"/>
          <w:marTop w:val="0"/>
          <w:marBottom w:val="101"/>
          <w:divBdr>
            <w:top w:val="none" w:sz="0" w:space="0" w:color="auto"/>
            <w:left w:val="none" w:sz="0" w:space="0" w:color="auto"/>
            <w:bottom w:val="none" w:sz="0" w:space="0" w:color="auto"/>
            <w:right w:val="none" w:sz="0" w:space="0" w:color="auto"/>
          </w:divBdr>
        </w:div>
        <w:div w:id="728303938">
          <w:marLeft w:val="0"/>
          <w:marRight w:val="0"/>
          <w:marTop w:val="0"/>
          <w:marBottom w:val="101"/>
          <w:divBdr>
            <w:top w:val="none" w:sz="0" w:space="0" w:color="auto"/>
            <w:left w:val="none" w:sz="0" w:space="0" w:color="auto"/>
            <w:bottom w:val="none" w:sz="0" w:space="0" w:color="auto"/>
            <w:right w:val="none" w:sz="0" w:space="0" w:color="auto"/>
          </w:divBdr>
        </w:div>
        <w:div w:id="576866038">
          <w:marLeft w:val="0"/>
          <w:marRight w:val="0"/>
          <w:marTop w:val="0"/>
          <w:marBottom w:val="101"/>
          <w:divBdr>
            <w:top w:val="none" w:sz="0" w:space="0" w:color="auto"/>
            <w:left w:val="none" w:sz="0" w:space="0" w:color="auto"/>
            <w:bottom w:val="none" w:sz="0" w:space="0" w:color="auto"/>
            <w:right w:val="none" w:sz="0" w:space="0" w:color="auto"/>
          </w:divBdr>
        </w:div>
        <w:div w:id="1600479940">
          <w:marLeft w:val="0"/>
          <w:marRight w:val="0"/>
          <w:marTop w:val="0"/>
          <w:marBottom w:val="101"/>
          <w:divBdr>
            <w:top w:val="none" w:sz="0" w:space="0" w:color="auto"/>
            <w:left w:val="none" w:sz="0" w:space="0" w:color="auto"/>
            <w:bottom w:val="none" w:sz="0" w:space="0" w:color="auto"/>
            <w:right w:val="none" w:sz="0" w:space="0" w:color="auto"/>
          </w:divBdr>
        </w:div>
        <w:div w:id="289435829">
          <w:marLeft w:val="0"/>
          <w:marRight w:val="0"/>
          <w:marTop w:val="0"/>
          <w:marBottom w:val="101"/>
          <w:divBdr>
            <w:top w:val="none" w:sz="0" w:space="0" w:color="auto"/>
            <w:left w:val="none" w:sz="0" w:space="0" w:color="auto"/>
            <w:bottom w:val="none" w:sz="0" w:space="0" w:color="auto"/>
            <w:right w:val="none" w:sz="0" w:space="0" w:color="auto"/>
          </w:divBdr>
        </w:div>
        <w:div w:id="2029989703">
          <w:marLeft w:val="0"/>
          <w:marRight w:val="0"/>
          <w:marTop w:val="0"/>
          <w:marBottom w:val="101"/>
          <w:divBdr>
            <w:top w:val="none" w:sz="0" w:space="0" w:color="auto"/>
            <w:left w:val="none" w:sz="0" w:space="0" w:color="auto"/>
            <w:bottom w:val="none" w:sz="0" w:space="0" w:color="auto"/>
            <w:right w:val="none" w:sz="0" w:space="0" w:color="auto"/>
          </w:divBdr>
        </w:div>
        <w:div w:id="1335232059">
          <w:marLeft w:val="0"/>
          <w:marRight w:val="0"/>
          <w:marTop w:val="0"/>
          <w:marBottom w:val="101"/>
          <w:divBdr>
            <w:top w:val="none" w:sz="0" w:space="0" w:color="auto"/>
            <w:left w:val="none" w:sz="0" w:space="0" w:color="auto"/>
            <w:bottom w:val="none" w:sz="0" w:space="0" w:color="auto"/>
            <w:right w:val="none" w:sz="0" w:space="0" w:color="auto"/>
          </w:divBdr>
        </w:div>
        <w:div w:id="199318338">
          <w:marLeft w:val="0"/>
          <w:marRight w:val="0"/>
          <w:marTop w:val="0"/>
          <w:marBottom w:val="101"/>
          <w:divBdr>
            <w:top w:val="none" w:sz="0" w:space="0" w:color="auto"/>
            <w:left w:val="none" w:sz="0" w:space="0" w:color="auto"/>
            <w:bottom w:val="none" w:sz="0" w:space="0" w:color="auto"/>
            <w:right w:val="none" w:sz="0" w:space="0" w:color="auto"/>
          </w:divBdr>
        </w:div>
        <w:div w:id="597064390">
          <w:marLeft w:val="0"/>
          <w:marRight w:val="0"/>
          <w:marTop w:val="0"/>
          <w:marBottom w:val="101"/>
          <w:divBdr>
            <w:top w:val="none" w:sz="0" w:space="0" w:color="auto"/>
            <w:left w:val="none" w:sz="0" w:space="0" w:color="auto"/>
            <w:bottom w:val="none" w:sz="0" w:space="0" w:color="auto"/>
            <w:right w:val="none" w:sz="0" w:space="0" w:color="auto"/>
          </w:divBdr>
        </w:div>
        <w:div w:id="589436317">
          <w:marLeft w:val="0"/>
          <w:marRight w:val="0"/>
          <w:marTop w:val="0"/>
          <w:marBottom w:val="101"/>
          <w:divBdr>
            <w:top w:val="none" w:sz="0" w:space="0" w:color="auto"/>
            <w:left w:val="none" w:sz="0" w:space="0" w:color="auto"/>
            <w:bottom w:val="none" w:sz="0" w:space="0" w:color="auto"/>
            <w:right w:val="none" w:sz="0" w:space="0" w:color="auto"/>
          </w:divBdr>
        </w:div>
        <w:div w:id="1162281438">
          <w:marLeft w:val="0"/>
          <w:marRight w:val="0"/>
          <w:marTop w:val="0"/>
          <w:marBottom w:val="101"/>
          <w:divBdr>
            <w:top w:val="none" w:sz="0" w:space="0" w:color="auto"/>
            <w:left w:val="none" w:sz="0" w:space="0" w:color="auto"/>
            <w:bottom w:val="none" w:sz="0" w:space="0" w:color="auto"/>
            <w:right w:val="none" w:sz="0" w:space="0" w:color="auto"/>
          </w:divBdr>
        </w:div>
        <w:div w:id="1837915075">
          <w:marLeft w:val="0"/>
          <w:marRight w:val="0"/>
          <w:marTop w:val="0"/>
          <w:marBottom w:val="101"/>
          <w:divBdr>
            <w:top w:val="none" w:sz="0" w:space="0" w:color="auto"/>
            <w:left w:val="none" w:sz="0" w:space="0" w:color="auto"/>
            <w:bottom w:val="none" w:sz="0" w:space="0" w:color="auto"/>
            <w:right w:val="none" w:sz="0" w:space="0" w:color="auto"/>
          </w:divBdr>
        </w:div>
        <w:div w:id="2065639833">
          <w:marLeft w:val="0"/>
          <w:marRight w:val="0"/>
          <w:marTop w:val="0"/>
          <w:marBottom w:val="101"/>
          <w:divBdr>
            <w:top w:val="none" w:sz="0" w:space="0" w:color="auto"/>
            <w:left w:val="none" w:sz="0" w:space="0" w:color="auto"/>
            <w:bottom w:val="none" w:sz="0" w:space="0" w:color="auto"/>
            <w:right w:val="none" w:sz="0" w:space="0" w:color="auto"/>
          </w:divBdr>
        </w:div>
        <w:div w:id="1608658250">
          <w:marLeft w:val="0"/>
          <w:marRight w:val="0"/>
          <w:marTop w:val="0"/>
          <w:marBottom w:val="101"/>
          <w:divBdr>
            <w:top w:val="none" w:sz="0" w:space="0" w:color="auto"/>
            <w:left w:val="none" w:sz="0" w:space="0" w:color="auto"/>
            <w:bottom w:val="none" w:sz="0" w:space="0" w:color="auto"/>
            <w:right w:val="none" w:sz="0" w:space="0" w:color="auto"/>
          </w:divBdr>
        </w:div>
        <w:div w:id="1948389308">
          <w:marLeft w:val="0"/>
          <w:marRight w:val="0"/>
          <w:marTop w:val="0"/>
          <w:marBottom w:val="101"/>
          <w:divBdr>
            <w:top w:val="none" w:sz="0" w:space="0" w:color="auto"/>
            <w:left w:val="none" w:sz="0" w:space="0" w:color="auto"/>
            <w:bottom w:val="none" w:sz="0" w:space="0" w:color="auto"/>
            <w:right w:val="none" w:sz="0" w:space="0" w:color="auto"/>
          </w:divBdr>
        </w:div>
        <w:div w:id="955138775">
          <w:marLeft w:val="0"/>
          <w:marRight w:val="0"/>
          <w:marTop w:val="0"/>
          <w:marBottom w:val="101"/>
          <w:divBdr>
            <w:top w:val="none" w:sz="0" w:space="0" w:color="auto"/>
            <w:left w:val="none" w:sz="0" w:space="0" w:color="auto"/>
            <w:bottom w:val="none" w:sz="0" w:space="0" w:color="auto"/>
            <w:right w:val="none" w:sz="0" w:space="0" w:color="auto"/>
          </w:divBdr>
        </w:div>
        <w:div w:id="1596740950">
          <w:marLeft w:val="0"/>
          <w:marRight w:val="0"/>
          <w:marTop w:val="0"/>
          <w:marBottom w:val="101"/>
          <w:divBdr>
            <w:top w:val="none" w:sz="0" w:space="0" w:color="auto"/>
            <w:left w:val="none" w:sz="0" w:space="0" w:color="auto"/>
            <w:bottom w:val="none" w:sz="0" w:space="0" w:color="auto"/>
            <w:right w:val="none" w:sz="0" w:space="0" w:color="auto"/>
          </w:divBdr>
        </w:div>
        <w:div w:id="2026129802">
          <w:marLeft w:val="0"/>
          <w:marRight w:val="0"/>
          <w:marTop w:val="0"/>
          <w:marBottom w:val="101"/>
          <w:divBdr>
            <w:top w:val="none" w:sz="0" w:space="0" w:color="auto"/>
            <w:left w:val="none" w:sz="0" w:space="0" w:color="auto"/>
            <w:bottom w:val="none" w:sz="0" w:space="0" w:color="auto"/>
            <w:right w:val="none" w:sz="0" w:space="0" w:color="auto"/>
          </w:divBdr>
        </w:div>
        <w:div w:id="1575581130">
          <w:marLeft w:val="0"/>
          <w:marRight w:val="0"/>
          <w:marTop w:val="0"/>
          <w:marBottom w:val="101"/>
          <w:divBdr>
            <w:top w:val="none" w:sz="0" w:space="0" w:color="auto"/>
            <w:left w:val="none" w:sz="0" w:space="0" w:color="auto"/>
            <w:bottom w:val="none" w:sz="0" w:space="0" w:color="auto"/>
            <w:right w:val="none" w:sz="0" w:space="0" w:color="auto"/>
          </w:divBdr>
        </w:div>
        <w:div w:id="1632593820">
          <w:marLeft w:val="0"/>
          <w:marRight w:val="0"/>
          <w:marTop w:val="0"/>
          <w:marBottom w:val="101"/>
          <w:divBdr>
            <w:top w:val="none" w:sz="0" w:space="0" w:color="auto"/>
            <w:left w:val="none" w:sz="0" w:space="0" w:color="auto"/>
            <w:bottom w:val="none" w:sz="0" w:space="0" w:color="auto"/>
            <w:right w:val="none" w:sz="0" w:space="0" w:color="auto"/>
          </w:divBdr>
        </w:div>
        <w:div w:id="1747069408">
          <w:marLeft w:val="0"/>
          <w:marRight w:val="0"/>
          <w:marTop w:val="0"/>
          <w:marBottom w:val="101"/>
          <w:divBdr>
            <w:top w:val="none" w:sz="0" w:space="0" w:color="auto"/>
            <w:left w:val="none" w:sz="0" w:space="0" w:color="auto"/>
            <w:bottom w:val="none" w:sz="0" w:space="0" w:color="auto"/>
            <w:right w:val="none" w:sz="0" w:space="0" w:color="auto"/>
          </w:divBdr>
        </w:div>
        <w:div w:id="493572023">
          <w:marLeft w:val="0"/>
          <w:marRight w:val="0"/>
          <w:marTop w:val="0"/>
          <w:marBottom w:val="101"/>
          <w:divBdr>
            <w:top w:val="none" w:sz="0" w:space="0" w:color="auto"/>
            <w:left w:val="none" w:sz="0" w:space="0" w:color="auto"/>
            <w:bottom w:val="none" w:sz="0" w:space="0" w:color="auto"/>
            <w:right w:val="none" w:sz="0" w:space="0" w:color="auto"/>
          </w:divBdr>
        </w:div>
        <w:div w:id="896284542">
          <w:marLeft w:val="0"/>
          <w:marRight w:val="0"/>
          <w:marTop w:val="0"/>
          <w:marBottom w:val="101"/>
          <w:divBdr>
            <w:top w:val="none" w:sz="0" w:space="0" w:color="auto"/>
            <w:left w:val="none" w:sz="0" w:space="0" w:color="auto"/>
            <w:bottom w:val="none" w:sz="0" w:space="0" w:color="auto"/>
            <w:right w:val="none" w:sz="0" w:space="0" w:color="auto"/>
          </w:divBdr>
        </w:div>
        <w:div w:id="1753358332">
          <w:marLeft w:val="0"/>
          <w:marRight w:val="0"/>
          <w:marTop w:val="0"/>
          <w:marBottom w:val="101"/>
          <w:divBdr>
            <w:top w:val="none" w:sz="0" w:space="0" w:color="auto"/>
            <w:left w:val="none" w:sz="0" w:space="0" w:color="auto"/>
            <w:bottom w:val="none" w:sz="0" w:space="0" w:color="auto"/>
            <w:right w:val="none" w:sz="0" w:space="0" w:color="auto"/>
          </w:divBdr>
        </w:div>
        <w:div w:id="1909684718">
          <w:marLeft w:val="0"/>
          <w:marRight w:val="0"/>
          <w:marTop w:val="0"/>
          <w:marBottom w:val="101"/>
          <w:divBdr>
            <w:top w:val="none" w:sz="0" w:space="0" w:color="auto"/>
            <w:left w:val="none" w:sz="0" w:space="0" w:color="auto"/>
            <w:bottom w:val="none" w:sz="0" w:space="0" w:color="auto"/>
            <w:right w:val="none" w:sz="0" w:space="0" w:color="auto"/>
          </w:divBdr>
        </w:div>
        <w:div w:id="1223828522">
          <w:marLeft w:val="720"/>
          <w:marRight w:val="0"/>
          <w:marTop w:val="0"/>
          <w:marBottom w:val="101"/>
          <w:divBdr>
            <w:top w:val="none" w:sz="0" w:space="0" w:color="auto"/>
            <w:left w:val="none" w:sz="0" w:space="0" w:color="auto"/>
            <w:bottom w:val="none" w:sz="0" w:space="0" w:color="auto"/>
            <w:right w:val="none" w:sz="0" w:space="0" w:color="auto"/>
          </w:divBdr>
        </w:div>
        <w:div w:id="1888956022">
          <w:marLeft w:val="720"/>
          <w:marRight w:val="0"/>
          <w:marTop w:val="0"/>
          <w:marBottom w:val="101"/>
          <w:divBdr>
            <w:top w:val="none" w:sz="0" w:space="0" w:color="auto"/>
            <w:left w:val="none" w:sz="0" w:space="0" w:color="auto"/>
            <w:bottom w:val="none" w:sz="0" w:space="0" w:color="auto"/>
            <w:right w:val="none" w:sz="0" w:space="0" w:color="auto"/>
          </w:divBdr>
        </w:div>
        <w:div w:id="11418256">
          <w:marLeft w:val="0"/>
          <w:marRight w:val="0"/>
          <w:marTop w:val="0"/>
          <w:marBottom w:val="101"/>
          <w:divBdr>
            <w:top w:val="none" w:sz="0" w:space="0" w:color="auto"/>
            <w:left w:val="none" w:sz="0" w:space="0" w:color="auto"/>
            <w:bottom w:val="none" w:sz="0" w:space="0" w:color="auto"/>
            <w:right w:val="none" w:sz="0" w:space="0" w:color="auto"/>
          </w:divBdr>
        </w:div>
        <w:div w:id="1251238158">
          <w:marLeft w:val="0"/>
          <w:marRight w:val="0"/>
          <w:marTop w:val="0"/>
          <w:marBottom w:val="101"/>
          <w:divBdr>
            <w:top w:val="none" w:sz="0" w:space="0" w:color="auto"/>
            <w:left w:val="none" w:sz="0" w:space="0" w:color="auto"/>
            <w:bottom w:val="none" w:sz="0" w:space="0" w:color="auto"/>
            <w:right w:val="none" w:sz="0" w:space="0" w:color="auto"/>
          </w:divBdr>
        </w:div>
        <w:div w:id="1958901779">
          <w:marLeft w:val="0"/>
          <w:marRight w:val="0"/>
          <w:marTop w:val="0"/>
          <w:marBottom w:val="101"/>
          <w:divBdr>
            <w:top w:val="none" w:sz="0" w:space="0" w:color="auto"/>
            <w:left w:val="none" w:sz="0" w:space="0" w:color="auto"/>
            <w:bottom w:val="none" w:sz="0" w:space="0" w:color="auto"/>
            <w:right w:val="none" w:sz="0" w:space="0" w:color="auto"/>
          </w:divBdr>
        </w:div>
        <w:div w:id="526136730">
          <w:marLeft w:val="0"/>
          <w:marRight w:val="0"/>
          <w:marTop w:val="0"/>
          <w:marBottom w:val="101"/>
          <w:divBdr>
            <w:top w:val="none" w:sz="0" w:space="0" w:color="auto"/>
            <w:left w:val="none" w:sz="0" w:space="0" w:color="auto"/>
            <w:bottom w:val="none" w:sz="0" w:space="0" w:color="auto"/>
            <w:right w:val="none" w:sz="0" w:space="0" w:color="auto"/>
          </w:divBdr>
        </w:div>
        <w:div w:id="1546064450">
          <w:marLeft w:val="0"/>
          <w:marRight w:val="0"/>
          <w:marTop w:val="0"/>
          <w:marBottom w:val="101"/>
          <w:divBdr>
            <w:top w:val="none" w:sz="0" w:space="0" w:color="auto"/>
            <w:left w:val="none" w:sz="0" w:space="0" w:color="auto"/>
            <w:bottom w:val="none" w:sz="0" w:space="0" w:color="auto"/>
            <w:right w:val="none" w:sz="0" w:space="0" w:color="auto"/>
          </w:divBdr>
        </w:div>
        <w:div w:id="2136560984">
          <w:marLeft w:val="0"/>
          <w:marRight w:val="0"/>
          <w:marTop w:val="0"/>
          <w:marBottom w:val="101"/>
          <w:divBdr>
            <w:top w:val="none" w:sz="0" w:space="0" w:color="auto"/>
            <w:left w:val="none" w:sz="0" w:space="0" w:color="auto"/>
            <w:bottom w:val="none" w:sz="0" w:space="0" w:color="auto"/>
            <w:right w:val="none" w:sz="0" w:space="0" w:color="auto"/>
          </w:divBdr>
        </w:div>
        <w:div w:id="630135468">
          <w:marLeft w:val="0"/>
          <w:marRight w:val="0"/>
          <w:marTop w:val="0"/>
          <w:marBottom w:val="101"/>
          <w:divBdr>
            <w:top w:val="none" w:sz="0" w:space="0" w:color="auto"/>
            <w:left w:val="none" w:sz="0" w:space="0" w:color="auto"/>
            <w:bottom w:val="none" w:sz="0" w:space="0" w:color="auto"/>
            <w:right w:val="none" w:sz="0" w:space="0" w:color="auto"/>
          </w:divBdr>
        </w:div>
        <w:div w:id="1201436818">
          <w:marLeft w:val="0"/>
          <w:marRight w:val="0"/>
          <w:marTop w:val="0"/>
          <w:marBottom w:val="101"/>
          <w:divBdr>
            <w:top w:val="none" w:sz="0" w:space="0" w:color="auto"/>
            <w:left w:val="none" w:sz="0" w:space="0" w:color="auto"/>
            <w:bottom w:val="none" w:sz="0" w:space="0" w:color="auto"/>
            <w:right w:val="none" w:sz="0" w:space="0" w:color="auto"/>
          </w:divBdr>
        </w:div>
        <w:div w:id="551889013">
          <w:marLeft w:val="0"/>
          <w:marRight w:val="0"/>
          <w:marTop w:val="0"/>
          <w:marBottom w:val="101"/>
          <w:divBdr>
            <w:top w:val="none" w:sz="0" w:space="0" w:color="auto"/>
            <w:left w:val="none" w:sz="0" w:space="0" w:color="auto"/>
            <w:bottom w:val="none" w:sz="0" w:space="0" w:color="auto"/>
            <w:right w:val="none" w:sz="0" w:space="0" w:color="auto"/>
          </w:divBdr>
        </w:div>
        <w:div w:id="589853236">
          <w:marLeft w:val="0"/>
          <w:marRight w:val="0"/>
          <w:marTop w:val="0"/>
          <w:marBottom w:val="101"/>
          <w:divBdr>
            <w:top w:val="none" w:sz="0" w:space="0" w:color="auto"/>
            <w:left w:val="none" w:sz="0" w:space="0" w:color="auto"/>
            <w:bottom w:val="none" w:sz="0" w:space="0" w:color="auto"/>
            <w:right w:val="none" w:sz="0" w:space="0" w:color="auto"/>
          </w:divBdr>
        </w:div>
        <w:div w:id="1576159291">
          <w:marLeft w:val="0"/>
          <w:marRight w:val="0"/>
          <w:marTop w:val="0"/>
          <w:marBottom w:val="101"/>
          <w:divBdr>
            <w:top w:val="none" w:sz="0" w:space="0" w:color="auto"/>
            <w:left w:val="none" w:sz="0" w:space="0" w:color="auto"/>
            <w:bottom w:val="none" w:sz="0" w:space="0" w:color="auto"/>
            <w:right w:val="none" w:sz="0" w:space="0" w:color="auto"/>
          </w:divBdr>
        </w:div>
        <w:div w:id="182789373">
          <w:marLeft w:val="0"/>
          <w:marRight w:val="0"/>
          <w:marTop w:val="0"/>
          <w:marBottom w:val="101"/>
          <w:divBdr>
            <w:top w:val="none" w:sz="0" w:space="0" w:color="auto"/>
            <w:left w:val="none" w:sz="0" w:space="0" w:color="auto"/>
            <w:bottom w:val="none" w:sz="0" w:space="0" w:color="auto"/>
            <w:right w:val="none" w:sz="0" w:space="0" w:color="auto"/>
          </w:divBdr>
        </w:div>
        <w:div w:id="201135671">
          <w:marLeft w:val="0"/>
          <w:marRight w:val="0"/>
          <w:marTop w:val="0"/>
          <w:marBottom w:val="101"/>
          <w:divBdr>
            <w:top w:val="none" w:sz="0" w:space="0" w:color="auto"/>
            <w:left w:val="none" w:sz="0" w:space="0" w:color="auto"/>
            <w:bottom w:val="none" w:sz="0" w:space="0" w:color="auto"/>
            <w:right w:val="none" w:sz="0" w:space="0" w:color="auto"/>
          </w:divBdr>
        </w:div>
        <w:div w:id="943418846">
          <w:marLeft w:val="0"/>
          <w:marRight w:val="0"/>
          <w:marTop w:val="0"/>
          <w:marBottom w:val="101"/>
          <w:divBdr>
            <w:top w:val="none" w:sz="0" w:space="0" w:color="auto"/>
            <w:left w:val="none" w:sz="0" w:space="0" w:color="auto"/>
            <w:bottom w:val="none" w:sz="0" w:space="0" w:color="auto"/>
            <w:right w:val="none" w:sz="0" w:space="0" w:color="auto"/>
          </w:divBdr>
        </w:div>
        <w:div w:id="275871249">
          <w:marLeft w:val="0"/>
          <w:marRight w:val="0"/>
          <w:marTop w:val="0"/>
          <w:marBottom w:val="101"/>
          <w:divBdr>
            <w:top w:val="none" w:sz="0" w:space="0" w:color="auto"/>
            <w:left w:val="none" w:sz="0" w:space="0" w:color="auto"/>
            <w:bottom w:val="none" w:sz="0" w:space="0" w:color="auto"/>
            <w:right w:val="none" w:sz="0" w:space="0" w:color="auto"/>
          </w:divBdr>
        </w:div>
        <w:div w:id="493187557">
          <w:marLeft w:val="0"/>
          <w:marRight w:val="0"/>
          <w:marTop w:val="0"/>
          <w:marBottom w:val="101"/>
          <w:divBdr>
            <w:top w:val="none" w:sz="0" w:space="0" w:color="auto"/>
            <w:left w:val="none" w:sz="0" w:space="0" w:color="auto"/>
            <w:bottom w:val="none" w:sz="0" w:space="0" w:color="auto"/>
            <w:right w:val="none" w:sz="0" w:space="0" w:color="auto"/>
          </w:divBdr>
        </w:div>
        <w:div w:id="249513238">
          <w:marLeft w:val="0"/>
          <w:marRight w:val="0"/>
          <w:marTop w:val="0"/>
          <w:marBottom w:val="101"/>
          <w:divBdr>
            <w:top w:val="none" w:sz="0" w:space="0" w:color="auto"/>
            <w:left w:val="none" w:sz="0" w:space="0" w:color="auto"/>
            <w:bottom w:val="none" w:sz="0" w:space="0" w:color="auto"/>
            <w:right w:val="none" w:sz="0" w:space="0" w:color="auto"/>
          </w:divBdr>
        </w:div>
        <w:div w:id="2050446770">
          <w:marLeft w:val="0"/>
          <w:marRight w:val="0"/>
          <w:marTop w:val="0"/>
          <w:marBottom w:val="101"/>
          <w:divBdr>
            <w:top w:val="none" w:sz="0" w:space="0" w:color="auto"/>
            <w:left w:val="none" w:sz="0" w:space="0" w:color="auto"/>
            <w:bottom w:val="none" w:sz="0" w:space="0" w:color="auto"/>
            <w:right w:val="none" w:sz="0" w:space="0" w:color="auto"/>
          </w:divBdr>
        </w:div>
        <w:div w:id="1110973369">
          <w:marLeft w:val="0"/>
          <w:marRight w:val="0"/>
          <w:marTop w:val="0"/>
          <w:marBottom w:val="101"/>
          <w:divBdr>
            <w:top w:val="none" w:sz="0" w:space="0" w:color="auto"/>
            <w:left w:val="none" w:sz="0" w:space="0" w:color="auto"/>
            <w:bottom w:val="none" w:sz="0" w:space="0" w:color="auto"/>
            <w:right w:val="none" w:sz="0" w:space="0" w:color="auto"/>
          </w:divBdr>
        </w:div>
        <w:div w:id="137845314">
          <w:marLeft w:val="0"/>
          <w:marRight w:val="0"/>
          <w:marTop w:val="0"/>
          <w:marBottom w:val="101"/>
          <w:divBdr>
            <w:top w:val="none" w:sz="0" w:space="0" w:color="auto"/>
            <w:left w:val="none" w:sz="0" w:space="0" w:color="auto"/>
            <w:bottom w:val="none" w:sz="0" w:space="0" w:color="auto"/>
            <w:right w:val="none" w:sz="0" w:space="0" w:color="auto"/>
          </w:divBdr>
        </w:div>
        <w:div w:id="1172256411">
          <w:marLeft w:val="0"/>
          <w:marRight w:val="0"/>
          <w:marTop w:val="0"/>
          <w:marBottom w:val="101"/>
          <w:divBdr>
            <w:top w:val="none" w:sz="0" w:space="0" w:color="auto"/>
            <w:left w:val="none" w:sz="0" w:space="0" w:color="auto"/>
            <w:bottom w:val="none" w:sz="0" w:space="0" w:color="auto"/>
            <w:right w:val="none" w:sz="0" w:space="0" w:color="auto"/>
          </w:divBdr>
        </w:div>
        <w:div w:id="1956403713">
          <w:marLeft w:val="0"/>
          <w:marRight w:val="0"/>
          <w:marTop w:val="0"/>
          <w:marBottom w:val="101"/>
          <w:divBdr>
            <w:top w:val="none" w:sz="0" w:space="0" w:color="auto"/>
            <w:left w:val="none" w:sz="0" w:space="0" w:color="auto"/>
            <w:bottom w:val="none" w:sz="0" w:space="0" w:color="auto"/>
            <w:right w:val="none" w:sz="0" w:space="0" w:color="auto"/>
          </w:divBdr>
        </w:div>
        <w:div w:id="2047099787">
          <w:marLeft w:val="0"/>
          <w:marRight w:val="0"/>
          <w:marTop w:val="0"/>
          <w:marBottom w:val="101"/>
          <w:divBdr>
            <w:top w:val="none" w:sz="0" w:space="0" w:color="auto"/>
            <w:left w:val="none" w:sz="0" w:space="0" w:color="auto"/>
            <w:bottom w:val="none" w:sz="0" w:space="0" w:color="auto"/>
            <w:right w:val="none" w:sz="0" w:space="0" w:color="auto"/>
          </w:divBdr>
        </w:div>
        <w:div w:id="1141460149">
          <w:marLeft w:val="0"/>
          <w:marRight w:val="0"/>
          <w:marTop w:val="0"/>
          <w:marBottom w:val="101"/>
          <w:divBdr>
            <w:top w:val="none" w:sz="0" w:space="0" w:color="auto"/>
            <w:left w:val="none" w:sz="0" w:space="0" w:color="auto"/>
            <w:bottom w:val="none" w:sz="0" w:space="0" w:color="auto"/>
            <w:right w:val="none" w:sz="0" w:space="0" w:color="auto"/>
          </w:divBdr>
        </w:div>
        <w:div w:id="1643390381">
          <w:marLeft w:val="0"/>
          <w:marRight w:val="0"/>
          <w:marTop w:val="0"/>
          <w:marBottom w:val="101"/>
          <w:divBdr>
            <w:top w:val="none" w:sz="0" w:space="0" w:color="auto"/>
            <w:left w:val="none" w:sz="0" w:space="0" w:color="auto"/>
            <w:bottom w:val="none" w:sz="0" w:space="0" w:color="auto"/>
            <w:right w:val="none" w:sz="0" w:space="0" w:color="auto"/>
          </w:divBdr>
        </w:div>
        <w:div w:id="2110999068">
          <w:marLeft w:val="0"/>
          <w:marRight w:val="0"/>
          <w:marTop w:val="0"/>
          <w:marBottom w:val="101"/>
          <w:divBdr>
            <w:top w:val="none" w:sz="0" w:space="0" w:color="auto"/>
            <w:left w:val="none" w:sz="0" w:space="0" w:color="auto"/>
            <w:bottom w:val="none" w:sz="0" w:space="0" w:color="auto"/>
            <w:right w:val="none" w:sz="0" w:space="0" w:color="auto"/>
          </w:divBdr>
        </w:div>
        <w:div w:id="1023821831">
          <w:marLeft w:val="0"/>
          <w:marRight w:val="0"/>
          <w:marTop w:val="0"/>
          <w:marBottom w:val="101"/>
          <w:divBdr>
            <w:top w:val="none" w:sz="0" w:space="0" w:color="auto"/>
            <w:left w:val="none" w:sz="0" w:space="0" w:color="auto"/>
            <w:bottom w:val="none" w:sz="0" w:space="0" w:color="auto"/>
            <w:right w:val="none" w:sz="0" w:space="0" w:color="auto"/>
          </w:divBdr>
        </w:div>
        <w:div w:id="1226453283">
          <w:marLeft w:val="0"/>
          <w:marRight w:val="0"/>
          <w:marTop w:val="0"/>
          <w:marBottom w:val="101"/>
          <w:divBdr>
            <w:top w:val="none" w:sz="0" w:space="0" w:color="auto"/>
            <w:left w:val="none" w:sz="0" w:space="0" w:color="auto"/>
            <w:bottom w:val="none" w:sz="0" w:space="0" w:color="auto"/>
            <w:right w:val="none" w:sz="0" w:space="0" w:color="auto"/>
          </w:divBdr>
        </w:div>
        <w:div w:id="330986944">
          <w:marLeft w:val="0"/>
          <w:marRight w:val="0"/>
          <w:marTop w:val="0"/>
          <w:marBottom w:val="101"/>
          <w:divBdr>
            <w:top w:val="none" w:sz="0" w:space="0" w:color="auto"/>
            <w:left w:val="none" w:sz="0" w:space="0" w:color="auto"/>
            <w:bottom w:val="none" w:sz="0" w:space="0" w:color="auto"/>
            <w:right w:val="none" w:sz="0" w:space="0" w:color="auto"/>
          </w:divBdr>
        </w:div>
        <w:div w:id="772556557">
          <w:marLeft w:val="0"/>
          <w:marRight w:val="0"/>
          <w:marTop w:val="0"/>
          <w:marBottom w:val="101"/>
          <w:divBdr>
            <w:top w:val="none" w:sz="0" w:space="0" w:color="auto"/>
            <w:left w:val="none" w:sz="0" w:space="0" w:color="auto"/>
            <w:bottom w:val="none" w:sz="0" w:space="0" w:color="auto"/>
            <w:right w:val="none" w:sz="0" w:space="0" w:color="auto"/>
          </w:divBdr>
        </w:div>
        <w:div w:id="1277979055">
          <w:marLeft w:val="0"/>
          <w:marRight w:val="0"/>
          <w:marTop w:val="0"/>
          <w:marBottom w:val="101"/>
          <w:divBdr>
            <w:top w:val="none" w:sz="0" w:space="0" w:color="auto"/>
            <w:left w:val="none" w:sz="0" w:space="0" w:color="auto"/>
            <w:bottom w:val="none" w:sz="0" w:space="0" w:color="auto"/>
            <w:right w:val="none" w:sz="0" w:space="0" w:color="auto"/>
          </w:divBdr>
        </w:div>
        <w:div w:id="37709548">
          <w:marLeft w:val="0"/>
          <w:marRight w:val="0"/>
          <w:marTop w:val="0"/>
          <w:marBottom w:val="101"/>
          <w:divBdr>
            <w:top w:val="none" w:sz="0" w:space="0" w:color="auto"/>
            <w:left w:val="none" w:sz="0" w:space="0" w:color="auto"/>
            <w:bottom w:val="none" w:sz="0" w:space="0" w:color="auto"/>
            <w:right w:val="none" w:sz="0" w:space="0" w:color="auto"/>
          </w:divBdr>
        </w:div>
        <w:div w:id="343675761">
          <w:marLeft w:val="0"/>
          <w:marRight w:val="0"/>
          <w:marTop w:val="0"/>
          <w:marBottom w:val="101"/>
          <w:divBdr>
            <w:top w:val="none" w:sz="0" w:space="0" w:color="auto"/>
            <w:left w:val="none" w:sz="0" w:space="0" w:color="auto"/>
            <w:bottom w:val="none" w:sz="0" w:space="0" w:color="auto"/>
            <w:right w:val="none" w:sz="0" w:space="0" w:color="auto"/>
          </w:divBdr>
        </w:div>
        <w:div w:id="1560902608">
          <w:marLeft w:val="0"/>
          <w:marRight w:val="0"/>
          <w:marTop w:val="0"/>
          <w:marBottom w:val="101"/>
          <w:divBdr>
            <w:top w:val="none" w:sz="0" w:space="0" w:color="auto"/>
            <w:left w:val="none" w:sz="0" w:space="0" w:color="auto"/>
            <w:bottom w:val="none" w:sz="0" w:space="0" w:color="auto"/>
            <w:right w:val="none" w:sz="0" w:space="0" w:color="auto"/>
          </w:divBdr>
        </w:div>
        <w:div w:id="60105570">
          <w:marLeft w:val="0"/>
          <w:marRight w:val="0"/>
          <w:marTop w:val="0"/>
          <w:marBottom w:val="101"/>
          <w:divBdr>
            <w:top w:val="none" w:sz="0" w:space="0" w:color="auto"/>
            <w:left w:val="none" w:sz="0" w:space="0" w:color="auto"/>
            <w:bottom w:val="none" w:sz="0" w:space="0" w:color="auto"/>
            <w:right w:val="none" w:sz="0" w:space="0" w:color="auto"/>
          </w:divBdr>
        </w:div>
        <w:div w:id="37239597">
          <w:marLeft w:val="0"/>
          <w:marRight w:val="0"/>
          <w:marTop w:val="0"/>
          <w:marBottom w:val="101"/>
          <w:divBdr>
            <w:top w:val="none" w:sz="0" w:space="0" w:color="auto"/>
            <w:left w:val="none" w:sz="0" w:space="0" w:color="auto"/>
            <w:bottom w:val="none" w:sz="0" w:space="0" w:color="auto"/>
            <w:right w:val="none" w:sz="0" w:space="0" w:color="auto"/>
          </w:divBdr>
        </w:div>
        <w:div w:id="740326325">
          <w:marLeft w:val="0"/>
          <w:marRight w:val="0"/>
          <w:marTop w:val="0"/>
          <w:marBottom w:val="101"/>
          <w:divBdr>
            <w:top w:val="none" w:sz="0" w:space="0" w:color="auto"/>
            <w:left w:val="none" w:sz="0" w:space="0" w:color="auto"/>
            <w:bottom w:val="none" w:sz="0" w:space="0" w:color="auto"/>
            <w:right w:val="none" w:sz="0" w:space="0" w:color="auto"/>
          </w:divBdr>
        </w:div>
        <w:div w:id="1991403538">
          <w:marLeft w:val="0"/>
          <w:marRight w:val="0"/>
          <w:marTop w:val="0"/>
          <w:marBottom w:val="101"/>
          <w:divBdr>
            <w:top w:val="none" w:sz="0" w:space="0" w:color="auto"/>
            <w:left w:val="none" w:sz="0" w:space="0" w:color="auto"/>
            <w:bottom w:val="none" w:sz="0" w:space="0" w:color="auto"/>
            <w:right w:val="none" w:sz="0" w:space="0" w:color="auto"/>
          </w:divBdr>
        </w:div>
        <w:div w:id="261306375">
          <w:marLeft w:val="0"/>
          <w:marRight w:val="0"/>
          <w:marTop w:val="0"/>
          <w:marBottom w:val="101"/>
          <w:divBdr>
            <w:top w:val="none" w:sz="0" w:space="0" w:color="auto"/>
            <w:left w:val="none" w:sz="0" w:space="0" w:color="auto"/>
            <w:bottom w:val="none" w:sz="0" w:space="0" w:color="auto"/>
            <w:right w:val="none" w:sz="0" w:space="0" w:color="auto"/>
          </w:divBdr>
        </w:div>
        <w:div w:id="51195954">
          <w:marLeft w:val="0"/>
          <w:marRight w:val="0"/>
          <w:marTop w:val="0"/>
          <w:marBottom w:val="101"/>
          <w:divBdr>
            <w:top w:val="none" w:sz="0" w:space="0" w:color="auto"/>
            <w:left w:val="none" w:sz="0" w:space="0" w:color="auto"/>
            <w:bottom w:val="none" w:sz="0" w:space="0" w:color="auto"/>
            <w:right w:val="none" w:sz="0" w:space="0" w:color="auto"/>
          </w:divBdr>
        </w:div>
        <w:div w:id="375394915">
          <w:marLeft w:val="0"/>
          <w:marRight w:val="0"/>
          <w:marTop w:val="0"/>
          <w:marBottom w:val="101"/>
          <w:divBdr>
            <w:top w:val="none" w:sz="0" w:space="0" w:color="auto"/>
            <w:left w:val="none" w:sz="0" w:space="0" w:color="auto"/>
            <w:bottom w:val="none" w:sz="0" w:space="0" w:color="auto"/>
            <w:right w:val="none" w:sz="0" w:space="0" w:color="auto"/>
          </w:divBdr>
        </w:div>
        <w:div w:id="1622374212">
          <w:marLeft w:val="0"/>
          <w:marRight w:val="0"/>
          <w:marTop w:val="0"/>
          <w:marBottom w:val="101"/>
          <w:divBdr>
            <w:top w:val="none" w:sz="0" w:space="0" w:color="auto"/>
            <w:left w:val="none" w:sz="0" w:space="0" w:color="auto"/>
            <w:bottom w:val="none" w:sz="0" w:space="0" w:color="auto"/>
            <w:right w:val="none" w:sz="0" w:space="0" w:color="auto"/>
          </w:divBdr>
        </w:div>
        <w:div w:id="219638323">
          <w:marLeft w:val="0"/>
          <w:marRight w:val="0"/>
          <w:marTop w:val="0"/>
          <w:marBottom w:val="101"/>
          <w:divBdr>
            <w:top w:val="none" w:sz="0" w:space="0" w:color="auto"/>
            <w:left w:val="none" w:sz="0" w:space="0" w:color="auto"/>
            <w:bottom w:val="none" w:sz="0" w:space="0" w:color="auto"/>
            <w:right w:val="none" w:sz="0" w:space="0" w:color="auto"/>
          </w:divBdr>
        </w:div>
        <w:div w:id="1462921168">
          <w:marLeft w:val="0"/>
          <w:marRight w:val="0"/>
          <w:marTop w:val="0"/>
          <w:marBottom w:val="101"/>
          <w:divBdr>
            <w:top w:val="none" w:sz="0" w:space="0" w:color="auto"/>
            <w:left w:val="none" w:sz="0" w:space="0" w:color="auto"/>
            <w:bottom w:val="none" w:sz="0" w:space="0" w:color="auto"/>
            <w:right w:val="none" w:sz="0" w:space="0" w:color="auto"/>
          </w:divBdr>
        </w:div>
        <w:div w:id="998582304">
          <w:marLeft w:val="0"/>
          <w:marRight w:val="0"/>
          <w:marTop w:val="0"/>
          <w:marBottom w:val="101"/>
          <w:divBdr>
            <w:top w:val="none" w:sz="0" w:space="0" w:color="auto"/>
            <w:left w:val="none" w:sz="0" w:space="0" w:color="auto"/>
            <w:bottom w:val="none" w:sz="0" w:space="0" w:color="auto"/>
            <w:right w:val="none" w:sz="0" w:space="0" w:color="auto"/>
          </w:divBdr>
        </w:div>
        <w:div w:id="1673414633">
          <w:marLeft w:val="0"/>
          <w:marRight w:val="0"/>
          <w:marTop w:val="0"/>
          <w:marBottom w:val="101"/>
          <w:divBdr>
            <w:top w:val="none" w:sz="0" w:space="0" w:color="auto"/>
            <w:left w:val="none" w:sz="0" w:space="0" w:color="auto"/>
            <w:bottom w:val="none" w:sz="0" w:space="0" w:color="auto"/>
            <w:right w:val="none" w:sz="0" w:space="0" w:color="auto"/>
          </w:divBdr>
        </w:div>
        <w:div w:id="1393503208">
          <w:marLeft w:val="0"/>
          <w:marRight w:val="0"/>
          <w:marTop w:val="0"/>
          <w:marBottom w:val="101"/>
          <w:divBdr>
            <w:top w:val="none" w:sz="0" w:space="0" w:color="auto"/>
            <w:left w:val="none" w:sz="0" w:space="0" w:color="auto"/>
            <w:bottom w:val="none" w:sz="0" w:space="0" w:color="auto"/>
            <w:right w:val="none" w:sz="0" w:space="0" w:color="auto"/>
          </w:divBdr>
        </w:div>
        <w:div w:id="1702974394">
          <w:marLeft w:val="0"/>
          <w:marRight w:val="0"/>
          <w:marTop w:val="0"/>
          <w:marBottom w:val="101"/>
          <w:divBdr>
            <w:top w:val="none" w:sz="0" w:space="0" w:color="auto"/>
            <w:left w:val="none" w:sz="0" w:space="0" w:color="auto"/>
            <w:bottom w:val="none" w:sz="0" w:space="0" w:color="auto"/>
            <w:right w:val="none" w:sz="0" w:space="0" w:color="auto"/>
          </w:divBdr>
        </w:div>
        <w:div w:id="807284457">
          <w:marLeft w:val="0"/>
          <w:marRight w:val="0"/>
          <w:marTop w:val="0"/>
          <w:marBottom w:val="101"/>
          <w:divBdr>
            <w:top w:val="none" w:sz="0" w:space="0" w:color="auto"/>
            <w:left w:val="none" w:sz="0" w:space="0" w:color="auto"/>
            <w:bottom w:val="none" w:sz="0" w:space="0" w:color="auto"/>
            <w:right w:val="none" w:sz="0" w:space="0" w:color="auto"/>
          </w:divBdr>
        </w:div>
        <w:div w:id="961036714">
          <w:marLeft w:val="0"/>
          <w:marRight w:val="0"/>
          <w:marTop w:val="0"/>
          <w:marBottom w:val="101"/>
          <w:divBdr>
            <w:top w:val="none" w:sz="0" w:space="0" w:color="auto"/>
            <w:left w:val="none" w:sz="0" w:space="0" w:color="auto"/>
            <w:bottom w:val="none" w:sz="0" w:space="0" w:color="auto"/>
            <w:right w:val="none" w:sz="0" w:space="0" w:color="auto"/>
          </w:divBdr>
        </w:div>
        <w:div w:id="1001855133">
          <w:marLeft w:val="0"/>
          <w:marRight w:val="0"/>
          <w:marTop w:val="0"/>
          <w:marBottom w:val="101"/>
          <w:divBdr>
            <w:top w:val="none" w:sz="0" w:space="0" w:color="auto"/>
            <w:left w:val="none" w:sz="0" w:space="0" w:color="auto"/>
            <w:bottom w:val="none" w:sz="0" w:space="0" w:color="auto"/>
            <w:right w:val="none" w:sz="0" w:space="0" w:color="auto"/>
          </w:divBdr>
        </w:div>
        <w:div w:id="1241327566">
          <w:marLeft w:val="0"/>
          <w:marRight w:val="0"/>
          <w:marTop w:val="0"/>
          <w:marBottom w:val="101"/>
          <w:divBdr>
            <w:top w:val="none" w:sz="0" w:space="0" w:color="auto"/>
            <w:left w:val="none" w:sz="0" w:space="0" w:color="auto"/>
            <w:bottom w:val="none" w:sz="0" w:space="0" w:color="auto"/>
            <w:right w:val="none" w:sz="0" w:space="0" w:color="auto"/>
          </w:divBdr>
        </w:div>
        <w:div w:id="278993831">
          <w:marLeft w:val="0"/>
          <w:marRight w:val="0"/>
          <w:marTop w:val="0"/>
          <w:marBottom w:val="101"/>
          <w:divBdr>
            <w:top w:val="none" w:sz="0" w:space="0" w:color="auto"/>
            <w:left w:val="none" w:sz="0" w:space="0" w:color="auto"/>
            <w:bottom w:val="none" w:sz="0" w:space="0" w:color="auto"/>
            <w:right w:val="none" w:sz="0" w:space="0" w:color="auto"/>
          </w:divBdr>
        </w:div>
        <w:div w:id="1906910528">
          <w:marLeft w:val="0"/>
          <w:marRight w:val="0"/>
          <w:marTop w:val="0"/>
          <w:marBottom w:val="101"/>
          <w:divBdr>
            <w:top w:val="none" w:sz="0" w:space="0" w:color="auto"/>
            <w:left w:val="none" w:sz="0" w:space="0" w:color="auto"/>
            <w:bottom w:val="none" w:sz="0" w:space="0" w:color="auto"/>
            <w:right w:val="none" w:sz="0" w:space="0" w:color="auto"/>
          </w:divBdr>
        </w:div>
        <w:div w:id="361978771">
          <w:marLeft w:val="0"/>
          <w:marRight w:val="0"/>
          <w:marTop w:val="0"/>
          <w:marBottom w:val="101"/>
          <w:divBdr>
            <w:top w:val="none" w:sz="0" w:space="0" w:color="auto"/>
            <w:left w:val="none" w:sz="0" w:space="0" w:color="auto"/>
            <w:bottom w:val="none" w:sz="0" w:space="0" w:color="auto"/>
            <w:right w:val="none" w:sz="0" w:space="0" w:color="auto"/>
          </w:divBdr>
        </w:div>
        <w:div w:id="942349040">
          <w:marLeft w:val="0"/>
          <w:marRight w:val="0"/>
          <w:marTop w:val="0"/>
          <w:marBottom w:val="101"/>
          <w:divBdr>
            <w:top w:val="none" w:sz="0" w:space="0" w:color="auto"/>
            <w:left w:val="none" w:sz="0" w:space="0" w:color="auto"/>
            <w:bottom w:val="none" w:sz="0" w:space="0" w:color="auto"/>
            <w:right w:val="none" w:sz="0" w:space="0" w:color="auto"/>
          </w:divBdr>
        </w:div>
        <w:div w:id="1978728506">
          <w:marLeft w:val="0"/>
          <w:marRight w:val="0"/>
          <w:marTop w:val="0"/>
          <w:marBottom w:val="101"/>
          <w:divBdr>
            <w:top w:val="none" w:sz="0" w:space="0" w:color="auto"/>
            <w:left w:val="none" w:sz="0" w:space="0" w:color="auto"/>
            <w:bottom w:val="none" w:sz="0" w:space="0" w:color="auto"/>
            <w:right w:val="none" w:sz="0" w:space="0" w:color="auto"/>
          </w:divBdr>
        </w:div>
        <w:div w:id="1148089546">
          <w:marLeft w:val="720"/>
          <w:marRight w:val="0"/>
          <w:marTop w:val="0"/>
          <w:marBottom w:val="101"/>
          <w:divBdr>
            <w:top w:val="none" w:sz="0" w:space="0" w:color="auto"/>
            <w:left w:val="none" w:sz="0" w:space="0" w:color="auto"/>
            <w:bottom w:val="none" w:sz="0" w:space="0" w:color="auto"/>
            <w:right w:val="none" w:sz="0" w:space="0" w:color="auto"/>
          </w:divBdr>
        </w:div>
        <w:div w:id="214702189">
          <w:marLeft w:val="0"/>
          <w:marRight w:val="0"/>
          <w:marTop w:val="101"/>
          <w:marBottom w:val="101"/>
          <w:divBdr>
            <w:top w:val="none" w:sz="0" w:space="0" w:color="auto"/>
            <w:left w:val="none" w:sz="0" w:space="0" w:color="auto"/>
            <w:bottom w:val="none" w:sz="0" w:space="0" w:color="auto"/>
            <w:right w:val="none" w:sz="0" w:space="0" w:color="auto"/>
          </w:divBdr>
        </w:div>
        <w:div w:id="244612933">
          <w:marLeft w:val="0"/>
          <w:marRight w:val="0"/>
          <w:marTop w:val="0"/>
          <w:marBottom w:val="101"/>
          <w:divBdr>
            <w:top w:val="none" w:sz="0" w:space="0" w:color="auto"/>
            <w:left w:val="none" w:sz="0" w:space="0" w:color="auto"/>
            <w:bottom w:val="none" w:sz="0" w:space="0" w:color="auto"/>
            <w:right w:val="none" w:sz="0" w:space="0" w:color="auto"/>
          </w:divBdr>
        </w:div>
        <w:div w:id="560555780">
          <w:marLeft w:val="0"/>
          <w:marRight w:val="0"/>
          <w:marTop w:val="0"/>
          <w:marBottom w:val="101"/>
          <w:divBdr>
            <w:top w:val="none" w:sz="0" w:space="0" w:color="auto"/>
            <w:left w:val="none" w:sz="0" w:space="0" w:color="auto"/>
            <w:bottom w:val="none" w:sz="0" w:space="0" w:color="auto"/>
            <w:right w:val="none" w:sz="0" w:space="0" w:color="auto"/>
          </w:divBdr>
        </w:div>
        <w:div w:id="968975830">
          <w:marLeft w:val="0"/>
          <w:marRight w:val="0"/>
          <w:marTop w:val="0"/>
          <w:marBottom w:val="101"/>
          <w:divBdr>
            <w:top w:val="none" w:sz="0" w:space="0" w:color="auto"/>
            <w:left w:val="none" w:sz="0" w:space="0" w:color="auto"/>
            <w:bottom w:val="none" w:sz="0" w:space="0" w:color="auto"/>
            <w:right w:val="none" w:sz="0" w:space="0" w:color="auto"/>
          </w:divBdr>
        </w:div>
        <w:div w:id="1685789899">
          <w:marLeft w:val="0"/>
          <w:marRight w:val="0"/>
          <w:marTop w:val="0"/>
          <w:marBottom w:val="101"/>
          <w:divBdr>
            <w:top w:val="none" w:sz="0" w:space="0" w:color="auto"/>
            <w:left w:val="none" w:sz="0" w:space="0" w:color="auto"/>
            <w:bottom w:val="none" w:sz="0" w:space="0" w:color="auto"/>
            <w:right w:val="none" w:sz="0" w:space="0" w:color="auto"/>
          </w:divBdr>
        </w:div>
        <w:div w:id="689264597">
          <w:marLeft w:val="0"/>
          <w:marRight w:val="0"/>
          <w:marTop w:val="0"/>
          <w:marBottom w:val="101"/>
          <w:divBdr>
            <w:top w:val="none" w:sz="0" w:space="0" w:color="auto"/>
            <w:left w:val="none" w:sz="0" w:space="0" w:color="auto"/>
            <w:bottom w:val="none" w:sz="0" w:space="0" w:color="auto"/>
            <w:right w:val="none" w:sz="0" w:space="0" w:color="auto"/>
          </w:divBdr>
        </w:div>
        <w:div w:id="903032851">
          <w:marLeft w:val="0"/>
          <w:marRight w:val="0"/>
          <w:marTop w:val="0"/>
          <w:marBottom w:val="101"/>
          <w:divBdr>
            <w:top w:val="none" w:sz="0" w:space="0" w:color="auto"/>
            <w:left w:val="none" w:sz="0" w:space="0" w:color="auto"/>
            <w:bottom w:val="none" w:sz="0" w:space="0" w:color="auto"/>
            <w:right w:val="none" w:sz="0" w:space="0" w:color="auto"/>
          </w:divBdr>
        </w:div>
        <w:div w:id="1783112402">
          <w:marLeft w:val="0"/>
          <w:marRight w:val="0"/>
          <w:marTop w:val="0"/>
          <w:marBottom w:val="101"/>
          <w:divBdr>
            <w:top w:val="none" w:sz="0" w:space="0" w:color="auto"/>
            <w:left w:val="none" w:sz="0" w:space="0" w:color="auto"/>
            <w:bottom w:val="none" w:sz="0" w:space="0" w:color="auto"/>
            <w:right w:val="none" w:sz="0" w:space="0" w:color="auto"/>
          </w:divBdr>
        </w:div>
        <w:div w:id="1797914783">
          <w:marLeft w:val="0"/>
          <w:marRight w:val="0"/>
          <w:marTop w:val="0"/>
          <w:marBottom w:val="101"/>
          <w:divBdr>
            <w:top w:val="none" w:sz="0" w:space="0" w:color="auto"/>
            <w:left w:val="none" w:sz="0" w:space="0" w:color="auto"/>
            <w:bottom w:val="none" w:sz="0" w:space="0" w:color="auto"/>
            <w:right w:val="none" w:sz="0" w:space="0" w:color="auto"/>
          </w:divBdr>
        </w:div>
        <w:div w:id="1343438040">
          <w:marLeft w:val="0"/>
          <w:marRight w:val="0"/>
          <w:marTop w:val="0"/>
          <w:marBottom w:val="101"/>
          <w:divBdr>
            <w:top w:val="none" w:sz="0" w:space="0" w:color="auto"/>
            <w:left w:val="none" w:sz="0" w:space="0" w:color="auto"/>
            <w:bottom w:val="none" w:sz="0" w:space="0" w:color="auto"/>
            <w:right w:val="none" w:sz="0" w:space="0" w:color="auto"/>
          </w:divBdr>
        </w:div>
        <w:div w:id="1430462572">
          <w:marLeft w:val="0"/>
          <w:marRight w:val="0"/>
          <w:marTop w:val="0"/>
          <w:marBottom w:val="101"/>
          <w:divBdr>
            <w:top w:val="none" w:sz="0" w:space="0" w:color="auto"/>
            <w:left w:val="none" w:sz="0" w:space="0" w:color="auto"/>
            <w:bottom w:val="none" w:sz="0" w:space="0" w:color="auto"/>
            <w:right w:val="none" w:sz="0" w:space="0" w:color="auto"/>
          </w:divBdr>
        </w:div>
        <w:div w:id="1657995372">
          <w:marLeft w:val="0"/>
          <w:marRight w:val="0"/>
          <w:marTop w:val="0"/>
          <w:marBottom w:val="101"/>
          <w:divBdr>
            <w:top w:val="none" w:sz="0" w:space="0" w:color="auto"/>
            <w:left w:val="none" w:sz="0" w:space="0" w:color="auto"/>
            <w:bottom w:val="none" w:sz="0" w:space="0" w:color="auto"/>
            <w:right w:val="none" w:sz="0" w:space="0" w:color="auto"/>
          </w:divBdr>
        </w:div>
        <w:div w:id="684480677">
          <w:marLeft w:val="0"/>
          <w:marRight w:val="0"/>
          <w:marTop w:val="0"/>
          <w:marBottom w:val="101"/>
          <w:divBdr>
            <w:top w:val="none" w:sz="0" w:space="0" w:color="auto"/>
            <w:left w:val="none" w:sz="0" w:space="0" w:color="auto"/>
            <w:bottom w:val="none" w:sz="0" w:space="0" w:color="auto"/>
            <w:right w:val="none" w:sz="0" w:space="0" w:color="auto"/>
          </w:divBdr>
        </w:div>
        <w:div w:id="1677269364">
          <w:marLeft w:val="720"/>
          <w:marRight w:val="0"/>
          <w:marTop w:val="0"/>
          <w:marBottom w:val="101"/>
          <w:divBdr>
            <w:top w:val="none" w:sz="0" w:space="0" w:color="auto"/>
            <w:left w:val="none" w:sz="0" w:space="0" w:color="auto"/>
            <w:bottom w:val="none" w:sz="0" w:space="0" w:color="auto"/>
            <w:right w:val="none" w:sz="0" w:space="0" w:color="auto"/>
          </w:divBdr>
        </w:div>
        <w:div w:id="175073397">
          <w:marLeft w:val="0"/>
          <w:marRight w:val="0"/>
          <w:marTop w:val="0"/>
          <w:marBottom w:val="101"/>
          <w:divBdr>
            <w:top w:val="none" w:sz="0" w:space="0" w:color="auto"/>
            <w:left w:val="none" w:sz="0" w:space="0" w:color="auto"/>
            <w:bottom w:val="none" w:sz="0" w:space="0" w:color="auto"/>
            <w:right w:val="none" w:sz="0" w:space="0" w:color="auto"/>
          </w:divBdr>
        </w:div>
        <w:div w:id="1985230946">
          <w:marLeft w:val="720"/>
          <w:marRight w:val="0"/>
          <w:marTop w:val="0"/>
          <w:marBottom w:val="101"/>
          <w:divBdr>
            <w:top w:val="none" w:sz="0" w:space="0" w:color="auto"/>
            <w:left w:val="none" w:sz="0" w:space="0" w:color="auto"/>
            <w:bottom w:val="none" w:sz="0" w:space="0" w:color="auto"/>
            <w:right w:val="none" w:sz="0" w:space="0" w:color="auto"/>
          </w:divBdr>
        </w:div>
        <w:div w:id="247689697">
          <w:marLeft w:val="720"/>
          <w:marRight w:val="0"/>
          <w:marTop w:val="0"/>
          <w:marBottom w:val="101"/>
          <w:divBdr>
            <w:top w:val="none" w:sz="0" w:space="0" w:color="auto"/>
            <w:left w:val="none" w:sz="0" w:space="0" w:color="auto"/>
            <w:bottom w:val="none" w:sz="0" w:space="0" w:color="auto"/>
            <w:right w:val="none" w:sz="0" w:space="0" w:color="auto"/>
          </w:divBdr>
        </w:div>
        <w:div w:id="1942715126">
          <w:marLeft w:val="720"/>
          <w:marRight w:val="0"/>
          <w:marTop w:val="0"/>
          <w:marBottom w:val="101"/>
          <w:divBdr>
            <w:top w:val="none" w:sz="0" w:space="0" w:color="auto"/>
            <w:left w:val="none" w:sz="0" w:space="0" w:color="auto"/>
            <w:bottom w:val="none" w:sz="0" w:space="0" w:color="auto"/>
            <w:right w:val="none" w:sz="0" w:space="0" w:color="auto"/>
          </w:divBdr>
        </w:div>
        <w:div w:id="1254363535">
          <w:marLeft w:val="720"/>
          <w:marRight w:val="0"/>
          <w:marTop w:val="0"/>
          <w:marBottom w:val="101"/>
          <w:divBdr>
            <w:top w:val="none" w:sz="0" w:space="0" w:color="auto"/>
            <w:left w:val="none" w:sz="0" w:space="0" w:color="auto"/>
            <w:bottom w:val="none" w:sz="0" w:space="0" w:color="auto"/>
            <w:right w:val="none" w:sz="0" w:space="0" w:color="auto"/>
          </w:divBdr>
        </w:div>
        <w:div w:id="810289415">
          <w:marLeft w:val="0"/>
          <w:marRight w:val="0"/>
          <w:marTop w:val="0"/>
          <w:marBottom w:val="101"/>
          <w:divBdr>
            <w:top w:val="none" w:sz="0" w:space="0" w:color="auto"/>
            <w:left w:val="none" w:sz="0" w:space="0" w:color="auto"/>
            <w:bottom w:val="none" w:sz="0" w:space="0" w:color="auto"/>
            <w:right w:val="none" w:sz="0" w:space="0" w:color="auto"/>
          </w:divBdr>
        </w:div>
        <w:div w:id="1664042518">
          <w:marLeft w:val="0"/>
          <w:marRight w:val="0"/>
          <w:marTop w:val="101"/>
          <w:marBottom w:val="101"/>
          <w:divBdr>
            <w:top w:val="none" w:sz="0" w:space="0" w:color="auto"/>
            <w:left w:val="none" w:sz="0" w:space="0" w:color="auto"/>
            <w:bottom w:val="none" w:sz="0" w:space="0" w:color="auto"/>
            <w:right w:val="none" w:sz="0" w:space="0" w:color="auto"/>
          </w:divBdr>
        </w:div>
        <w:div w:id="1309438657">
          <w:marLeft w:val="0"/>
          <w:marRight w:val="0"/>
          <w:marTop w:val="0"/>
          <w:marBottom w:val="101"/>
          <w:divBdr>
            <w:top w:val="none" w:sz="0" w:space="0" w:color="auto"/>
            <w:left w:val="none" w:sz="0" w:space="0" w:color="auto"/>
            <w:bottom w:val="none" w:sz="0" w:space="0" w:color="auto"/>
            <w:right w:val="none" w:sz="0" w:space="0" w:color="auto"/>
          </w:divBdr>
        </w:div>
        <w:div w:id="2120835889">
          <w:marLeft w:val="0"/>
          <w:marRight w:val="0"/>
          <w:marTop w:val="0"/>
          <w:marBottom w:val="101"/>
          <w:divBdr>
            <w:top w:val="none" w:sz="0" w:space="0" w:color="auto"/>
            <w:left w:val="none" w:sz="0" w:space="0" w:color="auto"/>
            <w:bottom w:val="none" w:sz="0" w:space="0" w:color="auto"/>
            <w:right w:val="none" w:sz="0" w:space="0" w:color="auto"/>
          </w:divBdr>
        </w:div>
        <w:div w:id="1929731809">
          <w:marLeft w:val="0"/>
          <w:marRight w:val="0"/>
          <w:marTop w:val="0"/>
          <w:marBottom w:val="101"/>
          <w:divBdr>
            <w:top w:val="none" w:sz="0" w:space="0" w:color="auto"/>
            <w:left w:val="none" w:sz="0" w:space="0" w:color="auto"/>
            <w:bottom w:val="none" w:sz="0" w:space="0" w:color="auto"/>
            <w:right w:val="none" w:sz="0" w:space="0" w:color="auto"/>
          </w:divBdr>
        </w:div>
        <w:div w:id="1998722166">
          <w:marLeft w:val="0"/>
          <w:marRight w:val="0"/>
          <w:marTop w:val="0"/>
          <w:marBottom w:val="101"/>
          <w:divBdr>
            <w:top w:val="none" w:sz="0" w:space="0" w:color="auto"/>
            <w:left w:val="none" w:sz="0" w:space="0" w:color="auto"/>
            <w:bottom w:val="none" w:sz="0" w:space="0" w:color="auto"/>
            <w:right w:val="none" w:sz="0" w:space="0" w:color="auto"/>
          </w:divBdr>
        </w:div>
        <w:div w:id="1880630600">
          <w:marLeft w:val="0"/>
          <w:marRight w:val="0"/>
          <w:marTop w:val="0"/>
          <w:marBottom w:val="101"/>
          <w:divBdr>
            <w:top w:val="none" w:sz="0" w:space="0" w:color="auto"/>
            <w:left w:val="none" w:sz="0" w:space="0" w:color="auto"/>
            <w:bottom w:val="none" w:sz="0" w:space="0" w:color="auto"/>
            <w:right w:val="none" w:sz="0" w:space="0" w:color="auto"/>
          </w:divBdr>
        </w:div>
        <w:div w:id="1214390378">
          <w:marLeft w:val="0"/>
          <w:marRight w:val="0"/>
          <w:marTop w:val="0"/>
          <w:marBottom w:val="101"/>
          <w:divBdr>
            <w:top w:val="none" w:sz="0" w:space="0" w:color="auto"/>
            <w:left w:val="none" w:sz="0" w:space="0" w:color="auto"/>
            <w:bottom w:val="none" w:sz="0" w:space="0" w:color="auto"/>
            <w:right w:val="none" w:sz="0" w:space="0" w:color="auto"/>
          </w:divBdr>
        </w:div>
        <w:div w:id="78528971">
          <w:marLeft w:val="0"/>
          <w:marRight w:val="0"/>
          <w:marTop w:val="0"/>
          <w:marBottom w:val="101"/>
          <w:divBdr>
            <w:top w:val="none" w:sz="0" w:space="0" w:color="auto"/>
            <w:left w:val="none" w:sz="0" w:space="0" w:color="auto"/>
            <w:bottom w:val="none" w:sz="0" w:space="0" w:color="auto"/>
            <w:right w:val="none" w:sz="0" w:space="0" w:color="auto"/>
          </w:divBdr>
        </w:div>
        <w:div w:id="799032282">
          <w:marLeft w:val="0"/>
          <w:marRight w:val="0"/>
          <w:marTop w:val="0"/>
          <w:marBottom w:val="101"/>
          <w:divBdr>
            <w:top w:val="none" w:sz="0" w:space="0" w:color="auto"/>
            <w:left w:val="none" w:sz="0" w:space="0" w:color="auto"/>
            <w:bottom w:val="none" w:sz="0" w:space="0" w:color="auto"/>
            <w:right w:val="none" w:sz="0" w:space="0" w:color="auto"/>
          </w:divBdr>
        </w:div>
        <w:div w:id="525364497">
          <w:marLeft w:val="0"/>
          <w:marRight w:val="0"/>
          <w:marTop w:val="0"/>
          <w:marBottom w:val="101"/>
          <w:divBdr>
            <w:top w:val="none" w:sz="0" w:space="0" w:color="auto"/>
            <w:left w:val="none" w:sz="0" w:space="0" w:color="auto"/>
            <w:bottom w:val="none" w:sz="0" w:space="0" w:color="auto"/>
            <w:right w:val="none" w:sz="0" w:space="0" w:color="auto"/>
          </w:divBdr>
        </w:div>
        <w:div w:id="1401563031">
          <w:marLeft w:val="0"/>
          <w:marRight w:val="0"/>
          <w:marTop w:val="0"/>
          <w:marBottom w:val="101"/>
          <w:divBdr>
            <w:top w:val="none" w:sz="0" w:space="0" w:color="auto"/>
            <w:left w:val="none" w:sz="0" w:space="0" w:color="auto"/>
            <w:bottom w:val="none" w:sz="0" w:space="0" w:color="auto"/>
            <w:right w:val="none" w:sz="0" w:space="0" w:color="auto"/>
          </w:divBdr>
        </w:div>
        <w:div w:id="1919172078">
          <w:marLeft w:val="0"/>
          <w:marRight w:val="0"/>
          <w:marTop w:val="0"/>
          <w:marBottom w:val="101"/>
          <w:divBdr>
            <w:top w:val="none" w:sz="0" w:space="0" w:color="auto"/>
            <w:left w:val="none" w:sz="0" w:space="0" w:color="auto"/>
            <w:bottom w:val="none" w:sz="0" w:space="0" w:color="auto"/>
            <w:right w:val="none" w:sz="0" w:space="0" w:color="auto"/>
          </w:divBdr>
        </w:div>
        <w:div w:id="1910266823">
          <w:marLeft w:val="0"/>
          <w:marRight w:val="0"/>
          <w:marTop w:val="101"/>
          <w:marBottom w:val="101"/>
          <w:divBdr>
            <w:top w:val="none" w:sz="0" w:space="0" w:color="auto"/>
            <w:left w:val="none" w:sz="0" w:space="0" w:color="auto"/>
            <w:bottom w:val="none" w:sz="0" w:space="0" w:color="auto"/>
            <w:right w:val="none" w:sz="0" w:space="0" w:color="auto"/>
          </w:divBdr>
        </w:div>
        <w:div w:id="2082365404">
          <w:marLeft w:val="0"/>
          <w:marRight w:val="0"/>
          <w:marTop w:val="0"/>
          <w:marBottom w:val="101"/>
          <w:divBdr>
            <w:top w:val="none" w:sz="0" w:space="0" w:color="auto"/>
            <w:left w:val="none" w:sz="0" w:space="0" w:color="auto"/>
            <w:bottom w:val="none" w:sz="0" w:space="0" w:color="auto"/>
            <w:right w:val="none" w:sz="0" w:space="0" w:color="auto"/>
          </w:divBdr>
        </w:div>
        <w:div w:id="442699644">
          <w:marLeft w:val="0"/>
          <w:marRight w:val="0"/>
          <w:marTop w:val="0"/>
          <w:marBottom w:val="101"/>
          <w:divBdr>
            <w:top w:val="none" w:sz="0" w:space="0" w:color="auto"/>
            <w:left w:val="none" w:sz="0" w:space="0" w:color="auto"/>
            <w:bottom w:val="none" w:sz="0" w:space="0" w:color="auto"/>
            <w:right w:val="none" w:sz="0" w:space="0" w:color="auto"/>
          </w:divBdr>
        </w:div>
        <w:div w:id="419909184">
          <w:marLeft w:val="0"/>
          <w:marRight w:val="0"/>
          <w:marTop w:val="0"/>
          <w:marBottom w:val="101"/>
          <w:divBdr>
            <w:top w:val="none" w:sz="0" w:space="0" w:color="auto"/>
            <w:left w:val="none" w:sz="0" w:space="0" w:color="auto"/>
            <w:bottom w:val="none" w:sz="0" w:space="0" w:color="auto"/>
            <w:right w:val="none" w:sz="0" w:space="0" w:color="auto"/>
          </w:divBdr>
        </w:div>
        <w:div w:id="2083600816">
          <w:marLeft w:val="0"/>
          <w:marRight w:val="0"/>
          <w:marTop w:val="0"/>
          <w:marBottom w:val="101"/>
          <w:divBdr>
            <w:top w:val="none" w:sz="0" w:space="0" w:color="auto"/>
            <w:left w:val="none" w:sz="0" w:space="0" w:color="auto"/>
            <w:bottom w:val="none" w:sz="0" w:space="0" w:color="auto"/>
            <w:right w:val="none" w:sz="0" w:space="0" w:color="auto"/>
          </w:divBdr>
        </w:div>
        <w:div w:id="516314645">
          <w:marLeft w:val="0"/>
          <w:marRight w:val="0"/>
          <w:marTop w:val="0"/>
          <w:marBottom w:val="101"/>
          <w:divBdr>
            <w:top w:val="none" w:sz="0" w:space="0" w:color="auto"/>
            <w:left w:val="none" w:sz="0" w:space="0" w:color="auto"/>
            <w:bottom w:val="none" w:sz="0" w:space="0" w:color="auto"/>
            <w:right w:val="none" w:sz="0" w:space="0" w:color="auto"/>
          </w:divBdr>
        </w:div>
        <w:div w:id="1948344963">
          <w:marLeft w:val="0"/>
          <w:marRight w:val="0"/>
          <w:marTop w:val="0"/>
          <w:marBottom w:val="101"/>
          <w:divBdr>
            <w:top w:val="none" w:sz="0" w:space="0" w:color="auto"/>
            <w:left w:val="none" w:sz="0" w:space="0" w:color="auto"/>
            <w:bottom w:val="none" w:sz="0" w:space="0" w:color="auto"/>
            <w:right w:val="none" w:sz="0" w:space="0" w:color="auto"/>
          </w:divBdr>
        </w:div>
        <w:div w:id="1807703750">
          <w:marLeft w:val="0"/>
          <w:marRight w:val="0"/>
          <w:marTop w:val="0"/>
          <w:marBottom w:val="101"/>
          <w:divBdr>
            <w:top w:val="none" w:sz="0" w:space="0" w:color="auto"/>
            <w:left w:val="none" w:sz="0" w:space="0" w:color="auto"/>
            <w:bottom w:val="none" w:sz="0" w:space="0" w:color="auto"/>
            <w:right w:val="none" w:sz="0" w:space="0" w:color="auto"/>
          </w:divBdr>
        </w:div>
        <w:div w:id="1790196195">
          <w:marLeft w:val="0"/>
          <w:marRight w:val="0"/>
          <w:marTop w:val="0"/>
          <w:marBottom w:val="101"/>
          <w:divBdr>
            <w:top w:val="none" w:sz="0" w:space="0" w:color="auto"/>
            <w:left w:val="none" w:sz="0" w:space="0" w:color="auto"/>
            <w:bottom w:val="none" w:sz="0" w:space="0" w:color="auto"/>
            <w:right w:val="none" w:sz="0" w:space="0" w:color="auto"/>
          </w:divBdr>
        </w:div>
        <w:div w:id="1272056286">
          <w:marLeft w:val="720"/>
          <w:marRight w:val="0"/>
          <w:marTop w:val="0"/>
          <w:marBottom w:val="101"/>
          <w:divBdr>
            <w:top w:val="none" w:sz="0" w:space="0" w:color="auto"/>
            <w:left w:val="none" w:sz="0" w:space="0" w:color="auto"/>
            <w:bottom w:val="none" w:sz="0" w:space="0" w:color="auto"/>
            <w:right w:val="none" w:sz="0" w:space="0" w:color="auto"/>
          </w:divBdr>
        </w:div>
        <w:div w:id="249045170">
          <w:marLeft w:val="720"/>
          <w:marRight w:val="0"/>
          <w:marTop w:val="0"/>
          <w:marBottom w:val="101"/>
          <w:divBdr>
            <w:top w:val="none" w:sz="0" w:space="0" w:color="auto"/>
            <w:left w:val="none" w:sz="0" w:space="0" w:color="auto"/>
            <w:bottom w:val="none" w:sz="0" w:space="0" w:color="auto"/>
            <w:right w:val="none" w:sz="0" w:space="0" w:color="auto"/>
          </w:divBdr>
        </w:div>
        <w:div w:id="1600914267">
          <w:marLeft w:val="0"/>
          <w:marRight w:val="0"/>
          <w:marTop w:val="0"/>
          <w:marBottom w:val="101"/>
          <w:divBdr>
            <w:top w:val="none" w:sz="0" w:space="0" w:color="auto"/>
            <w:left w:val="none" w:sz="0" w:space="0" w:color="auto"/>
            <w:bottom w:val="none" w:sz="0" w:space="0" w:color="auto"/>
            <w:right w:val="none" w:sz="0" w:space="0" w:color="auto"/>
          </w:divBdr>
        </w:div>
        <w:div w:id="924804578">
          <w:marLeft w:val="0"/>
          <w:marRight w:val="0"/>
          <w:marTop w:val="0"/>
          <w:marBottom w:val="101"/>
          <w:divBdr>
            <w:top w:val="none" w:sz="0" w:space="0" w:color="auto"/>
            <w:left w:val="none" w:sz="0" w:space="0" w:color="auto"/>
            <w:bottom w:val="none" w:sz="0" w:space="0" w:color="auto"/>
            <w:right w:val="none" w:sz="0" w:space="0" w:color="auto"/>
          </w:divBdr>
        </w:div>
        <w:div w:id="1134249740">
          <w:marLeft w:val="0"/>
          <w:marRight w:val="0"/>
          <w:marTop w:val="0"/>
          <w:marBottom w:val="101"/>
          <w:divBdr>
            <w:top w:val="none" w:sz="0" w:space="0" w:color="auto"/>
            <w:left w:val="none" w:sz="0" w:space="0" w:color="auto"/>
            <w:bottom w:val="none" w:sz="0" w:space="0" w:color="auto"/>
            <w:right w:val="none" w:sz="0" w:space="0" w:color="auto"/>
          </w:divBdr>
        </w:div>
        <w:div w:id="895051362">
          <w:marLeft w:val="0"/>
          <w:marRight w:val="0"/>
          <w:marTop w:val="0"/>
          <w:marBottom w:val="101"/>
          <w:divBdr>
            <w:top w:val="none" w:sz="0" w:space="0" w:color="auto"/>
            <w:left w:val="none" w:sz="0" w:space="0" w:color="auto"/>
            <w:bottom w:val="none" w:sz="0" w:space="0" w:color="auto"/>
            <w:right w:val="none" w:sz="0" w:space="0" w:color="auto"/>
          </w:divBdr>
        </w:div>
        <w:div w:id="1696345425">
          <w:marLeft w:val="0"/>
          <w:marRight w:val="0"/>
          <w:marTop w:val="0"/>
          <w:marBottom w:val="101"/>
          <w:divBdr>
            <w:top w:val="none" w:sz="0" w:space="0" w:color="auto"/>
            <w:left w:val="none" w:sz="0" w:space="0" w:color="auto"/>
            <w:bottom w:val="none" w:sz="0" w:space="0" w:color="auto"/>
            <w:right w:val="none" w:sz="0" w:space="0" w:color="auto"/>
          </w:divBdr>
        </w:div>
        <w:div w:id="422840028">
          <w:marLeft w:val="0"/>
          <w:marRight w:val="0"/>
          <w:marTop w:val="0"/>
          <w:marBottom w:val="101"/>
          <w:divBdr>
            <w:top w:val="none" w:sz="0" w:space="0" w:color="auto"/>
            <w:left w:val="none" w:sz="0" w:space="0" w:color="auto"/>
            <w:bottom w:val="none" w:sz="0" w:space="0" w:color="auto"/>
            <w:right w:val="none" w:sz="0" w:space="0" w:color="auto"/>
          </w:divBdr>
        </w:div>
        <w:div w:id="888422474">
          <w:marLeft w:val="0"/>
          <w:marRight w:val="0"/>
          <w:marTop w:val="0"/>
          <w:marBottom w:val="101"/>
          <w:divBdr>
            <w:top w:val="none" w:sz="0" w:space="0" w:color="auto"/>
            <w:left w:val="none" w:sz="0" w:space="0" w:color="auto"/>
            <w:bottom w:val="none" w:sz="0" w:space="0" w:color="auto"/>
            <w:right w:val="none" w:sz="0" w:space="0" w:color="auto"/>
          </w:divBdr>
        </w:div>
        <w:div w:id="1630893248">
          <w:marLeft w:val="0"/>
          <w:marRight w:val="0"/>
          <w:marTop w:val="0"/>
          <w:marBottom w:val="101"/>
          <w:divBdr>
            <w:top w:val="none" w:sz="0" w:space="0" w:color="auto"/>
            <w:left w:val="none" w:sz="0" w:space="0" w:color="auto"/>
            <w:bottom w:val="none" w:sz="0" w:space="0" w:color="auto"/>
            <w:right w:val="none" w:sz="0" w:space="0" w:color="auto"/>
          </w:divBdr>
        </w:div>
        <w:div w:id="318702871">
          <w:marLeft w:val="720"/>
          <w:marRight w:val="0"/>
          <w:marTop w:val="0"/>
          <w:marBottom w:val="101"/>
          <w:divBdr>
            <w:top w:val="none" w:sz="0" w:space="0" w:color="auto"/>
            <w:left w:val="none" w:sz="0" w:space="0" w:color="auto"/>
            <w:bottom w:val="none" w:sz="0" w:space="0" w:color="auto"/>
            <w:right w:val="none" w:sz="0" w:space="0" w:color="auto"/>
          </w:divBdr>
        </w:div>
        <w:div w:id="1090546758">
          <w:marLeft w:val="720"/>
          <w:marRight w:val="0"/>
          <w:marTop w:val="0"/>
          <w:marBottom w:val="101"/>
          <w:divBdr>
            <w:top w:val="none" w:sz="0" w:space="0" w:color="auto"/>
            <w:left w:val="none" w:sz="0" w:space="0" w:color="auto"/>
            <w:bottom w:val="none" w:sz="0" w:space="0" w:color="auto"/>
            <w:right w:val="none" w:sz="0" w:space="0" w:color="auto"/>
          </w:divBdr>
        </w:div>
        <w:div w:id="1694721778">
          <w:marLeft w:val="0"/>
          <w:marRight w:val="0"/>
          <w:marTop w:val="0"/>
          <w:marBottom w:val="101"/>
          <w:divBdr>
            <w:top w:val="none" w:sz="0" w:space="0" w:color="auto"/>
            <w:left w:val="none" w:sz="0" w:space="0" w:color="auto"/>
            <w:bottom w:val="none" w:sz="0" w:space="0" w:color="auto"/>
            <w:right w:val="none" w:sz="0" w:space="0" w:color="auto"/>
          </w:divBdr>
        </w:div>
        <w:div w:id="1850869586">
          <w:marLeft w:val="720"/>
          <w:marRight w:val="0"/>
          <w:marTop w:val="0"/>
          <w:marBottom w:val="101"/>
          <w:divBdr>
            <w:top w:val="none" w:sz="0" w:space="0" w:color="auto"/>
            <w:left w:val="none" w:sz="0" w:space="0" w:color="auto"/>
            <w:bottom w:val="none" w:sz="0" w:space="0" w:color="auto"/>
            <w:right w:val="none" w:sz="0" w:space="0" w:color="auto"/>
          </w:divBdr>
        </w:div>
        <w:div w:id="1758091574">
          <w:marLeft w:val="1710"/>
          <w:marRight w:val="0"/>
          <w:marTop w:val="0"/>
          <w:marBottom w:val="101"/>
          <w:divBdr>
            <w:top w:val="none" w:sz="0" w:space="0" w:color="auto"/>
            <w:left w:val="none" w:sz="0" w:space="0" w:color="auto"/>
            <w:bottom w:val="none" w:sz="0" w:space="0" w:color="auto"/>
            <w:right w:val="none" w:sz="0" w:space="0" w:color="auto"/>
          </w:divBdr>
        </w:div>
        <w:div w:id="508252208">
          <w:marLeft w:val="1710"/>
          <w:marRight w:val="0"/>
          <w:marTop w:val="0"/>
          <w:marBottom w:val="101"/>
          <w:divBdr>
            <w:top w:val="none" w:sz="0" w:space="0" w:color="auto"/>
            <w:left w:val="none" w:sz="0" w:space="0" w:color="auto"/>
            <w:bottom w:val="none" w:sz="0" w:space="0" w:color="auto"/>
            <w:right w:val="none" w:sz="0" w:space="0" w:color="auto"/>
          </w:divBdr>
        </w:div>
        <w:div w:id="1772430260">
          <w:marLeft w:val="0"/>
          <w:marRight w:val="0"/>
          <w:marTop w:val="0"/>
          <w:marBottom w:val="100"/>
          <w:divBdr>
            <w:top w:val="none" w:sz="0" w:space="0" w:color="auto"/>
            <w:left w:val="none" w:sz="0" w:space="0" w:color="auto"/>
            <w:bottom w:val="none" w:sz="0" w:space="0" w:color="auto"/>
            <w:right w:val="none" w:sz="0" w:space="0" w:color="auto"/>
          </w:divBdr>
        </w:div>
        <w:div w:id="1158880212">
          <w:marLeft w:val="0"/>
          <w:marRight w:val="0"/>
          <w:marTop w:val="0"/>
          <w:marBottom w:val="100"/>
          <w:divBdr>
            <w:top w:val="none" w:sz="0" w:space="0" w:color="auto"/>
            <w:left w:val="none" w:sz="0" w:space="0" w:color="auto"/>
            <w:bottom w:val="none" w:sz="0" w:space="0" w:color="auto"/>
            <w:right w:val="none" w:sz="0" w:space="0" w:color="auto"/>
          </w:divBdr>
        </w:div>
        <w:div w:id="761339711">
          <w:marLeft w:val="0"/>
          <w:marRight w:val="0"/>
          <w:marTop w:val="0"/>
          <w:marBottom w:val="160"/>
          <w:divBdr>
            <w:top w:val="none" w:sz="0" w:space="0" w:color="auto"/>
            <w:left w:val="none" w:sz="0" w:space="0" w:color="auto"/>
            <w:bottom w:val="none" w:sz="0" w:space="0" w:color="auto"/>
            <w:right w:val="none" w:sz="0" w:space="0" w:color="auto"/>
          </w:divBdr>
        </w:div>
        <w:div w:id="980112871">
          <w:marLeft w:val="0"/>
          <w:marRight w:val="0"/>
          <w:marTop w:val="0"/>
          <w:marBottom w:val="100"/>
          <w:divBdr>
            <w:top w:val="none" w:sz="0" w:space="0" w:color="auto"/>
            <w:left w:val="none" w:sz="0" w:space="0" w:color="auto"/>
            <w:bottom w:val="none" w:sz="0" w:space="0" w:color="auto"/>
            <w:right w:val="none" w:sz="0" w:space="0" w:color="auto"/>
          </w:divBdr>
        </w:div>
        <w:div w:id="646395219">
          <w:marLeft w:val="0"/>
          <w:marRight w:val="0"/>
          <w:marTop w:val="0"/>
          <w:marBottom w:val="100"/>
          <w:divBdr>
            <w:top w:val="none" w:sz="0" w:space="0" w:color="auto"/>
            <w:left w:val="none" w:sz="0" w:space="0" w:color="auto"/>
            <w:bottom w:val="none" w:sz="0" w:space="0" w:color="auto"/>
            <w:right w:val="none" w:sz="0" w:space="0" w:color="auto"/>
          </w:divBdr>
        </w:div>
        <w:div w:id="1286619446">
          <w:marLeft w:val="0"/>
          <w:marRight w:val="0"/>
          <w:marTop w:val="101"/>
          <w:marBottom w:val="100"/>
          <w:divBdr>
            <w:top w:val="none" w:sz="0" w:space="0" w:color="auto"/>
            <w:left w:val="none" w:sz="0" w:space="0" w:color="auto"/>
            <w:bottom w:val="none" w:sz="0" w:space="0" w:color="auto"/>
            <w:right w:val="none" w:sz="0" w:space="0" w:color="auto"/>
          </w:divBdr>
        </w:div>
        <w:div w:id="1136921192">
          <w:marLeft w:val="0"/>
          <w:marRight w:val="0"/>
          <w:marTop w:val="0"/>
          <w:marBottom w:val="100"/>
          <w:divBdr>
            <w:top w:val="none" w:sz="0" w:space="0" w:color="auto"/>
            <w:left w:val="none" w:sz="0" w:space="0" w:color="auto"/>
            <w:bottom w:val="none" w:sz="0" w:space="0" w:color="auto"/>
            <w:right w:val="none" w:sz="0" w:space="0" w:color="auto"/>
          </w:divBdr>
        </w:div>
        <w:div w:id="1324818409">
          <w:marLeft w:val="0"/>
          <w:marRight w:val="0"/>
          <w:marTop w:val="0"/>
          <w:marBottom w:val="100"/>
          <w:divBdr>
            <w:top w:val="none" w:sz="0" w:space="0" w:color="auto"/>
            <w:left w:val="none" w:sz="0" w:space="0" w:color="auto"/>
            <w:bottom w:val="none" w:sz="0" w:space="0" w:color="auto"/>
            <w:right w:val="none" w:sz="0" w:space="0" w:color="auto"/>
          </w:divBdr>
        </w:div>
        <w:div w:id="1160271859">
          <w:marLeft w:val="0"/>
          <w:marRight w:val="0"/>
          <w:marTop w:val="0"/>
          <w:marBottom w:val="100"/>
          <w:divBdr>
            <w:top w:val="none" w:sz="0" w:space="0" w:color="auto"/>
            <w:left w:val="none" w:sz="0" w:space="0" w:color="auto"/>
            <w:bottom w:val="none" w:sz="0" w:space="0" w:color="auto"/>
            <w:right w:val="none" w:sz="0" w:space="0" w:color="auto"/>
          </w:divBdr>
        </w:div>
        <w:div w:id="911427444">
          <w:marLeft w:val="0"/>
          <w:marRight w:val="0"/>
          <w:marTop w:val="20"/>
          <w:marBottom w:val="100"/>
          <w:divBdr>
            <w:top w:val="none" w:sz="0" w:space="0" w:color="auto"/>
            <w:left w:val="none" w:sz="0" w:space="0" w:color="auto"/>
            <w:bottom w:val="none" w:sz="0" w:space="0" w:color="auto"/>
            <w:right w:val="none" w:sz="0" w:space="0" w:color="auto"/>
          </w:divBdr>
        </w:div>
        <w:div w:id="1322001180">
          <w:marLeft w:val="0"/>
          <w:marRight w:val="0"/>
          <w:marTop w:val="20"/>
          <w:marBottom w:val="100"/>
          <w:divBdr>
            <w:top w:val="none" w:sz="0" w:space="0" w:color="auto"/>
            <w:left w:val="none" w:sz="0" w:space="0" w:color="auto"/>
            <w:bottom w:val="none" w:sz="0" w:space="0" w:color="auto"/>
            <w:right w:val="none" w:sz="0" w:space="0" w:color="auto"/>
          </w:divBdr>
        </w:div>
        <w:div w:id="242880718">
          <w:marLeft w:val="0"/>
          <w:marRight w:val="0"/>
          <w:marTop w:val="20"/>
          <w:marBottom w:val="100"/>
          <w:divBdr>
            <w:top w:val="none" w:sz="0" w:space="0" w:color="auto"/>
            <w:left w:val="none" w:sz="0" w:space="0" w:color="auto"/>
            <w:bottom w:val="none" w:sz="0" w:space="0" w:color="auto"/>
            <w:right w:val="none" w:sz="0" w:space="0" w:color="auto"/>
          </w:divBdr>
        </w:div>
        <w:div w:id="802576707">
          <w:marLeft w:val="0"/>
          <w:marRight w:val="0"/>
          <w:marTop w:val="20"/>
          <w:marBottom w:val="100"/>
          <w:divBdr>
            <w:top w:val="none" w:sz="0" w:space="0" w:color="auto"/>
            <w:left w:val="none" w:sz="0" w:space="0" w:color="auto"/>
            <w:bottom w:val="none" w:sz="0" w:space="0" w:color="auto"/>
            <w:right w:val="none" w:sz="0" w:space="0" w:color="auto"/>
          </w:divBdr>
        </w:div>
        <w:div w:id="150292279">
          <w:marLeft w:val="0"/>
          <w:marRight w:val="0"/>
          <w:marTop w:val="20"/>
          <w:marBottom w:val="100"/>
          <w:divBdr>
            <w:top w:val="none" w:sz="0" w:space="0" w:color="auto"/>
            <w:left w:val="none" w:sz="0" w:space="0" w:color="auto"/>
            <w:bottom w:val="none" w:sz="0" w:space="0" w:color="auto"/>
            <w:right w:val="none" w:sz="0" w:space="0" w:color="auto"/>
          </w:divBdr>
        </w:div>
        <w:div w:id="465662526">
          <w:marLeft w:val="0"/>
          <w:marRight w:val="0"/>
          <w:marTop w:val="20"/>
          <w:marBottom w:val="100"/>
          <w:divBdr>
            <w:top w:val="none" w:sz="0" w:space="0" w:color="auto"/>
            <w:left w:val="none" w:sz="0" w:space="0" w:color="auto"/>
            <w:bottom w:val="none" w:sz="0" w:space="0" w:color="auto"/>
            <w:right w:val="none" w:sz="0" w:space="0" w:color="auto"/>
          </w:divBdr>
        </w:div>
        <w:div w:id="1646205820">
          <w:marLeft w:val="0"/>
          <w:marRight w:val="0"/>
          <w:marTop w:val="20"/>
          <w:marBottom w:val="100"/>
          <w:divBdr>
            <w:top w:val="none" w:sz="0" w:space="0" w:color="auto"/>
            <w:left w:val="none" w:sz="0" w:space="0" w:color="auto"/>
            <w:bottom w:val="none" w:sz="0" w:space="0" w:color="auto"/>
            <w:right w:val="none" w:sz="0" w:space="0" w:color="auto"/>
          </w:divBdr>
        </w:div>
        <w:div w:id="84770550">
          <w:marLeft w:val="0"/>
          <w:marRight w:val="0"/>
          <w:marTop w:val="20"/>
          <w:marBottom w:val="100"/>
          <w:divBdr>
            <w:top w:val="none" w:sz="0" w:space="0" w:color="auto"/>
            <w:left w:val="none" w:sz="0" w:space="0" w:color="auto"/>
            <w:bottom w:val="none" w:sz="0" w:space="0" w:color="auto"/>
            <w:right w:val="none" w:sz="0" w:space="0" w:color="auto"/>
          </w:divBdr>
        </w:div>
        <w:div w:id="1287085508">
          <w:marLeft w:val="0"/>
          <w:marRight w:val="0"/>
          <w:marTop w:val="20"/>
          <w:marBottom w:val="100"/>
          <w:divBdr>
            <w:top w:val="none" w:sz="0" w:space="0" w:color="auto"/>
            <w:left w:val="none" w:sz="0" w:space="0" w:color="auto"/>
            <w:bottom w:val="none" w:sz="0" w:space="0" w:color="auto"/>
            <w:right w:val="none" w:sz="0" w:space="0" w:color="auto"/>
          </w:divBdr>
        </w:div>
        <w:div w:id="1273056934">
          <w:marLeft w:val="0"/>
          <w:marRight w:val="0"/>
          <w:marTop w:val="20"/>
          <w:marBottom w:val="100"/>
          <w:divBdr>
            <w:top w:val="none" w:sz="0" w:space="0" w:color="auto"/>
            <w:left w:val="none" w:sz="0" w:space="0" w:color="auto"/>
            <w:bottom w:val="none" w:sz="0" w:space="0" w:color="auto"/>
            <w:right w:val="none" w:sz="0" w:space="0" w:color="auto"/>
          </w:divBdr>
        </w:div>
        <w:div w:id="1366248209">
          <w:marLeft w:val="0"/>
          <w:marRight w:val="0"/>
          <w:marTop w:val="20"/>
          <w:marBottom w:val="100"/>
          <w:divBdr>
            <w:top w:val="none" w:sz="0" w:space="0" w:color="auto"/>
            <w:left w:val="none" w:sz="0" w:space="0" w:color="auto"/>
            <w:bottom w:val="none" w:sz="0" w:space="0" w:color="auto"/>
            <w:right w:val="none" w:sz="0" w:space="0" w:color="auto"/>
          </w:divBdr>
        </w:div>
        <w:div w:id="2034921428">
          <w:marLeft w:val="0"/>
          <w:marRight w:val="0"/>
          <w:marTop w:val="20"/>
          <w:marBottom w:val="100"/>
          <w:divBdr>
            <w:top w:val="none" w:sz="0" w:space="0" w:color="auto"/>
            <w:left w:val="none" w:sz="0" w:space="0" w:color="auto"/>
            <w:bottom w:val="none" w:sz="0" w:space="0" w:color="auto"/>
            <w:right w:val="none" w:sz="0" w:space="0" w:color="auto"/>
          </w:divBdr>
        </w:div>
        <w:div w:id="921766894">
          <w:marLeft w:val="0"/>
          <w:marRight w:val="0"/>
          <w:marTop w:val="20"/>
          <w:marBottom w:val="100"/>
          <w:divBdr>
            <w:top w:val="none" w:sz="0" w:space="0" w:color="auto"/>
            <w:left w:val="none" w:sz="0" w:space="0" w:color="auto"/>
            <w:bottom w:val="none" w:sz="0" w:space="0" w:color="auto"/>
            <w:right w:val="none" w:sz="0" w:space="0" w:color="auto"/>
          </w:divBdr>
        </w:div>
        <w:div w:id="683894859">
          <w:marLeft w:val="0"/>
          <w:marRight w:val="0"/>
          <w:marTop w:val="20"/>
          <w:marBottom w:val="100"/>
          <w:divBdr>
            <w:top w:val="none" w:sz="0" w:space="0" w:color="auto"/>
            <w:left w:val="none" w:sz="0" w:space="0" w:color="auto"/>
            <w:bottom w:val="none" w:sz="0" w:space="0" w:color="auto"/>
            <w:right w:val="none" w:sz="0" w:space="0" w:color="auto"/>
          </w:divBdr>
        </w:div>
        <w:div w:id="477914537">
          <w:marLeft w:val="0"/>
          <w:marRight w:val="0"/>
          <w:marTop w:val="20"/>
          <w:marBottom w:val="100"/>
          <w:divBdr>
            <w:top w:val="none" w:sz="0" w:space="0" w:color="auto"/>
            <w:left w:val="none" w:sz="0" w:space="0" w:color="auto"/>
            <w:bottom w:val="none" w:sz="0" w:space="0" w:color="auto"/>
            <w:right w:val="none" w:sz="0" w:space="0" w:color="auto"/>
          </w:divBdr>
        </w:div>
        <w:div w:id="449711084">
          <w:marLeft w:val="0"/>
          <w:marRight w:val="0"/>
          <w:marTop w:val="20"/>
          <w:marBottom w:val="100"/>
          <w:divBdr>
            <w:top w:val="none" w:sz="0" w:space="0" w:color="auto"/>
            <w:left w:val="none" w:sz="0" w:space="0" w:color="auto"/>
            <w:bottom w:val="none" w:sz="0" w:space="0" w:color="auto"/>
            <w:right w:val="none" w:sz="0" w:space="0" w:color="auto"/>
          </w:divBdr>
        </w:div>
        <w:div w:id="1706521481">
          <w:marLeft w:val="0"/>
          <w:marRight w:val="0"/>
          <w:marTop w:val="20"/>
          <w:marBottom w:val="100"/>
          <w:divBdr>
            <w:top w:val="none" w:sz="0" w:space="0" w:color="auto"/>
            <w:left w:val="none" w:sz="0" w:space="0" w:color="auto"/>
            <w:bottom w:val="none" w:sz="0" w:space="0" w:color="auto"/>
            <w:right w:val="none" w:sz="0" w:space="0" w:color="auto"/>
          </w:divBdr>
        </w:div>
        <w:div w:id="1799489975">
          <w:marLeft w:val="0"/>
          <w:marRight w:val="0"/>
          <w:marTop w:val="20"/>
          <w:marBottom w:val="100"/>
          <w:divBdr>
            <w:top w:val="none" w:sz="0" w:space="0" w:color="auto"/>
            <w:left w:val="none" w:sz="0" w:space="0" w:color="auto"/>
            <w:bottom w:val="none" w:sz="0" w:space="0" w:color="auto"/>
            <w:right w:val="none" w:sz="0" w:space="0" w:color="auto"/>
          </w:divBdr>
        </w:div>
        <w:div w:id="1191334558">
          <w:marLeft w:val="0"/>
          <w:marRight w:val="0"/>
          <w:marTop w:val="20"/>
          <w:marBottom w:val="100"/>
          <w:divBdr>
            <w:top w:val="none" w:sz="0" w:space="0" w:color="auto"/>
            <w:left w:val="none" w:sz="0" w:space="0" w:color="auto"/>
            <w:bottom w:val="none" w:sz="0" w:space="0" w:color="auto"/>
            <w:right w:val="none" w:sz="0" w:space="0" w:color="auto"/>
          </w:divBdr>
        </w:div>
        <w:div w:id="140772177">
          <w:marLeft w:val="0"/>
          <w:marRight w:val="0"/>
          <w:marTop w:val="20"/>
          <w:marBottom w:val="100"/>
          <w:divBdr>
            <w:top w:val="none" w:sz="0" w:space="0" w:color="auto"/>
            <w:left w:val="none" w:sz="0" w:space="0" w:color="auto"/>
            <w:bottom w:val="none" w:sz="0" w:space="0" w:color="auto"/>
            <w:right w:val="none" w:sz="0" w:space="0" w:color="auto"/>
          </w:divBdr>
        </w:div>
        <w:div w:id="1191839150">
          <w:marLeft w:val="0"/>
          <w:marRight w:val="0"/>
          <w:marTop w:val="20"/>
          <w:marBottom w:val="100"/>
          <w:divBdr>
            <w:top w:val="none" w:sz="0" w:space="0" w:color="auto"/>
            <w:left w:val="none" w:sz="0" w:space="0" w:color="auto"/>
            <w:bottom w:val="none" w:sz="0" w:space="0" w:color="auto"/>
            <w:right w:val="none" w:sz="0" w:space="0" w:color="auto"/>
          </w:divBdr>
        </w:div>
        <w:div w:id="2104180259">
          <w:marLeft w:val="0"/>
          <w:marRight w:val="0"/>
          <w:marTop w:val="20"/>
          <w:marBottom w:val="100"/>
          <w:divBdr>
            <w:top w:val="none" w:sz="0" w:space="0" w:color="auto"/>
            <w:left w:val="none" w:sz="0" w:space="0" w:color="auto"/>
            <w:bottom w:val="none" w:sz="0" w:space="0" w:color="auto"/>
            <w:right w:val="none" w:sz="0" w:space="0" w:color="auto"/>
          </w:divBdr>
        </w:div>
        <w:div w:id="1720015510">
          <w:marLeft w:val="720"/>
          <w:marRight w:val="0"/>
          <w:marTop w:val="0"/>
          <w:marBottom w:val="100"/>
          <w:divBdr>
            <w:top w:val="none" w:sz="0" w:space="0" w:color="auto"/>
            <w:left w:val="none" w:sz="0" w:space="0" w:color="auto"/>
            <w:bottom w:val="none" w:sz="0" w:space="0" w:color="auto"/>
            <w:right w:val="none" w:sz="0" w:space="0" w:color="auto"/>
          </w:divBdr>
        </w:div>
        <w:div w:id="1162545017">
          <w:marLeft w:val="720"/>
          <w:marRight w:val="0"/>
          <w:marTop w:val="0"/>
          <w:marBottom w:val="100"/>
          <w:divBdr>
            <w:top w:val="none" w:sz="0" w:space="0" w:color="auto"/>
            <w:left w:val="none" w:sz="0" w:space="0" w:color="auto"/>
            <w:bottom w:val="none" w:sz="0" w:space="0" w:color="auto"/>
            <w:right w:val="none" w:sz="0" w:space="0" w:color="auto"/>
          </w:divBdr>
        </w:div>
        <w:div w:id="1242521907">
          <w:marLeft w:val="0"/>
          <w:marRight w:val="0"/>
          <w:marTop w:val="20"/>
          <w:marBottom w:val="100"/>
          <w:divBdr>
            <w:top w:val="none" w:sz="0" w:space="0" w:color="auto"/>
            <w:left w:val="none" w:sz="0" w:space="0" w:color="auto"/>
            <w:bottom w:val="none" w:sz="0" w:space="0" w:color="auto"/>
            <w:right w:val="none" w:sz="0" w:space="0" w:color="auto"/>
          </w:divBdr>
        </w:div>
        <w:div w:id="64374300">
          <w:marLeft w:val="0"/>
          <w:marRight w:val="0"/>
          <w:marTop w:val="20"/>
          <w:marBottom w:val="100"/>
          <w:divBdr>
            <w:top w:val="none" w:sz="0" w:space="0" w:color="auto"/>
            <w:left w:val="none" w:sz="0" w:space="0" w:color="auto"/>
            <w:bottom w:val="none" w:sz="0" w:space="0" w:color="auto"/>
            <w:right w:val="none" w:sz="0" w:space="0" w:color="auto"/>
          </w:divBdr>
        </w:div>
        <w:div w:id="970985516">
          <w:marLeft w:val="0"/>
          <w:marRight w:val="0"/>
          <w:marTop w:val="0"/>
          <w:marBottom w:val="100"/>
          <w:divBdr>
            <w:top w:val="none" w:sz="0" w:space="0" w:color="auto"/>
            <w:left w:val="none" w:sz="0" w:space="0" w:color="auto"/>
            <w:bottom w:val="none" w:sz="0" w:space="0" w:color="auto"/>
            <w:right w:val="none" w:sz="0" w:space="0" w:color="auto"/>
          </w:divBdr>
        </w:div>
        <w:div w:id="1720088728">
          <w:marLeft w:val="720"/>
          <w:marRight w:val="0"/>
          <w:marTop w:val="0"/>
          <w:marBottom w:val="100"/>
          <w:divBdr>
            <w:top w:val="none" w:sz="0" w:space="0" w:color="auto"/>
            <w:left w:val="none" w:sz="0" w:space="0" w:color="auto"/>
            <w:bottom w:val="none" w:sz="0" w:space="0" w:color="auto"/>
            <w:right w:val="none" w:sz="0" w:space="0" w:color="auto"/>
          </w:divBdr>
        </w:div>
        <w:div w:id="389306972">
          <w:marLeft w:val="0"/>
          <w:marRight w:val="0"/>
          <w:marTop w:val="0"/>
          <w:marBottom w:val="100"/>
          <w:divBdr>
            <w:top w:val="none" w:sz="0" w:space="0" w:color="auto"/>
            <w:left w:val="none" w:sz="0" w:space="0" w:color="auto"/>
            <w:bottom w:val="none" w:sz="0" w:space="0" w:color="auto"/>
            <w:right w:val="none" w:sz="0" w:space="0" w:color="auto"/>
          </w:divBdr>
        </w:div>
        <w:div w:id="713116476">
          <w:marLeft w:val="0"/>
          <w:marRight w:val="0"/>
          <w:marTop w:val="0"/>
          <w:marBottom w:val="100"/>
          <w:divBdr>
            <w:top w:val="none" w:sz="0" w:space="0" w:color="auto"/>
            <w:left w:val="none" w:sz="0" w:space="0" w:color="auto"/>
            <w:bottom w:val="none" w:sz="0" w:space="0" w:color="auto"/>
            <w:right w:val="none" w:sz="0" w:space="0" w:color="auto"/>
          </w:divBdr>
        </w:div>
        <w:div w:id="1599096392">
          <w:marLeft w:val="0"/>
          <w:marRight w:val="0"/>
          <w:marTop w:val="0"/>
          <w:marBottom w:val="100"/>
          <w:divBdr>
            <w:top w:val="none" w:sz="0" w:space="0" w:color="auto"/>
            <w:left w:val="none" w:sz="0" w:space="0" w:color="auto"/>
            <w:bottom w:val="none" w:sz="0" w:space="0" w:color="auto"/>
            <w:right w:val="none" w:sz="0" w:space="0" w:color="auto"/>
          </w:divBdr>
        </w:div>
        <w:div w:id="1182739569">
          <w:marLeft w:val="0"/>
          <w:marRight w:val="0"/>
          <w:marTop w:val="0"/>
          <w:marBottom w:val="100"/>
          <w:divBdr>
            <w:top w:val="none" w:sz="0" w:space="0" w:color="auto"/>
            <w:left w:val="none" w:sz="0" w:space="0" w:color="auto"/>
            <w:bottom w:val="none" w:sz="0" w:space="0" w:color="auto"/>
            <w:right w:val="none" w:sz="0" w:space="0" w:color="auto"/>
          </w:divBdr>
        </w:div>
        <w:div w:id="38288529">
          <w:marLeft w:val="0"/>
          <w:marRight w:val="0"/>
          <w:marTop w:val="0"/>
          <w:marBottom w:val="100"/>
          <w:divBdr>
            <w:top w:val="none" w:sz="0" w:space="0" w:color="auto"/>
            <w:left w:val="none" w:sz="0" w:space="0" w:color="auto"/>
            <w:bottom w:val="none" w:sz="0" w:space="0" w:color="auto"/>
            <w:right w:val="none" w:sz="0" w:space="0" w:color="auto"/>
          </w:divBdr>
        </w:div>
        <w:div w:id="688334741">
          <w:marLeft w:val="0"/>
          <w:marRight w:val="0"/>
          <w:marTop w:val="0"/>
          <w:marBottom w:val="100"/>
          <w:divBdr>
            <w:top w:val="none" w:sz="0" w:space="0" w:color="auto"/>
            <w:left w:val="none" w:sz="0" w:space="0" w:color="auto"/>
            <w:bottom w:val="none" w:sz="0" w:space="0" w:color="auto"/>
            <w:right w:val="none" w:sz="0" w:space="0" w:color="auto"/>
          </w:divBdr>
        </w:div>
        <w:div w:id="586113135">
          <w:marLeft w:val="0"/>
          <w:marRight w:val="0"/>
          <w:marTop w:val="0"/>
          <w:marBottom w:val="100"/>
          <w:divBdr>
            <w:top w:val="none" w:sz="0" w:space="0" w:color="auto"/>
            <w:left w:val="none" w:sz="0" w:space="0" w:color="auto"/>
            <w:bottom w:val="none" w:sz="0" w:space="0" w:color="auto"/>
            <w:right w:val="none" w:sz="0" w:space="0" w:color="auto"/>
          </w:divBdr>
        </w:div>
        <w:div w:id="468670476">
          <w:marLeft w:val="0"/>
          <w:marRight w:val="0"/>
          <w:marTop w:val="0"/>
          <w:marBottom w:val="100"/>
          <w:divBdr>
            <w:top w:val="none" w:sz="0" w:space="0" w:color="auto"/>
            <w:left w:val="none" w:sz="0" w:space="0" w:color="auto"/>
            <w:bottom w:val="none" w:sz="0" w:space="0" w:color="auto"/>
            <w:right w:val="none" w:sz="0" w:space="0" w:color="auto"/>
          </w:divBdr>
        </w:div>
        <w:div w:id="1885554440">
          <w:marLeft w:val="0"/>
          <w:marRight w:val="0"/>
          <w:marTop w:val="0"/>
          <w:marBottom w:val="100"/>
          <w:divBdr>
            <w:top w:val="none" w:sz="0" w:space="0" w:color="auto"/>
            <w:left w:val="none" w:sz="0" w:space="0" w:color="auto"/>
            <w:bottom w:val="none" w:sz="0" w:space="0" w:color="auto"/>
            <w:right w:val="none" w:sz="0" w:space="0" w:color="auto"/>
          </w:divBdr>
        </w:div>
        <w:div w:id="242953252">
          <w:marLeft w:val="0"/>
          <w:marRight w:val="0"/>
          <w:marTop w:val="0"/>
          <w:marBottom w:val="100"/>
          <w:divBdr>
            <w:top w:val="none" w:sz="0" w:space="0" w:color="auto"/>
            <w:left w:val="none" w:sz="0" w:space="0" w:color="auto"/>
            <w:bottom w:val="none" w:sz="0" w:space="0" w:color="auto"/>
            <w:right w:val="none" w:sz="0" w:space="0" w:color="auto"/>
          </w:divBdr>
        </w:div>
        <w:div w:id="1872765752">
          <w:marLeft w:val="0"/>
          <w:marRight w:val="0"/>
          <w:marTop w:val="0"/>
          <w:marBottom w:val="100"/>
          <w:divBdr>
            <w:top w:val="none" w:sz="0" w:space="0" w:color="auto"/>
            <w:left w:val="none" w:sz="0" w:space="0" w:color="auto"/>
            <w:bottom w:val="none" w:sz="0" w:space="0" w:color="auto"/>
            <w:right w:val="none" w:sz="0" w:space="0" w:color="auto"/>
          </w:divBdr>
        </w:div>
        <w:div w:id="988169683">
          <w:marLeft w:val="0"/>
          <w:marRight w:val="0"/>
          <w:marTop w:val="0"/>
          <w:marBottom w:val="100"/>
          <w:divBdr>
            <w:top w:val="none" w:sz="0" w:space="0" w:color="auto"/>
            <w:left w:val="none" w:sz="0" w:space="0" w:color="auto"/>
            <w:bottom w:val="none" w:sz="0" w:space="0" w:color="auto"/>
            <w:right w:val="none" w:sz="0" w:space="0" w:color="auto"/>
          </w:divBdr>
        </w:div>
        <w:div w:id="1282689757">
          <w:marLeft w:val="0"/>
          <w:marRight w:val="0"/>
          <w:marTop w:val="0"/>
          <w:marBottom w:val="100"/>
          <w:divBdr>
            <w:top w:val="none" w:sz="0" w:space="0" w:color="auto"/>
            <w:left w:val="none" w:sz="0" w:space="0" w:color="auto"/>
            <w:bottom w:val="none" w:sz="0" w:space="0" w:color="auto"/>
            <w:right w:val="none" w:sz="0" w:space="0" w:color="auto"/>
          </w:divBdr>
        </w:div>
        <w:div w:id="382827431">
          <w:marLeft w:val="0"/>
          <w:marRight w:val="0"/>
          <w:marTop w:val="0"/>
          <w:marBottom w:val="100"/>
          <w:divBdr>
            <w:top w:val="none" w:sz="0" w:space="0" w:color="auto"/>
            <w:left w:val="none" w:sz="0" w:space="0" w:color="auto"/>
            <w:bottom w:val="none" w:sz="0" w:space="0" w:color="auto"/>
            <w:right w:val="none" w:sz="0" w:space="0" w:color="auto"/>
          </w:divBdr>
        </w:div>
        <w:div w:id="1572496722">
          <w:marLeft w:val="0"/>
          <w:marRight w:val="0"/>
          <w:marTop w:val="0"/>
          <w:marBottom w:val="100"/>
          <w:divBdr>
            <w:top w:val="none" w:sz="0" w:space="0" w:color="auto"/>
            <w:left w:val="none" w:sz="0" w:space="0" w:color="auto"/>
            <w:bottom w:val="none" w:sz="0" w:space="0" w:color="auto"/>
            <w:right w:val="none" w:sz="0" w:space="0" w:color="auto"/>
          </w:divBdr>
        </w:div>
        <w:div w:id="869995583">
          <w:marLeft w:val="0"/>
          <w:marRight w:val="0"/>
          <w:marTop w:val="0"/>
          <w:marBottom w:val="100"/>
          <w:divBdr>
            <w:top w:val="none" w:sz="0" w:space="0" w:color="auto"/>
            <w:left w:val="none" w:sz="0" w:space="0" w:color="auto"/>
            <w:bottom w:val="none" w:sz="0" w:space="0" w:color="auto"/>
            <w:right w:val="none" w:sz="0" w:space="0" w:color="auto"/>
          </w:divBdr>
        </w:div>
        <w:div w:id="1322738072">
          <w:marLeft w:val="0"/>
          <w:marRight w:val="0"/>
          <w:marTop w:val="0"/>
          <w:marBottom w:val="100"/>
          <w:divBdr>
            <w:top w:val="none" w:sz="0" w:space="0" w:color="auto"/>
            <w:left w:val="none" w:sz="0" w:space="0" w:color="auto"/>
            <w:bottom w:val="none" w:sz="0" w:space="0" w:color="auto"/>
            <w:right w:val="none" w:sz="0" w:space="0" w:color="auto"/>
          </w:divBdr>
        </w:div>
        <w:div w:id="655492432">
          <w:marLeft w:val="0"/>
          <w:marRight w:val="0"/>
          <w:marTop w:val="0"/>
          <w:marBottom w:val="100"/>
          <w:divBdr>
            <w:top w:val="none" w:sz="0" w:space="0" w:color="auto"/>
            <w:left w:val="none" w:sz="0" w:space="0" w:color="auto"/>
            <w:bottom w:val="none" w:sz="0" w:space="0" w:color="auto"/>
            <w:right w:val="none" w:sz="0" w:space="0" w:color="auto"/>
          </w:divBdr>
        </w:div>
        <w:div w:id="1186165473">
          <w:marLeft w:val="0"/>
          <w:marRight w:val="0"/>
          <w:marTop w:val="0"/>
          <w:marBottom w:val="100"/>
          <w:divBdr>
            <w:top w:val="none" w:sz="0" w:space="0" w:color="auto"/>
            <w:left w:val="none" w:sz="0" w:space="0" w:color="auto"/>
            <w:bottom w:val="none" w:sz="0" w:space="0" w:color="auto"/>
            <w:right w:val="none" w:sz="0" w:space="0" w:color="auto"/>
          </w:divBdr>
        </w:div>
        <w:div w:id="1168329801">
          <w:marLeft w:val="0"/>
          <w:marRight w:val="0"/>
          <w:marTop w:val="0"/>
          <w:marBottom w:val="100"/>
          <w:divBdr>
            <w:top w:val="none" w:sz="0" w:space="0" w:color="auto"/>
            <w:left w:val="none" w:sz="0" w:space="0" w:color="auto"/>
            <w:bottom w:val="none" w:sz="0" w:space="0" w:color="auto"/>
            <w:right w:val="none" w:sz="0" w:space="0" w:color="auto"/>
          </w:divBdr>
        </w:div>
        <w:div w:id="865295656">
          <w:marLeft w:val="0"/>
          <w:marRight w:val="0"/>
          <w:marTop w:val="0"/>
          <w:marBottom w:val="100"/>
          <w:divBdr>
            <w:top w:val="none" w:sz="0" w:space="0" w:color="auto"/>
            <w:left w:val="none" w:sz="0" w:space="0" w:color="auto"/>
            <w:bottom w:val="none" w:sz="0" w:space="0" w:color="auto"/>
            <w:right w:val="none" w:sz="0" w:space="0" w:color="auto"/>
          </w:divBdr>
        </w:div>
        <w:div w:id="1929314986">
          <w:marLeft w:val="0"/>
          <w:marRight w:val="0"/>
          <w:marTop w:val="0"/>
          <w:marBottom w:val="100"/>
          <w:divBdr>
            <w:top w:val="none" w:sz="0" w:space="0" w:color="auto"/>
            <w:left w:val="none" w:sz="0" w:space="0" w:color="auto"/>
            <w:bottom w:val="none" w:sz="0" w:space="0" w:color="auto"/>
            <w:right w:val="none" w:sz="0" w:space="0" w:color="auto"/>
          </w:divBdr>
        </w:div>
        <w:div w:id="1104806984">
          <w:marLeft w:val="0"/>
          <w:marRight w:val="0"/>
          <w:marTop w:val="0"/>
          <w:marBottom w:val="100"/>
          <w:divBdr>
            <w:top w:val="none" w:sz="0" w:space="0" w:color="auto"/>
            <w:left w:val="none" w:sz="0" w:space="0" w:color="auto"/>
            <w:bottom w:val="none" w:sz="0" w:space="0" w:color="auto"/>
            <w:right w:val="none" w:sz="0" w:space="0" w:color="auto"/>
          </w:divBdr>
        </w:div>
        <w:div w:id="1337658873">
          <w:marLeft w:val="0"/>
          <w:marRight w:val="0"/>
          <w:marTop w:val="0"/>
          <w:marBottom w:val="100"/>
          <w:divBdr>
            <w:top w:val="none" w:sz="0" w:space="0" w:color="auto"/>
            <w:left w:val="none" w:sz="0" w:space="0" w:color="auto"/>
            <w:bottom w:val="none" w:sz="0" w:space="0" w:color="auto"/>
            <w:right w:val="none" w:sz="0" w:space="0" w:color="auto"/>
          </w:divBdr>
        </w:div>
        <w:div w:id="61372816">
          <w:marLeft w:val="0"/>
          <w:marRight w:val="0"/>
          <w:marTop w:val="0"/>
          <w:marBottom w:val="100"/>
          <w:divBdr>
            <w:top w:val="none" w:sz="0" w:space="0" w:color="auto"/>
            <w:left w:val="none" w:sz="0" w:space="0" w:color="auto"/>
            <w:bottom w:val="none" w:sz="0" w:space="0" w:color="auto"/>
            <w:right w:val="none" w:sz="0" w:space="0" w:color="auto"/>
          </w:divBdr>
        </w:div>
        <w:div w:id="1039354054">
          <w:marLeft w:val="0"/>
          <w:marRight w:val="0"/>
          <w:marTop w:val="0"/>
          <w:marBottom w:val="100"/>
          <w:divBdr>
            <w:top w:val="none" w:sz="0" w:space="0" w:color="auto"/>
            <w:left w:val="none" w:sz="0" w:space="0" w:color="auto"/>
            <w:bottom w:val="none" w:sz="0" w:space="0" w:color="auto"/>
            <w:right w:val="none" w:sz="0" w:space="0" w:color="auto"/>
          </w:divBdr>
        </w:div>
        <w:div w:id="54740103">
          <w:marLeft w:val="0"/>
          <w:marRight w:val="0"/>
          <w:marTop w:val="0"/>
          <w:marBottom w:val="100"/>
          <w:divBdr>
            <w:top w:val="none" w:sz="0" w:space="0" w:color="auto"/>
            <w:left w:val="none" w:sz="0" w:space="0" w:color="auto"/>
            <w:bottom w:val="none" w:sz="0" w:space="0" w:color="auto"/>
            <w:right w:val="none" w:sz="0" w:space="0" w:color="auto"/>
          </w:divBdr>
        </w:div>
        <w:div w:id="171994011">
          <w:marLeft w:val="0"/>
          <w:marRight w:val="0"/>
          <w:marTop w:val="0"/>
          <w:marBottom w:val="100"/>
          <w:divBdr>
            <w:top w:val="none" w:sz="0" w:space="0" w:color="auto"/>
            <w:left w:val="none" w:sz="0" w:space="0" w:color="auto"/>
            <w:bottom w:val="none" w:sz="0" w:space="0" w:color="auto"/>
            <w:right w:val="none" w:sz="0" w:space="0" w:color="auto"/>
          </w:divBdr>
        </w:div>
        <w:div w:id="1767455273">
          <w:marLeft w:val="0"/>
          <w:marRight w:val="0"/>
          <w:marTop w:val="0"/>
          <w:marBottom w:val="100"/>
          <w:divBdr>
            <w:top w:val="none" w:sz="0" w:space="0" w:color="auto"/>
            <w:left w:val="none" w:sz="0" w:space="0" w:color="auto"/>
            <w:bottom w:val="none" w:sz="0" w:space="0" w:color="auto"/>
            <w:right w:val="none" w:sz="0" w:space="0" w:color="auto"/>
          </w:divBdr>
        </w:div>
        <w:div w:id="1081291761">
          <w:marLeft w:val="720"/>
          <w:marRight w:val="0"/>
          <w:marTop w:val="0"/>
          <w:marBottom w:val="100"/>
          <w:divBdr>
            <w:top w:val="none" w:sz="0" w:space="0" w:color="auto"/>
            <w:left w:val="none" w:sz="0" w:space="0" w:color="auto"/>
            <w:bottom w:val="none" w:sz="0" w:space="0" w:color="auto"/>
            <w:right w:val="none" w:sz="0" w:space="0" w:color="auto"/>
          </w:divBdr>
        </w:div>
        <w:div w:id="688029213">
          <w:marLeft w:val="0"/>
          <w:marRight w:val="0"/>
          <w:marTop w:val="0"/>
          <w:marBottom w:val="100"/>
          <w:divBdr>
            <w:top w:val="none" w:sz="0" w:space="0" w:color="auto"/>
            <w:left w:val="none" w:sz="0" w:space="0" w:color="auto"/>
            <w:bottom w:val="none" w:sz="0" w:space="0" w:color="auto"/>
            <w:right w:val="none" w:sz="0" w:space="0" w:color="auto"/>
          </w:divBdr>
        </w:div>
        <w:div w:id="1400520498">
          <w:marLeft w:val="0"/>
          <w:marRight w:val="0"/>
          <w:marTop w:val="0"/>
          <w:marBottom w:val="100"/>
          <w:divBdr>
            <w:top w:val="none" w:sz="0" w:space="0" w:color="auto"/>
            <w:left w:val="none" w:sz="0" w:space="0" w:color="auto"/>
            <w:bottom w:val="none" w:sz="0" w:space="0" w:color="auto"/>
            <w:right w:val="none" w:sz="0" w:space="0" w:color="auto"/>
          </w:divBdr>
        </w:div>
        <w:div w:id="74401975">
          <w:marLeft w:val="0"/>
          <w:marRight w:val="0"/>
          <w:marTop w:val="0"/>
          <w:marBottom w:val="100"/>
          <w:divBdr>
            <w:top w:val="none" w:sz="0" w:space="0" w:color="auto"/>
            <w:left w:val="none" w:sz="0" w:space="0" w:color="auto"/>
            <w:bottom w:val="none" w:sz="0" w:space="0" w:color="auto"/>
            <w:right w:val="none" w:sz="0" w:space="0" w:color="auto"/>
          </w:divBdr>
        </w:div>
        <w:div w:id="600264032">
          <w:marLeft w:val="0"/>
          <w:marRight w:val="0"/>
          <w:marTop w:val="0"/>
          <w:marBottom w:val="100"/>
          <w:divBdr>
            <w:top w:val="none" w:sz="0" w:space="0" w:color="auto"/>
            <w:left w:val="none" w:sz="0" w:space="0" w:color="auto"/>
            <w:bottom w:val="none" w:sz="0" w:space="0" w:color="auto"/>
            <w:right w:val="none" w:sz="0" w:space="0" w:color="auto"/>
          </w:divBdr>
        </w:div>
        <w:div w:id="1777552031">
          <w:marLeft w:val="0"/>
          <w:marRight w:val="0"/>
          <w:marTop w:val="0"/>
          <w:marBottom w:val="100"/>
          <w:divBdr>
            <w:top w:val="none" w:sz="0" w:space="0" w:color="auto"/>
            <w:left w:val="none" w:sz="0" w:space="0" w:color="auto"/>
            <w:bottom w:val="none" w:sz="0" w:space="0" w:color="auto"/>
            <w:right w:val="none" w:sz="0" w:space="0" w:color="auto"/>
          </w:divBdr>
        </w:div>
        <w:div w:id="322586242">
          <w:marLeft w:val="0"/>
          <w:marRight w:val="0"/>
          <w:marTop w:val="0"/>
          <w:marBottom w:val="100"/>
          <w:divBdr>
            <w:top w:val="none" w:sz="0" w:space="0" w:color="auto"/>
            <w:left w:val="none" w:sz="0" w:space="0" w:color="auto"/>
            <w:bottom w:val="none" w:sz="0" w:space="0" w:color="auto"/>
            <w:right w:val="none" w:sz="0" w:space="0" w:color="auto"/>
          </w:divBdr>
        </w:div>
        <w:div w:id="418597255">
          <w:marLeft w:val="0"/>
          <w:marRight w:val="0"/>
          <w:marTop w:val="0"/>
          <w:marBottom w:val="100"/>
          <w:divBdr>
            <w:top w:val="none" w:sz="0" w:space="0" w:color="auto"/>
            <w:left w:val="none" w:sz="0" w:space="0" w:color="auto"/>
            <w:bottom w:val="none" w:sz="0" w:space="0" w:color="auto"/>
            <w:right w:val="none" w:sz="0" w:space="0" w:color="auto"/>
          </w:divBdr>
        </w:div>
        <w:div w:id="1831865457">
          <w:marLeft w:val="0"/>
          <w:marRight w:val="0"/>
          <w:marTop w:val="0"/>
          <w:marBottom w:val="100"/>
          <w:divBdr>
            <w:top w:val="none" w:sz="0" w:space="0" w:color="auto"/>
            <w:left w:val="none" w:sz="0" w:space="0" w:color="auto"/>
            <w:bottom w:val="none" w:sz="0" w:space="0" w:color="auto"/>
            <w:right w:val="none" w:sz="0" w:space="0" w:color="auto"/>
          </w:divBdr>
        </w:div>
        <w:div w:id="1182083823">
          <w:marLeft w:val="0"/>
          <w:marRight w:val="0"/>
          <w:marTop w:val="0"/>
          <w:marBottom w:val="100"/>
          <w:divBdr>
            <w:top w:val="none" w:sz="0" w:space="0" w:color="auto"/>
            <w:left w:val="none" w:sz="0" w:space="0" w:color="auto"/>
            <w:bottom w:val="none" w:sz="0" w:space="0" w:color="auto"/>
            <w:right w:val="none" w:sz="0" w:space="0" w:color="auto"/>
          </w:divBdr>
        </w:div>
        <w:div w:id="453720083">
          <w:marLeft w:val="0"/>
          <w:marRight w:val="0"/>
          <w:marTop w:val="0"/>
          <w:marBottom w:val="100"/>
          <w:divBdr>
            <w:top w:val="none" w:sz="0" w:space="0" w:color="auto"/>
            <w:left w:val="none" w:sz="0" w:space="0" w:color="auto"/>
            <w:bottom w:val="none" w:sz="0" w:space="0" w:color="auto"/>
            <w:right w:val="none" w:sz="0" w:space="0" w:color="auto"/>
          </w:divBdr>
        </w:div>
        <w:div w:id="1490093806">
          <w:marLeft w:val="0"/>
          <w:marRight w:val="0"/>
          <w:marTop w:val="0"/>
          <w:marBottom w:val="100"/>
          <w:divBdr>
            <w:top w:val="none" w:sz="0" w:space="0" w:color="auto"/>
            <w:left w:val="none" w:sz="0" w:space="0" w:color="auto"/>
            <w:bottom w:val="none" w:sz="0" w:space="0" w:color="auto"/>
            <w:right w:val="none" w:sz="0" w:space="0" w:color="auto"/>
          </w:divBdr>
        </w:div>
        <w:div w:id="1701517527">
          <w:marLeft w:val="0"/>
          <w:marRight w:val="0"/>
          <w:marTop w:val="0"/>
          <w:marBottom w:val="100"/>
          <w:divBdr>
            <w:top w:val="none" w:sz="0" w:space="0" w:color="auto"/>
            <w:left w:val="none" w:sz="0" w:space="0" w:color="auto"/>
            <w:bottom w:val="none" w:sz="0" w:space="0" w:color="auto"/>
            <w:right w:val="none" w:sz="0" w:space="0" w:color="auto"/>
          </w:divBdr>
        </w:div>
        <w:div w:id="153880875">
          <w:marLeft w:val="0"/>
          <w:marRight w:val="0"/>
          <w:marTop w:val="0"/>
          <w:marBottom w:val="100"/>
          <w:divBdr>
            <w:top w:val="none" w:sz="0" w:space="0" w:color="auto"/>
            <w:left w:val="none" w:sz="0" w:space="0" w:color="auto"/>
            <w:bottom w:val="none" w:sz="0" w:space="0" w:color="auto"/>
            <w:right w:val="none" w:sz="0" w:space="0" w:color="auto"/>
          </w:divBdr>
        </w:div>
      </w:divsChild>
    </w:div>
    <w:div w:id="539317869">
      <w:bodyDiv w:val="1"/>
      <w:marLeft w:val="0"/>
      <w:marRight w:val="0"/>
      <w:marTop w:val="0"/>
      <w:marBottom w:val="0"/>
      <w:divBdr>
        <w:top w:val="none" w:sz="0" w:space="0" w:color="auto"/>
        <w:left w:val="none" w:sz="0" w:space="0" w:color="auto"/>
        <w:bottom w:val="none" w:sz="0" w:space="0" w:color="auto"/>
        <w:right w:val="none" w:sz="0" w:space="0" w:color="auto"/>
      </w:divBdr>
      <w:divsChild>
        <w:div w:id="433986487">
          <w:marLeft w:val="0"/>
          <w:marRight w:val="0"/>
          <w:marTop w:val="101"/>
          <w:marBottom w:val="101"/>
          <w:divBdr>
            <w:top w:val="none" w:sz="0" w:space="0" w:color="auto"/>
            <w:left w:val="none" w:sz="0" w:space="0" w:color="auto"/>
            <w:bottom w:val="none" w:sz="0" w:space="0" w:color="auto"/>
            <w:right w:val="none" w:sz="0" w:space="0" w:color="auto"/>
          </w:divBdr>
        </w:div>
        <w:div w:id="1540892053">
          <w:marLeft w:val="0"/>
          <w:marRight w:val="0"/>
          <w:marTop w:val="0"/>
          <w:marBottom w:val="60"/>
          <w:divBdr>
            <w:top w:val="none" w:sz="0" w:space="0" w:color="auto"/>
            <w:left w:val="none" w:sz="0" w:space="0" w:color="auto"/>
            <w:bottom w:val="none" w:sz="0" w:space="0" w:color="auto"/>
            <w:right w:val="none" w:sz="0" w:space="0" w:color="auto"/>
          </w:divBdr>
        </w:div>
        <w:div w:id="1421636979">
          <w:marLeft w:val="0"/>
          <w:marRight w:val="0"/>
          <w:marTop w:val="0"/>
          <w:marBottom w:val="60"/>
          <w:divBdr>
            <w:top w:val="none" w:sz="0" w:space="0" w:color="auto"/>
            <w:left w:val="none" w:sz="0" w:space="0" w:color="auto"/>
            <w:bottom w:val="none" w:sz="0" w:space="0" w:color="auto"/>
            <w:right w:val="none" w:sz="0" w:space="0" w:color="auto"/>
          </w:divBdr>
        </w:div>
        <w:div w:id="1721203616">
          <w:marLeft w:val="0"/>
          <w:marRight w:val="0"/>
          <w:marTop w:val="0"/>
          <w:marBottom w:val="60"/>
          <w:divBdr>
            <w:top w:val="none" w:sz="0" w:space="0" w:color="auto"/>
            <w:left w:val="none" w:sz="0" w:space="0" w:color="auto"/>
            <w:bottom w:val="none" w:sz="0" w:space="0" w:color="auto"/>
            <w:right w:val="none" w:sz="0" w:space="0" w:color="auto"/>
          </w:divBdr>
        </w:div>
        <w:div w:id="1201699976">
          <w:marLeft w:val="0"/>
          <w:marRight w:val="0"/>
          <w:marTop w:val="0"/>
          <w:marBottom w:val="60"/>
          <w:divBdr>
            <w:top w:val="none" w:sz="0" w:space="0" w:color="auto"/>
            <w:left w:val="none" w:sz="0" w:space="0" w:color="auto"/>
            <w:bottom w:val="none" w:sz="0" w:space="0" w:color="auto"/>
            <w:right w:val="none" w:sz="0" w:space="0" w:color="auto"/>
          </w:divBdr>
        </w:div>
        <w:div w:id="565458667">
          <w:marLeft w:val="0"/>
          <w:marRight w:val="0"/>
          <w:marTop w:val="20"/>
          <w:marBottom w:val="40"/>
          <w:divBdr>
            <w:top w:val="none" w:sz="0" w:space="0" w:color="auto"/>
            <w:left w:val="none" w:sz="0" w:space="0" w:color="auto"/>
            <w:bottom w:val="none" w:sz="0" w:space="0" w:color="auto"/>
            <w:right w:val="none" w:sz="0" w:space="0" w:color="auto"/>
          </w:divBdr>
        </w:div>
        <w:div w:id="1850411060">
          <w:marLeft w:val="0"/>
          <w:marRight w:val="0"/>
          <w:marTop w:val="20"/>
          <w:marBottom w:val="40"/>
          <w:divBdr>
            <w:top w:val="none" w:sz="0" w:space="0" w:color="auto"/>
            <w:left w:val="none" w:sz="0" w:space="0" w:color="auto"/>
            <w:bottom w:val="none" w:sz="0" w:space="0" w:color="auto"/>
            <w:right w:val="none" w:sz="0" w:space="0" w:color="auto"/>
          </w:divBdr>
        </w:div>
        <w:div w:id="857230015">
          <w:marLeft w:val="0"/>
          <w:marRight w:val="0"/>
          <w:marTop w:val="20"/>
          <w:marBottom w:val="40"/>
          <w:divBdr>
            <w:top w:val="none" w:sz="0" w:space="0" w:color="auto"/>
            <w:left w:val="none" w:sz="0" w:space="0" w:color="auto"/>
            <w:bottom w:val="none" w:sz="0" w:space="0" w:color="auto"/>
            <w:right w:val="none" w:sz="0" w:space="0" w:color="auto"/>
          </w:divBdr>
        </w:div>
        <w:div w:id="419134619">
          <w:marLeft w:val="0"/>
          <w:marRight w:val="0"/>
          <w:marTop w:val="20"/>
          <w:marBottom w:val="40"/>
          <w:divBdr>
            <w:top w:val="none" w:sz="0" w:space="0" w:color="auto"/>
            <w:left w:val="none" w:sz="0" w:space="0" w:color="auto"/>
            <w:bottom w:val="none" w:sz="0" w:space="0" w:color="auto"/>
            <w:right w:val="none" w:sz="0" w:space="0" w:color="auto"/>
          </w:divBdr>
        </w:div>
        <w:div w:id="1995135064">
          <w:marLeft w:val="0"/>
          <w:marRight w:val="0"/>
          <w:marTop w:val="20"/>
          <w:marBottom w:val="40"/>
          <w:divBdr>
            <w:top w:val="none" w:sz="0" w:space="0" w:color="auto"/>
            <w:left w:val="none" w:sz="0" w:space="0" w:color="auto"/>
            <w:bottom w:val="none" w:sz="0" w:space="0" w:color="auto"/>
            <w:right w:val="none" w:sz="0" w:space="0" w:color="auto"/>
          </w:divBdr>
        </w:div>
        <w:div w:id="994987783">
          <w:marLeft w:val="0"/>
          <w:marRight w:val="0"/>
          <w:marTop w:val="20"/>
          <w:marBottom w:val="40"/>
          <w:divBdr>
            <w:top w:val="none" w:sz="0" w:space="0" w:color="auto"/>
            <w:left w:val="none" w:sz="0" w:space="0" w:color="auto"/>
            <w:bottom w:val="none" w:sz="0" w:space="0" w:color="auto"/>
            <w:right w:val="none" w:sz="0" w:space="0" w:color="auto"/>
          </w:divBdr>
        </w:div>
        <w:div w:id="1696808630">
          <w:marLeft w:val="0"/>
          <w:marRight w:val="0"/>
          <w:marTop w:val="20"/>
          <w:marBottom w:val="40"/>
          <w:divBdr>
            <w:top w:val="none" w:sz="0" w:space="0" w:color="auto"/>
            <w:left w:val="none" w:sz="0" w:space="0" w:color="auto"/>
            <w:bottom w:val="none" w:sz="0" w:space="0" w:color="auto"/>
            <w:right w:val="none" w:sz="0" w:space="0" w:color="auto"/>
          </w:divBdr>
        </w:div>
        <w:div w:id="1933194755">
          <w:marLeft w:val="0"/>
          <w:marRight w:val="0"/>
          <w:marTop w:val="20"/>
          <w:marBottom w:val="40"/>
          <w:divBdr>
            <w:top w:val="none" w:sz="0" w:space="0" w:color="auto"/>
            <w:left w:val="none" w:sz="0" w:space="0" w:color="auto"/>
            <w:bottom w:val="none" w:sz="0" w:space="0" w:color="auto"/>
            <w:right w:val="none" w:sz="0" w:space="0" w:color="auto"/>
          </w:divBdr>
        </w:div>
        <w:div w:id="405684218">
          <w:marLeft w:val="0"/>
          <w:marRight w:val="0"/>
          <w:marTop w:val="0"/>
          <w:marBottom w:val="101"/>
          <w:divBdr>
            <w:top w:val="none" w:sz="0" w:space="0" w:color="auto"/>
            <w:left w:val="none" w:sz="0" w:space="0" w:color="auto"/>
            <w:bottom w:val="none" w:sz="0" w:space="0" w:color="auto"/>
            <w:right w:val="none" w:sz="0" w:space="0" w:color="auto"/>
          </w:divBdr>
        </w:div>
        <w:div w:id="1810589201">
          <w:marLeft w:val="0"/>
          <w:marRight w:val="0"/>
          <w:marTop w:val="20"/>
          <w:marBottom w:val="40"/>
          <w:divBdr>
            <w:top w:val="none" w:sz="0" w:space="0" w:color="auto"/>
            <w:left w:val="none" w:sz="0" w:space="0" w:color="auto"/>
            <w:bottom w:val="none" w:sz="0" w:space="0" w:color="auto"/>
            <w:right w:val="none" w:sz="0" w:space="0" w:color="auto"/>
          </w:divBdr>
        </w:div>
        <w:div w:id="1199010322">
          <w:marLeft w:val="0"/>
          <w:marRight w:val="0"/>
          <w:marTop w:val="20"/>
          <w:marBottom w:val="40"/>
          <w:divBdr>
            <w:top w:val="none" w:sz="0" w:space="0" w:color="auto"/>
            <w:left w:val="none" w:sz="0" w:space="0" w:color="auto"/>
            <w:bottom w:val="none" w:sz="0" w:space="0" w:color="auto"/>
            <w:right w:val="none" w:sz="0" w:space="0" w:color="auto"/>
          </w:divBdr>
        </w:div>
        <w:div w:id="1238780176">
          <w:marLeft w:val="0"/>
          <w:marRight w:val="0"/>
          <w:marTop w:val="20"/>
          <w:marBottom w:val="40"/>
          <w:divBdr>
            <w:top w:val="none" w:sz="0" w:space="0" w:color="auto"/>
            <w:left w:val="none" w:sz="0" w:space="0" w:color="auto"/>
            <w:bottom w:val="none" w:sz="0" w:space="0" w:color="auto"/>
            <w:right w:val="none" w:sz="0" w:space="0" w:color="auto"/>
          </w:divBdr>
        </w:div>
        <w:div w:id="221989197">
          <w:marLeft w:val="0"/>
          <w:marRight w:val="0"/>
          <w:marTop w:val="20"/>
          <w:marBottom w:val="40"/>
          <w:divBdr>
            <w:top w:val="none" w:sz="0" w:space="0" w:color="auto"/>
            <w:left w:val="none" w:sz="0" w:space="0" w:color="auto"/>
            <w:bottom w:val="none" w:sz="0" w:space="0" w:color="auto"/>
            <w:right w:val="none" w:sz="0" w:space="0" w:color="auto"/>
          </w:divBdr>
        </w:div>
        <w:div w:id="653030904">
          <w:marLeft w:val="0"/>
          <w:marRight w:val="0"/>
          <w:marTop w:val="20"/>
          <w:marBottom w:val="40"/>
          <w:divBdr>
            <w:top w:val="none" w:sz="0" w:space="0" w:color="auto"/>
            <w:left w:val="none" w:sz="0" w:space="0" w:color="auto"/>
            <w:bottom w:val="none" w:sz="0" w:space="0" w:color="auto"/>
            <w:right w:val="none" w:sz="0" w:space="0" w:color="auto"/>
          </w:divBdr>
        </w:div>
        <w:div w:id="1534149523">
          <w:marLeft w:val="0"/>
          <w:marRight w:val="0"/>
          <w:marTop w:val="20"/>
          <w:marBottom w:val="40"/>
          <w:divBdr>
            <w:top w:val="none" w:sz="0" w:space="0" w:color="auto"/>
            <w:left w:val="none" w:sz="0" w:space="0" w:color="auto"/>
            <w:bottom w:val="none" w:sz="0" w:space="0" w:color="auto"/>
            <w:right w:val="none" w:sz="0" w:space="0" w:color="auto"/>
          </w:divBdr>
        </w:div>
        <w:div w:id="2005741298">
          <w:marLeft w:val="0"/>
          <w:marRight w:val="0"/>
          <w:marTop w:val="20"/>
          <w:marBottom w:val="40"/>
          <w:divBdr>
            <w:top w:val="none" w:sz="0" w:space="0" w:color="auto"/>
            <w:left w:val="none" w:sz="0" w:space="0" w:color="auto"/>
            <w:bottom w:val="none" w:sz="0" w:space="0" w:color="auto"/>
            <w:right w:val="none" w:sz="0" w:space="0" w:color="auto"/>
          </w:divBdr>
        </w:div>
        <w:div w:id="218439868">
          <w:marLeft w:val="0"/>
          <w:marRight w:val="0"/>
          <w:marTop w:val="20"/>
          <w:marBottom w:val="40"/>
          <w:divBdr>
            <w:top w:val="none" w:sz="0" w:space="0" w:color="auto"/>
            <w:left w:val="none" w:sz="0" w:space="0" w:color="auto"/>
            <w:bottom w:val="none" w:sz="0" w:space="0" w:color="auto"/>
            <w:right w:val="none" w:sz="0" w:space="0" w:color="auto"/>
          </w:divBdr>
        </w:div>
        <w:div w:id="1385332582">
          <w:marLeft w:val="0"/>
          <w:marRight w:val="0"/>
          <w:marTop w:val="20"/>
          <w:marBottom w:val="40"/>
          <w:divBdr>
            <w:top w:val="none" w:sz="0" w:space="0" w:color="auto"/>
            <w:left w:val="none" w:sz="0" w:space="0" w:color="auto"/>
            <w:bottom w:val="none" w:sz="0" w:space="0" w:color="auto"/>
            <w:right w:val="none" w:sz="0" w:space="0" w:color="auto"/>
          </w:divBdr>
        </w:div>
        <w:div w:id="1915042595">
          <w:marLeft w:val="0"/>
          <w:marRight w:val="0"/>
          <w:marTop w:val="0"/>
          <w:marBottom w:val="101"/>
          <w:divBdr>
            <w:top w:val="none" w:sz="0" w:space="0" w:color="auto"/>
            <w:left w:val="none" w:sz="0" w:space="0" w:color="auto"/>
            <w:bottom w:val="none" w:sz="0" w:space="0" w:color="auto"/>
            <w:right w:val="none" w:sz="0" w:space="0" w:color="auto"/>
          </w:divBdr>
        </w:div>
        <w:div w:id="1472138985">
          <w:marLeft w:val="0"/>
          <w:marRight w:val="0"/>
          <w:marTop w:val="20"/>
          <w:marBottom w:val="40"/>
          <w:divBdr>
            <w:top w:val="none" w:sz="0" w:space="0" w:color="auto"/>
            <w:left w:val="none" w:sz="0" w:space="0" w:color="auto"/>
            <w:bottom w:val="none" w:sz="0" w:space="0" w:color="auto"/>
            <w:right w:val="none" w:sz="0" w:space="0" w:color="auto"/>
          </w:divBdr>
        </w:div>
        <w:div w:id="197662689">
          <w:marLeft w:val="0"/>
          <w:marRight w:val="0"/>
          <w:marTop w:val="20"/>
          <w:marBottom w:val="40"/>
          <w:divBdr>
            <w:top w:val="none" w:sz="0" w:space="0" w:color="auto"/>
            <w:left w:val="none" w:sz="0" w:space="0" w:color="auto"/>
            <w:bottom w:val="none" w:sz="0" w:space="0" w:color="auto"/>
            <w:right w:val="none" w:sz="0" w:space="0" w:color="auto"/>
          </w:divBdr>
        </w:div>
        <w:div w:id="501235323">
          <w:marLeft w:val="0"/>
          <w:marRight w:val="0"/>
          <w:marTop w:val="20"/>
          <w:marBottom w:val="40"/>
          <w:divBdr>
            <w:top w:val="none" w:sz="0" w:space="0" w:color="auto"/>
            <w:left w:val="none" w:sz="0" w:space="0" w:color="auto"/>
            <w:bottom w:val="none" w:sz="0" w:space="0" w:color="auto"/>
            <w:right w:val="none" w:sz="0" w:space="0" w:color="auto"/>
          </w:divBdr>
        </w:div>
        <w:div w:id="367218199">
          <w:marLeft w:val="0"/>
          <w:marRight w:val="0"/>
          <w:marTop w:val="20"/>
          <w:marBottom w:val="40"/>
          <w:divBdr>
            <w:top w:val="none" w:sz="0" w:space="0" w:color="auto"/>
            <w:left w:val="none" w:sz="0" w:space="0" w:color="auto"/>
            <w:bottom w:val="none" w:sz="0" w:space="0" w:color="auto"/>
            <w:right w:val="none" w:sz="0" w:space="0" w:color="auto"/>
          </w:divBdr>
        </w:div>
        <w:div w:id="2027751558">
          <w:marLeft w:val="0"/>
          <w:marRight w:val="0"/>
          <w:marTop w:val="20"/>
          <w:marBottom w:val="40"/>
          <w:divBdr>
            <w:top w:val="none" w:sz="0" w:space="0" w:color="auto"/>
            <w:left w:val="none" w:sz="0" w:space="0" w:color="auto"/>
            <w:bottom w:val="none" w:sz="0" w:space="0" w:color="auto"/>
            <w:right w:val="none" w:sz="0" w:space="0" w:color="auto"/>
          </w:divBdr>
        </w:div>
        <w:div w:id="390160301">
          <w:marLeft w:val="0"/>
          <w:marRight w:val="0"/>
          <w:marTop w:val="20"/>
          <w:marBottom w:val="40"/>
          <w:divBdr>
            <w:top w:val="none" w:sz="0" w:space="0" w:color="auto"/>
            <w:left w:val="none" w:sz="0" w:space="0" w:color="auto"/>
            <w:bottom w:val="none" w:sz="0" w:space="0" w:color="auto"/>
            <w:right w:val="none" w:sz="0" w:space="0" w:color="auto"/>
          </w:divBdr>
        </w:div>
        <w:div w:id="635989112">
          <w:marLeft w:val="0"/>
          <w:marRight w:val="0"/>
          <w:marTop w:val="20"/>
          <w:marBottom w:val="40"/>
          <w:divBdr>
            <w:top w:val="none" w:sz="0" w:space="0" w:color="auto"/>
            <w:left w:val="none" w:sz="0" w:space="0" w:color="auto"/>
            <w:bottom w:val="none" w:sz="0" w:space="0" w:color="auto"/>
            <w:right w:val="none" w:sz="0" w:space="0" w:color="auto"/>
          </w:divBdr>
        </w:div>
        <w:div w:id="1428575590">
          <w:marLeft w:val="0"/>
          <w:marRight w:val="0"/>
          <w:marTop w:val="20"/>
          <w:marBottom w:val="40"/>
          <w:divBdr>
            <w:top w:val="none" w:sz="0" w:space="0" w:color="auto"/>
            <w:left w:val="none" w:sz="0" w:space="0" w:color="auto"/>
            <w:bottom w:val="none" w:sz="0" w:space="0" w:color="auto"/>
            <w:right w:val="none" w:sz="0" w:space="0" w:color="auto"/>
          </w:divBdr>
        </w:div>
        <w:div w:id="889268850">
          <w:marLeft w:val="0"/>
          <w:marRight w:val="0"/>
          <w:marTop w:val="101"/>
          <w:marBottom w:val="101"/>
          <w:divBdr>
            <w:top w:val="none" w:sz="0" w:space="0" w:color="auto"/>
            <w:left w:val="none" w:sz="0" w:space="0" w:color="auto"/>
            <w:bottom w:val="none" w:sz="0" w:space="0" w:color="auto"/>
            <w:right w:val="none" w:sz="0" w:space="0" w:color="auto"/>
          </w:divBdr>
        </w:div>
        <w:div w:id="1800954110">
          <w:marLeft w:val="0"/>
          <w:marRight w:val="0"/>
          <w:marTop w:val="0"/>
          <w:marBottom w:val="101"/>
          <w:divBdr>
            <w:top w:val="none" w:sz="0" w:space="0" w:color="auto"/>
            <w:left w:val="none" w:sz="0" w:space="0" w:color="auto"/>
            <w:bottom w:val="none" w:sz="0" w:space="0" w:color="auto"/>
            <w:right w:val="none" w:sz="0" w:space="0" w:color="auto"/>
          </w:divBdr>
        </w:div>
        <w:div w:id="675228697">
          <w:marLeft w:val="0"/>
          <w:marRight w:val="0"/>
          <w:marTop w:val="0"/>
          <w:marBottom w:val="101"/>
          <w:divBdr>
            <w:top w:val="none" w:sz="0" w:space="0" w:color="auto"/>
            <w:left w:val="none" w:sz="0" w:space="0" w:color="auto"/>
            <w:bottom w:val="none" w:sz="0" w:space="0" w:color="auto"/>
            <w:right w:val="none" w:sz="0" w:space="0" w:color="auto"/>
          </w:divBdr>
        </w:div>
        <w:div w:id="1449272150">
          <w:marLeft w:val="0"/>
          <w:marRight w:val="0"/>
          <w:marTop w:val="0"/>
          <w:marBottom w:val="101"/>
          <w:divBdr>
            <w:top w:val="none" w:sz="0" w:space="0" w:color="auto"/>
            <w:left w:val="none" w:sz="0" w:space="0" w:color="auto"/>
            <w:bottom w:val="none" w:sz="0" w:space="0" w:color="auto"/>
            <w:right w:val="none" w:sz="0" w:space="0" w:color="auto"/>
          </w:divBdr>
        </w:div>
      </w:divsChild>
    </w:div>
    <w:div w:id="805245881">
      <w:bodyDiv w:val="1"/>
      <w:marLeft w:val="0"/>
      <w:marRight w:val="0"/>
      <w:marTop w:val="0"/>
      <w:marBottom w:val="0"/>
      <w:divBdr>
        <w:top w:val="none" w:sz="0" w:space="0" w:color="auto"/>
        <w:left w:val="none" w:sz="0" w:space="0" w:color="auto"/>
        <w:bottom w:val="none" w:sz="0" w:space="0" w:color="auto"/>
        <w:right w:val="none" w:sz="0" w:space="0" w:color="auto"/>
      </w:divBdr>
    </w:div>
    <w:div w:id="909120131">
      <w:bodyDiv w:val="1"/>
      <w:marLeft w:val="0"/>
      <w:marRight w:val="0"/>
      <w:marTop w:val="0"/>
      <w:marBottom w:val="0"/>
      <w:divBdr>
        <w:top w:val="none" w:sz="0" w:space="0" w:color="auto"/>
        <w:left w:val="none" w:sz="0" w:space="0" w:color="auto"/>
        <w:bottom w:val="none" w:sz="0" w:space="0" w:color="auto"/>
        <w:right w:val="none" w:sz="0" w:space="0" w:color="auto"/>
      </w:divBdr>
    </w:div>
    <w:div w:id="1355574684">
      <w:bodyDiv w:val="1"/>
      <w:marLeft w:val="0"/>
      <w:marRight w:val="0"/>
      <w:marTop w:val="0"/>
      <w:marBottom w:val="0"/>
      <w:divBdr>
        <w:top w:val="none" w:sz="0" w:space="0" w:color="auto"/>
        <w:left w:val="none" w:sz="0" w:space="0" w:color="auto"/>
        <w:bottom w:val="none" w:sz="0" w:space="0" w:color="auto"/>
        <w:right w:val="none" w:sz="0" w:space="0" w:color="auto"/>
      </w:divBdr>
    </w:div>
    <w:div w:id="1625696115">
      <w:bodyDiv w:val="1"/>
      <w:marLeft w:val="0"/>
      <w:marRight w:val="0"/>
      <w:marTop w:val="0"/>
      <w:marBottom w:val="0"/>
      <w:divBdr>
        <w:top w:val="none" w:sz="0" w:space="0" w:color="auto"/>
        <w:left w:val="none" w:sz="0" w:space="0" w:color="auto"/>
        <w:bottom w:val="none" w:sz="0" w:space="0" w:color="auto"/>
        <w:right w:val="none" w:sz="0" w:space="0" w:color="auto"/>
      </w:divBdr>
      <w:divsChild>
        <w:div w:id="1805733862">
          <w:marLeft w:val="0"/>
          <w:marRight w:val="0"/>
          <w:marTop w:val="101"/>
          <w:marBottom w:val="101"/>
          <w:divBdr>
            <w:top w:val="none" w:sz="0" w:space="0" w:color="auto"/>
            <w:left w:val="none" w:sz="0" w:space="0" w:color="auto"/>
            <w:bottom w:val="none" w:sz="0" w:space="0" w:color="auto"/>
            <w:right w:val="none" w:sz="0" w:space="0" w:color="auto"/>
          </w:divBdr>
        </w:div>
        <w:div w:id="1487939845">
          <w:marLeft w:val="0"/>
          <w:marRight w:val="0"/>
          <w:marTop w:val="0"/>
          <w:marBottom w:val="101"/>
          <w:divBdr>
            <w:top w:val="none" w:sz="0" w:space="0" w:color="auto"/>
            <w:left w:val="none" w:sz="0" w:space="0" w:color="auto"/>
            <w:bottom w:val="none" w:sz="0" w:space="0" w:color="auto"/>
            <w:right w:val="none" w:sz="0" w:space="0" w:color="auto"/>
          </w:divBdr>
        </w:div>
        <w:div w:id="1036001645">
          <w:marLeft w:val="0"/>
          <w:marRight w:val="0"/>
          <w:marTop w:val="0"/>
          <w:marBottom w:val="101"/>
          <w:divBdr>
            <w:top w:val="none" w:sz="0" w:space="0" w:color="auto"/>
            <w:left w:val="none" w:sz="0" w:space="0" w:color="auto"/>
            <w:bottom w:val="none" w:sz="0" w:space="0" w:color="auto"/>
            <w:right w:val="none" w:sz="0" w:space="0" w:color="auto"/>
          </w:divBdr>
        </w:div>
        <w:div w:id="1864900705">
          <w:marLeft w:val="0"/>
          <w:marRight w:val="0"/>
          <w:marTop w:val="101"/>
          <w:marBottom w:val="101"/>
          <w:divBdr>
            <w:top w:val="none" w:sz="0" w:space="0" w:color="auto"/>
            <w:left w:val="none" w:sz="0" w:space="0" w:color="auto"/>
            <w:bottom w:val="none" w:sz="0" w:space="0" w:color="auto"/>
            <w:right w:val="none" w:sz="0" w:space="0" w:color="auto"/>
          </w:divBdr>
        </w:div>
        <w:div w:id="1015881920">
          <w:marLeft w:val="0"/>
          <w:marRight w:val="0"/>
          <w:marTop w:val="0"/>
          <w:marBottom w:val="101"/>
          <w:divBdr>
            <w:top w:val="none" w:sz="0" w:space="0" w:color="auto"/>
            <w:left w:val="none" w:sz="0" w:space="0" w:color="auto"/>
            <w:bottom w:val="none" w:sz="0" w:space="0" w:color="auto"/>
            <w:right w:val="none" w:sz="0" w:space="0" w:color="auto"/>
          </w:divBdr>
        </w:div>
        <w:div w:id="147552764">
          <w:marLeft w:val="0"/>
          <w:marRight w:val="0"/>
          <w:marTop w:val="0"/>
          <w:marBottom w:val="101"/>
          <w:divBdr>
            <w:top w:val="none" w:sz="0" w:space="0" w:color="auto"/>
            <w:left w:val="none" w:sz="0" w:space="0" w:color="auto"/>
            <w:bottom w:val="none" w:sz="0" w:space="0" w:color="auto"/>
            <w:right w:val="none" w:sz="0" w:space="0" w:color="auto"/>
          </w:divBdr>
        </w:div>
        <w:div w:id="1385179804">
          <w:marLeft w:val="0"/>
          <w:marRight w:val="0"/>
          <w:marTop w:val="0"/>
          <w:marBottom w:val="101"/>
          <w:divBdr>
            <w:top w:val="none" w:sz="0" w:space="0" w:color="auto"/>
            <w:left w:val="none" w:sz="0" w:space="0" w:color="auto"/>
            <w:bottom w:val="none" w:sz="0" w:space="0" w:color="auto"/>
            <w:right w:val="none" w:sz="0" w:space="0" w:color="auto"/>
          </w:divBdr>
        </w:div>
        <w:div w:id="897978796">
          <w:marLeft w:val="0"/>
          <w:marRight w:val="0"/>
          <w:marTop w:val="0"/>
          <w:marBottom w:val="101"/>
          <w:divBdr>
            <w:top w:val="none" w:sz="0" w:space="0" w:color="auto"/>
            <w:left w:val="none" w:sz="0" w:space="0" w:color="auto"/>
            <w:bottom w:val="none" w:sz="0" w:space="0" w:color="auto"/>
            <w:right w:val="none" w:sz="0" w:space="0" w:color="auto"/>
          </w:divBdr>
        </w:div>
        <w:div w:id="321080757">
          <w:marLeft w:val="0"/>
          <w:marRight w:val="0"/>
          <w:marTop w:val="0"/>
          <w:marBottom w:val="101"/>
          <w:divBdr>
            <w:top w:val="none" w:sz="0" w:space="0" w:color="auto"/>
            <w:left w:val="none" w:sz="0" w:space="0" w:color="auto"/>
            <w:bottom w:val="none" w:sz="0" w:space="0" w:color="auto"/>
            <w:right w:val="none" w:sz="0" w:space="0" w:color="auto"/>
          </w:divBdr>
        </w:div>
        <w:div w:id="665209423">
          <w:marLeft w:val="0"/>
          <w:marRight w:val="0"/>
          <w:marTop w:val="0"/>
          <w:marBottom w:val="101"/>
          <w:divBdr>
            <w:top w:val="none" w:sz="0" w:space="0" w:color="auto"/>
            <w:left w:val="none" w:sz="0" w:space="0" w:color="auto"/>
            <w:bottom w:val="none" w:sz="0" w:space="0" w:color="auto"/>
            <w:right w:val="none" w:sz="0" w:space="0" w:color="auto"/>
          </w:divBdr>
        </w:div>
        <w:div w:id="1352074061">
          <w:marLeft w:val="0"/>
          <w:marRight w:val="0"/>
          <w:marTop w:val="0"/>
          <w:marBottom w:val="101"/>
          <w:divBdr>
            <w:top w:val="none" w:sz="0" w:space="0" w:color="auto"/>
            <w:left w:val="none" w:sz="0" w:space="0" w:color="auto"/>
            <w:bottom w:val="none" w:sz="0" w:space="0" w:color="auto"/>
            <w:right w:val="none" w:sz="0" w:space="0" w:color="auto"/>
          </w:divBdr>
        </w:div>
        <w:div w:id="894897882">
          <w:marLeft w:val="0"/>
          <w:marRight w:val="0"/>
          <w:marTop w:val="0"/>
          <w:marBottom w:val="101"/>
          <w:divBdr>
            <w:top w:val="none" w:sz="0" w:space="0" w:color="auto"/>
            <w:left w:val="none" w:sz="0" w:space="0" w:color="auto"/>
            <w:bottom w:val="none" w:sz="0" w:space="0" w:color="auto"/>
            <w:right w:val="none" w:sz="0" w:space="0" w:color="auto"/>
          </w:divBdr>
        </w:div>
        <w:div w:id="1587767231">
          <w:marLeft w:val="0"/>
          <w:marRight w:val="0"/>
          <w:marTop w:val="0"/>
          <w:marBottom w:val="101"/>
          <w:divBdr>
            <w:top w:val="none" w:sz="0" w:space="0" w:color="auto"/>
            <w:left w:val="none" w:sz="0" w:space="0" w:color="auto"/>
            <w:bottom w:val="none" w:sz="0" w:space="0" w:color="auto"/>
            <w:right w:val="none" w:sz="0" w:space="0" w:color="auto"/>
          </w:divBdr>
        </w:div>
        <w:div w:id="768090153">
          <w:marLeft w:val="0"/>
          <w:marRight w:val="0"/>
          <w:marTop w:val="0"/>
          <w:marBottom w:val="101"/>
          <w:divBdr>
            <w:top w:val="none" w:sz="0" w:space="0" w:color="auto"/>
            <w:left w:val="none" w:sz="0" w:space="0" w:color="auto"/>
            <w:bottom w:val="none" w:sz="0" w:space="0" w:color="auto"/>
            <w:right w:val="none" w:sz="0" w:space="0" w:color="auto"/>
          </w:divBdr>
        </w:div>
        <w:div w:id="1495101021">
          <w:marLeft w:val="0"/>
          <w:marRight w:val="0"/>
          <w:marTop w:val="0"/>
          <w:marBottom w:val="101"/>
          <w:divBdr>
            <w:top w:val="none" w:sz="0" w:space="0" w:color="auto"/>
            <w:left w:val="none" w:sz="0" w:space="0" w:color="auto"/>
            <w:bottom w:val="none" w:sz="0" w:space="0" w:color="auto"/>
            <w:right w:val="none" w:sz="0" w:space="0" w:color="auto"/>
          </w:divBdr>
        </w:div>
        <w:div w:id="450980306">
          <w:marLeft w:val="0"/>
          <w:marRight w:val="0"/>
          <w:marTop w:val="0"/>
          <w:marBottom w:val="101"/>
          <w:divBdr>
            <w:top w:val="none" w:sz="0" w:space="0" w:color="auto"/>
            <w:left w:val="none" w:sz="0" w:space="0" w:color="auto"/>
            <w:bottom w:val="none" w:sz="0" w:space="0" w:color="auto"/>
            <w:right w:val="none" w:sz="0" w:space="0" w:color="auto"/>
          </w:divBdr>
        </w:div>
        <w:div w:id="1258169314">
          <w:marLeft w:val="0"/>
          <w:marRight w:val="0"/>
          <w:marTop w:val="0"/>
          <w:marBottom w:val="101"/>
          <w:divBdr>
            <w:top w:val="none" w:sz="0" w:space="0" w:color="auto"/>
            <w:left w:val="none" w:sz="0" w:space="0" w:color="auto"/>
            <w:bottom w:val="none" w:sz="0" w:space="0" w:color="auto"/>
            <w:right w:val="none" w:sz="0" w:space="0" w:color="auto"/>
          </w:divBdr>
        </w:div>
        <w:div w:id="708266815">
          <w:marLeft w:val="0"/>
          <w:marRight w:val="0"/>
          <w:marTop w:val="0"/>
          <w:marBottom w:val="101"/>
          <w:divBdr>
            <w:top w:val="none" w:sz="0" w:space="0" w:color="auto"/>
            <w:left w:val="none" w:sz="0" w:space="0" w:color="auto"/>
            <w:bottom w:val="none" w:sz="0" w:space="0" w:color="auto"/>
            <w:right w:val="none" w:sz="0" w:space="0" w:color="auto"/>
          </w:divBdr>
        </w:div>
        <w:div w:id="1631400419">
          <w:marLeft w:val="0"/>
          <w:marRight w:val="0"/>
          <w:marTop w:val="0"/>
          <w:marBottom w:val="101"/>
          <w:divBdr>
            <w:top w:val="none" w:sz="0" w:space="0" w:color="auto"/>
            <w:left w:val="none" w:sz="0" w:space="0" w:color="auto"/>
            <w:bottom w:val="none" w:sz="0" w:space="0" w:color="auto"/>
            <w:right w:val="none" w:sz="0" w:space="0" w:color="auto"/>
          </w:divBdr>
        </w:div>
        <w:div w:id="1734084309">
          <w:marLeft w:val="0"/>
          <w:marRight w:val="0"/>
          <w:marTop w:val="0"/>
          <w:marBottom w:val="101"/>
          <w:divBdr>
            <w:top w:val="none" w:sz="0" w:space="0" w:color="auto"/>
            <w:left w:val="none" w:sz="0" w:space="0" w:color="auto"/>
            <w:bottom w:val="none" w:sz="0" w:space="0" w:color="auto"/>
            <w:right w:val="none" w:sz="0" w:space="0" w:color="auto"/>
          </w:divBdr>
        </w:div>
        <w:div w:id="597103146">
          <w:marLeft w:val="0"/>
          <w:marRight w:val="0"/>
          <w:marTop w:val="0"/>
          <w:marBottom w:val="101"/>
          <w:divBdr>
            <w:top w:val="none" w:sz="0" w:space="0" w:color="auto"/>
            <w:left w:val="none" w:sz="0" w:space="0" w:color="auto"/>
            <w:bottom w:val="none" w:sz="0" w:space="0" w:color="auto"/>
            <w:right w:val="none" w:sz="0" w:space="0" w:color="auto"/>
          </w:divBdr>
        </w:div>
        <w:div w:id="1785925864">
          <w:marLeft w:val="0"/>
          <w:marRight w:val="0"/>
          <w:marTop w:val="0"/>
          <w:marBottom w:val="101"/>
          <w:divBdr>
            <w:top w:val="none" w:sz="0" w:space="0" w:color="auto"/>
            <w:left w:val="none" w:sz="0" w:space="0" w:color="auto"/>
            <w:bottom w:val="none" w:sz="0" w:space="0" w:color="auto"/>
            <w:right w:val="none" w:sz="0" w:space="0" w:color="auto"/>
          </w:divBdr>
        </w:div>
        <w:div w:id="606080262">
          <w:marLeft w:val="0"/>
          <w:marRight w:val="0"/>
          <w:marTop w:val="0"/>
          <w:marBottom w:val="101"/>
          <w:divBdr>
            <w:top w:val="none" w:sz="0" w:space="0" w:color="auto"/>
            <w:left w:val="none" w:sz="0" w:space="0" w:color="auto"/>
            <w:bottom w:val="none" w:sz="0" w:space="0" w:color="auto"/>
            <w:right w:val="none" w:sz="0" w:space="0" w:color="auto"/>
          </w:divBdr>
        </w:div>
        <w:div w:id="1004553030">
          <w:marLeft w:val="0"/>
          <w:marRight w:val="0"/>
          <w:marTop w:val="0"/>
          <w:marBottom w:val="101"/>
          <w:divBdr>
            <w:top w:val="none" w:sz="0" w:space="0" w:color="auto"/>
            <w:left w:val="none" w:sz="0" w:space="0" w:color="auto"/>
            <w:bottom w:val="none" w:sz="0" w:space="0" w:color="auto"/>
            <w:right w:val="none" w:sz="0" w:space="0" w:color="auto"/>
          </w:divBdr>
        </w:div>
        <w:div w:id="2064017519">
          <w:marLeft w:val="0"/>
          <w:marRight w:val="0"/>
          <w:marTop w:val="0"/>
          <w:marBottom w:val="101"/>
          <w:divBdr>
            <w:top w:val="none" w:sz="0" w:space="0" w:color="auto"/>
            <w:left w:val="none" w:sz="0" w:space="0" w:color="auto"/>
            <w:bottom w:val="none" w:sz="0" w:space="0" w:color="auto"/>
            <w:right w:val="none" w:sz="0" w:space="0" w:color="auto"/>
          </w:divBdr>
        </w:div>
        <w:div w:id="503980685">
          <w:marLeft w:val="0"/>
          <w:marRight w:val="0"/>
          <w:marTop w:val="0"/>
          <w:marBottom w:val="101"/>
          <w:divBdr>
            <w:top w:val="none" w:sz="0" w:space="0" w:color="auto"/>
            <w:left w:val="none" w:sz="0" w:space="0" w:color="auto"/>
            <w:bottom w:val="none" w:sz="0" w:space="0" w:color="auto"/>
            <w:right w:val="none" w:sz="0" w:space="0" w:color="auto"/>
          </w:divBdr>
        </w:div>
        <w:div w:id="151458100">
          <w:marLeft w:val="0"/>
          <w:marRight w:val="0"/>
          <w:marTop w:val="0"/>
          <w:marBottom w:val="101"/>
          <w:divBdr>
            <w:top w:val="none" w:sz="0" w:space="0" w:color="auto"/>
            <w:left w:val="none" w:sz="0" w:space="0" w:color="auto"/>
            <w:bottom w:val="none" w:sz="0" w:space="0" w:color="auto"/>
            <w:right w:val="none" w:sz="0" w:space="0" w:color="auto"/>
          </w:divBdr>
        </w:div>
        <w:div w:id="360203499">
          <w:marLeft w:val="0"/>
          <w:marRight w:val="0"/>
          <w:marTop w:val="0"/>
          <w:marBottom w:val="101"/>
          <w:divBdr>
            <w:top w:val="none" w:sz="0" w:space="0" w:color="auto"/>
            <w:left w:val="none" w:sz="0" w:space="0" w:color="auto"/>
            <w:bottom w:val="none" w:sz="0" w:space="0" w:color="auto"/>
            <w:right w:val="none" w:sz="0" w:space="0" w:color="auto"/>
          </w:divBdr>
        </w:div>
        <w:div w:id="298655481">
          <w:marLeft w:val="0"/>
          <w:marRight w:val="0"/>
          <w:marTop w:val="0"/>
          <w:marBottom w:val="101"/>
          <w:divBdr>
            <w:top w:val="none" w:sz="0" w:space="0" w:color="auto"/>
            <w:left w:val="none" w:sz="0" w:space="0" w:color="auto"/>
            <w:bottom w:val="none" w:sz="0" w:space="0" w:color="auto"/>
            <w:right w:val="none" w:sz="0" w:space="0" w:color="auto"/>
          </w:divBdr>
        </w:div>
        <w:div w:id="1475877920">
          <w:marLeft w:val="0"/>
          <w:marRight w:val="0"/>
          <w:marTop w:val="0"/>
          <w:marBottom w:val="101"/>
          <w:divBdr>
            <w:top w:val="none" w:sz="0" w:space="0" w:color="auto"/>
            <w:left w:val="none" w:sz="0" w:space="0" w:color="auto"/>
            <w:bottom w:val="none" w:sz="0" w:space="0" w:color="auto"/>
            <w:right w:val="none" w:sz="0" w:space="0" w:color="auto"/>
          </w:divBdr>
        </w:div>
        <w:div w:id="67506580">
          <w:marLeft w:val="0"/>
          <w:marRight w:val="0"/>
          <w:marTop w:val="0"/>
          <w:marBottom w:val="101"/>
          <w:divBdr>
            <w:top w:val="none" w:sz="0" w:space="0" w:color="auto"/>
            <w:left w:val="none" w:sz="0" w:space="0" w:color="auto"/>
            <w:bottom w:val="none" w:sz="0" w:space="0" w:color="auto"/>
            <w:right w:val="none" w:sz="0" w:space="0" w:color="auto"/>
          </w:divBdr>
        </w:div>
        <w:div w:id="1845242154">
          <w:marLeft w:val="0"/>
          <w:marRight w:val="0"/>
          <w:marTop w:val="0"/>
          <w:marBottom w:val="101"/>
          <w:divBdr>
            <w:top w:val="none" w:sz="0" w:space="0" w:color="auto"/>
            <w:left w:val="none" w:sz="0" w:space="0" w:color="auto"/>
            <w:bottom w:val="none" w:sz="0" w:space="0" w:color="auto"/>
            <w:right w:val="none" w:sz="0" w:space="0" w:color="auto"/>
          </w:divBdr>
        </w:div>
        <w:div w:id="1265650711">
          <w:marLeft w:val="0"/>
          <w:marRight w:val="0"/>
          <w:marTop w:val="0"/>
          <w:marBottom w:val="101"/>
          <w:divBdr>
            <w:top w:val="none" w:sz="0" w:space="0" w:color="auto"/>
            <w:left w:val="none" w:sz="0" w:space="0" w:color="auto"/>
            <w:bottom w:val="none" w:sz="0" w:space="0" w:color="auto"/>
            <w:right w:val="none" w:sz="0" w:space="0" w:color="auto"/>
          </w:divBdr>
        </w:div>
        <w:div w:id="884218057">
          <w:marLeft w:val="0"/>
          <w:marRight w:val="0"/>
          <w:marTop w:val="0"/>
          <w:marBottom w:val="101"/>
          <w:divBdr>
            <w:top w:val="none" w:sz="0" w:space="0" w:color="auto"/>
            <w:left w:val="none" w:sz="0" w:space="0" w:color="auto"/>
            <w:bottom w:val="none" w:sz="0" w:space="0" w:color="auto"/>
            <w:right w:val="none" w:sz="0" w:space="0" w:color="auto"/>
          </w:divBdr>
        </w:div>
        <w:div w:id="1803844898">
          <w:marLeft w:val="0"/>
          <w:marRight w:val="0"/>
          <w:marTop w:val="0"/>
          <w:marBottom w:val="101"/>
          <w:divBdr>
            <w:top w:val="none" w:sz="0" w:space="0" w:color="auto"/>
            <w:left w:val="none" w:sz="0" w:space="0" w:color="auto"/>
            <w:bottom w:val="none" w:sz="0" w:space="0" w:color="auto"/>
            <w:right w:val="none" w:sz="0" w:space="0" w:color="auto"/>
          </w:divBdr>
        </w:div>
        <w:div w:id="587690921">
          <w:marLeft w:val="0"/>
          <w:marRight w:val="0"/>
          <w:marTop w:val="0"/>
          <w:marBottom w:val="101"/>
          <w:divBdr>
            <w:top w:val="none" w:sz="0" w:space="0" w:color="auto"/>
            <w:left w:val="none" w:sz="0" w:space="0" w:color="auto"/>
            <w:bottom w:val="none" w:sz="0" w:space="0" w:color="auto"/>
            <w:right w:val="none" w:sz="0" w:space="0" w:color="auto"/>
          </w:divBdr>
        </w:div>
        <w:div w:id="1461218738">
          <w:marLeft w:val="0"/>
          <w:marRight w:val="0"/>
          <w:marTop w:val="0"/>
          <w:marBottom w:val="101"/>
          <w:divBdr>
            <w:top w:val="none" w:sz="0" w:space="0" w:color="auto"/>
            <w:left w:val="none" w:sz="0" w:space="0" w:color="auto"/>
            <w:bottom w:val="none" w:sz="0" w:space="0" w:color="auto"/>
            <w:right w:val="none" w:sz="0" w:space="0" w:color="auto"/>
          </w:divBdr>
        </w:div>
        <w:div w:id="1701973839">
          <w:marLeft w:val="0"/>
          <w:marRight w:val="0"/>
          <w:marTop w:val="0"/>
          <w:marBottom w:val="101"/>
          <w:divBdr>
            <w:top w:val="none" w:sz="0" w:space="0" w:color="auto"/>
            <w:left w:val="none" w:sz="0" w:space="0" w:color="auto"/>
            <w:bottom w:val="none" w:sz="0" w:space="0" w:color="auto"/>
            <w:right w:val="none" w:sz="0" w:space="0" w:color="auto"/>
          </w:divBdr>
        </w:div>
        <w:div w:id="1365671738">
          <w:marLeft w:val="0"/>
          <w:marRight w:val="0"/>
          <w:marTop w:val="0"/>
          <w:marBottom w:val="101"/>
          <w:divBdr>
            <w:top w:val="none" w:sz="0" w:space="0" w:color="auto"/>
            <w:left w:val="none" w:sz="0" w:space="0" w:color="auto"/>
            <w:bottom w:val="none" w:sz="0" w:space="0" w:color="auto"/>
            <w:right w:val="none" w:sz="0" w:space="0" w:color="auto"/>
          </w:divBdr>
        </w:div>
        <w:div w:id="195386801">
          <w:marLeft w:val="0"/>
          <w:marRight w:val="0"/>
          <w:marTop w:val="0"/>
          <w:marBottom w:val="101"/>
          <w:divBdr>
            <w:top w:val="none" w:sz="0" w:space="0" w:color="auto"/>
            <w:left w:val="none" w:sz="0" w:space="0" w:color="auto"/>
            <w:bottom w:val="none" w:sz="0" w:space="0" w:color="auto"/>
            <w:right w:val="none" w:sz="0" w:space="0" w:color="auto"/>
          </w:divBdr>
        </w:div>
        <w:div w:id="1998924294">
          <w:marLeft w:val="0"/>
          <w:marRight w:val="0"/>
          <w:marTop w:val="0"/>
          <w:marBottom w:val="101"/>
          <w:divBdr>
            <w:top w:val="none" w:sz="0" w:space="0" w:color="auto"/>
            <w:left w:val="none" w:sz="0" w:space="0" w:color="auto"/>
            <w:bottom w:val="none" w:sz="0" w:space="0" w:color="auto"/>
            <w:right w:val="none" w:sz="0" w:space="0" w:color="auto"/>
          </w:divBdr>
        </w:div>
        <w:div w:id="2054115996">
          <w:marLeft w:val="0"/>
          <w:marRight w:val="0"/>
          <w:marTop w:val="0"/>
          <w:marBottom w:val="101"/>
          <w:divBdr>
            <w:top w:val="none" w:sz="0" w:space="0" w:color="auto"/>
            <w:left w:val="none" w:sz="0" w:space="0" w:color="auto"/>
            <w:bottom w:val="none" w:sz="0" w:space="0" w:color="auto"/>
            <w:right w:val="none" w:sz="0" w:space="0" w:color="auto"/>
          </w:divBdr>
        </w:div>
        <w:div w:id="1370030490">
          <w:marLeft w:val="0"/>
          <w:marRight w:val="0"/>
          <w:marTop w:val="0"/>
          <w:marBottom w:val="101"/>
          <w:divBdr>
            <w:top w:val="none" w:sz="0" w:space="0" w:color="auto"/>
            <w:left w:val="none" w:sz="0" w:space="0" w:color="auto"/>
            <w:bottom w:val="none" w:sz="0" w:space="0" w:color="auto"/>
            <w:right w:val="none" w:sz="0" w:space="0" w:color="auto"/>
          </w:divBdr>
        </w:div>
        <w:div w:id="2029796466">
          <w:marLeft w:val="0"/>
          <w:marRight w:val="0"/>
          <w:marTop w:val="0"/>
          <w:marBottom w:val="101"/>
          <w:divBdr>
            <w:top w:val="none" w:sz="0" w:space="0" w:color="auto"/>
            <w:left w:val="none" w:sz="0" w:space="0" w:color="auto"/>
            <w:bottom w:val="none" w:sz="0" w:space="0" w:color="auto"/>
            <w:right w:val="none" w:sz="0" w:space="0" w:color="auto"/>
          </w:divBdr>
        </w:div>
        <w:div w:id="2017069214">
          <w:marLeft w:val="0"/>
          <w:marRight w:val="0"/>
          <w:marTop w:val="0"/>
          <w:marBottom w:val="101"/>
          <w:divBdr>
            <w:top w:val="none" w:sz="0" w:space="0" w:color="auto"/>
            <w:left w:val="none" w:sz="0" w:space="0" w:color="auto"/>
            <w:bottom w:val="none" w:sz="0" w:space="0" w:color="auto"/>
            <w:right w:val="none" w:sz="0" w:space="0" w:color="auto"/>
          </w:divBdr>
        </w:div>
        <w:div w:id="282461171">
          <w:marLeft w:val="0"/>
          <w:marRight w:val="0"/>
          <w:marTop w:val="0"/>
          <w:marBottom w:val="101"/>
          <w:divBdr>
            <w:top w:val="none" w:sz="0" w:space="0" w:color="auto"/>
            <w:left w:val="none" w:sz="0" w:space="0" w:color="auto"/>
            <w:bottom w:val="none" w:sz="0" w:space="0" w:color="auto"/>
            <w:right w:val="none" w:sz="0" w:space="0" w:color="auto"/>
          </w:divBdr>
        </w:div>
        <w:div w:id="327904751">
          <w:marLeft w:val="0"/>
          <w:marRight w:val="0"/>
          <w:marTop w:val="0"/>
          <w:marBottom w:val="101"/>
          <w:divBdr>
            <w:top w:val="none" w:sz="0" w:space="0" w:color="auto"/>
            <w:left w:val="none" w:sz="0" w:space="0" w:color="auto"/>
            <w:bottom w:val="none" w:sz="0" w:space="0" w:color="auto"/>
            <w:right w:val="none" w:sz="0" w:space="0" w:color="auto"/>
          </w:divBdr>
        </w:div>
        <w:div w:id="129516902">
          <w:marLeft w:val="0"/>
          <w:marRight w:val="0"/>
          <w:marTop w:val="0"/>
          <w:marBottom w:val="101"/>
          <w:divBdr>
            <w:top w:val="none" w:sz="0" w:space="0" w:color="auto"/>
            <w:left w:val="none" w:sz="0" w:space="0" w:color="auto"/>
            <w:bottom w:val="none" w:sz="0" w:space="0" w:color="auto"/>
            <w:right w:val="none" w:sz="0" w:space="0" w:color="auto"/>
          </w:divBdr>
        </w:div>
        <w:div w:id="1981380531">
          <w:marLeft w:val="0"/>
          <w:marRight w:val="0"/>
          <w:marTop w:val="0"/>
          <w:marBottom w:val="101"/>
          <w:divBdr>
            <w:top w:val="none" w:sz="0" w:space="0" w:color="auto"/>
            <w:left w:val="none" w:sz="0" w:space="0" w:color="auto"/>
            <w:bottom w:val="none" w:sz="0" w:space="0" w:color="auto"/>
            <w:right w:val="none" w:sz="0" w:space="0" w:color="auto"/>
          </w:divBdr>
        </w:div>
        <w:div w:id="673151380">
          <w:marLeft w:val="0"/>
          <w:marRight w:val="0"/>
          <w:marTop w:val="0"/>
          <w:marBottom w:val="101"/>
          <w:divBdr>
            <w:top w:val="none" w:sz="0" w:space="0" w:color="auto"/>
            <w:left w:val="none" w:sz="0" w:space="0" w:color="auto"/>
            <w:bottom w:val="none" w:sz="0" w:space="0" w:color="auto"/>
            <w:right w:val="none" w:sz="0" w:space="0" w:color="auto"/>
          </w:divBdr>
        </w:div>
        <w:div w:id="1368797532">
          <w:marLeft w:val="0"/>
          <w:marRight w:val="0"/>
          <w:marTop w:val="0"/>
          <w:marBottom w:val="101"/>
          <w:divBdr>
            <w:top w:val="none" w:sz="0" w:space="0" w:color="auto"/>
            <w:left w:val="none" w:sz="0" w:space="0" w:color="auto"/>
            <w:bottom w:val="none" w:sz="0" w:space="0" w:color="auto"/>
            <w:right w:val="none" w:sz="0" w:space="0" w:color="auto"/>
          </w:divBdr>
        </w:div>
        <w:div w:id="584996139">
          <w:marLeft w:val="0"/>
          <w:marRight w:val="0"/>
          <w:marTop w:val="0"/>
          <w:marBottom w:val="101"/>
          <w:divBdr>
            <w:top w:val="none" w:sz="0" w:space="0" w:color="auto"/>
            <w:left w:val="none" w:sz="0" w:space="0" w:color="auto"/>
            <w:bottom w:val="none" w:sz="0" w:space="0" w:color="auto"/>
            <w:right w:val="none" w:sz="0" w:space="0" w:color="auto"/>
          </w:divBdr>
        </w:div>
        <w:div w:id="1838961830">
          <w:marLeft w:val="0"/>
          <w:marRight w:val="0"/>
          <w:marTop w:val="0"/>
          <w:marBottom w:val="101"/>
          <w:divBdr>
            <w:top w:val="none" w:sz="0" w:space="0" w:color="auto"/>
            <w:left w:val="none" w:sz="0" w:space="0" w:color="auto"/>
            <w:bottom w:val="none" w:sz="0" w:space="0" w:color="auto"/>
            <w:right w:val="none" w:sz="0" w:space="0" w:color="auto"/>
          </w:divBdr>
        </w:div>
        <w:div w:id="135725358">
          <w:marLeft w:val="0"/>
          <w:marRight w:val="0"/>
          <w:marTop w:val="0"/>
          <w:marBottom w:val="101"/>
          <w:divBdr>
            <w:top w:val="none" w:sz="0" w:space="0" w:color="auto"/>
            <w:left w:val="none" w:sz="0" w:space="0" w:color="auto"/>
            <w:bottom w:val="none" w:sz="0" w:space="0" w:color="auto"/>
            <w:right w:val="none" w:sz="0" w:space="0" w:color="auto"/>
          </w:divBdr>
        </w:div>
        <w:div w:id="1078553833">
          <w:marLeft w:val="0"/>
          <w:marRight w:val="0"/>
          <w:marTop w:val="0"/>
          <w:marBottom w:val="101"/>
          <w:divBdr>
            <w:top w:val="none" w:sz="0" w:space="0" w:color="auto"/>
            <w:left w:val="none" w:sz="0" w:space="0" w:color="auto"/>
            <w:bottom w:val="none" w:sz="0" w:space="0" w:color="auto"/>
            <w:right w:val="none" w:sz="0" w:space="0" w:color="auto"/>
          </w:divBdr>
        </w:div>
        <w:div w:id="1017661792">
          <w:marLeft w:val="0"/>
          <w:marRight w:val="0"/>
          <w:marTop w:val="0"/>
          <w:marBottom w:val="101"/>
          <w:divBdr>
            <w:top w:val="none" w:sz="0" w:space="0" w:color="auto"/>
            <w:left w:val="none" w:sz="0" w:space="0" w:color="auto"/>
            <w:bottom w:val="none" w:sz="0" w:space="0" w:color="auto"/>
            <w:right w:val="none" w:sz="0" w:space="0" w:color="auto"/>
          </w:divBdr>
        </w:div>
        <w:div w:id="1954631102">
          <w:marLeft w:val="0"/>
          <w:marRight w:val="0"/>
          <w:marTop w:val="0"/>
          <w:marBottom w:val="101"/>
          <w:divBdr>
            <w:top w:val="none" w:sz="0" w:space="0" w:color="auto"/>
            <w:left w:val="none" w:sz="0" w:space="0" w:color="auto"/>
            <w:bottom w:val="none" w:sz="0" w:space="0" w:color="auto"/>
            <w:right w:val="none" w:sz="0" w:space="0" w:color="auto"/>
          </w:divBdr>
        </w:div>
        <w:div w:id="226306737">
          <w:marLeft w:val="0"/>
          <w:marRight w:val="0"/>
          <w:marTop w:val="0"/>
          <w:marBottom w:val="101"/>
          <w:divBdr>
            <w:top w:val="none" w:sz="0" w:space="0" w:color="auto"/>
            <w:left w:val="none" w:sz="0" w:space="0" w:color="auto"/>
            <w:bottom w:val="none" w:sz="0" w:space="0" w:color="auto"/>
            <w:right w:val="none" w:sz="0" w:space="0" w:color="auto"/>
          </w:divBdr>
        </w:div>
        <w:div w:id="1462306310">
          <w:marLeft w:val="0"/>
          <w:marRight w:val="0"/>
          <w:marTop w:val="0"/>
          <w:marBottom w:val="101"/>
          <w:divBdr>
            <w:top w:val="none" w:sz="0" w:space="0" w:color="auto"/>
            <w:left w:val="none" w:sz="0" w:space="0" w:color="auto"/>
            <w:bottom w:val="none" w:sz="0" w:space="0" w:color="auto"/>
            <w:right w:val="none" w:sz="0" w:space="0" w:color="auto"/>
          </w:divBdr>
        </w:div>
        <w:div w:id="474568394">
          <w:marLeft w:val="0"/>
          <w:marRight w:val="0"/>
          <w:marTop w:val="0"/>
          <w:marBottom w:val="101"/>
          <w:divBdr>
            <w:top w:val="none" w:sz="0" w:space="0" w:color="auto"/>
            <w:left w:val="none" w:sz="0" w:space="0" w:color="auto"/>
            <w:bottom w:val="none" w:sz="0" w:space="0" w:color="auto"/>
            <w:right w:val="none" w:sz="0" w:space="0" w:color="auto"/>
          </w:divBdr>
        </w:div>
        <w:div w:id="533466566">
          <w:marLeft w:val="0"/>
          <w:marRight w:val="0"/>
          <w:marTop w:val="0"/>
          <w:marBottom w:val="101"/>
          <w:divBdr>
            <w:top w:val="none" w:sz="0" w:space="0" w:color="auto"/>
            <w:left w:val="none" w:sz="0" w:space="0" w:color="auto"/>
            <w:bottom w:val="none" w:sz="0" w:space="0" w:color="auto"/>
            <w:right w:val="none" w:sz="0" w:space="0" w:color="auto"/>
          </w:divBdr>
        </w:div>
        <w:div w:id="1766263238">
          <w:marLeft w:val="0"/>
          <w:marRight w:val="0"/>
          <w:marTop w:val="0"/>
          <w:marBottom w:val="101"/>
          <w:divBdr>
            <w:top w:val="none" w:sz="0" w:space="0" w:color="auto"/>
            <w:left w:val="none" w:sz="0" w:space="0" w:color="auto"/>
            <w:bottom w:val="none" w:sz="0" w:space="0" w:color="auto"/>
            <w:right w:val="none" w:sz="0" w:space="0" w:color="auto"/>
          </w:divBdr>
        </w:div>
        <w:div w:id="2117482906">
          <w:marLeft w:val="0"/>
          <w:marRight w:val="0"/>
          <w:marTop w:val="0"/>
          <w:marBottom w:val="101"/>
          <w:divBdr>
            <w:top w:val="none" w:sz="0" w:space="0" w:color="auto"/>
            <w:left w:val="none" w:sz="0" w:space="0" w:color="auto"/>
            <w:bottom w:val="none" w:sz="0" w:space="0" w:color="auto"/>
            <w:right w:val="none" w:sz="0" w:space="0" w:color="auto"/>
          </w:divBdr>
        </w:div>
        <w:div w:id="1564949120">
          <w:marLeft w:val="0"/>
          <w:marRight w:val="0"/>
          <w:marTop w:val="0"/>
          <w:marBottom w:val="101"/>
          <w:divBdr>
            <w:top w:val="none" w:sz="0" w:space="0" w:color="auto"/>
            <w:left w:val="none" w:sz="0" w:space="0" w:color="auto"/>
            <w:bottom w:val="none" w:sz="0" w:space="0" w:color="auto"/>
            <w:right w:val="none" w:sz="0" w:space="0" w:color="auto"/>
          </w:divBdr>
        </w:div>
        <w:div w:id="1243637740">
          <w:marLeft w:val="0"/>
          <w:marRight w:val="0"/>
          <w:marTop w:val="0"/>
          <w:marBottom w:val="101"/>
          <w:divBdr>
            <w:top w:val="none" w:sz="0" w:space="0" w:color="auto"/>
            <w:left w:val="none" w:sz="0" w:space="0" w:color="auto"/>
            <w:bottom w:val="none" w:sz="0" w:space="0" w:color="auto"/>
            <w:right w:val="none" w:sz="0" w:space="0" w:color="auto"/>
          </w:divBdr>
        </w:div>
        <w:div w:id="1752696464">
          <w:marLeft w:val="0"/>
          <w:marRight w:val="0"/>
          <w:marTop w:val="0"/>
          <w:marBottom w:val="101"/>
          <w:divBdr>
            <w:top w:val="none" w:sz="0" w:space="0" w:color="auto"/>
            <w:left w:val="none" w:sz="0" w:space="0" w:color="auto"/>
            <w:bottom w:val="none" w:sz="0" w:space="0" w:color="auto"/>
            <w:right w:val="none" w:sz="0" w:space="0" w:color="auto"/>
          </w:divBdr>
        </w:div>
        <w:div w:id="1147093474">
          <w:marLeft w:val="0"/>
          <w:marRight w:val="0"/>
          <w:marTop w:val="0"/>
          <w:marBottom w:val="101"/>
          <w:divBdr>
            <w:top w:val="none" w:sz="0" w:space="0" w:color="auto"/>
            <w:left w:val="none" w:sz="0" w:space="0" w:color="auto"/>
            <w:bottom w:val="none" w:sz="0" w:space="0" w:color="auto"/>
            <w:right w:val="none" w:sz="0" w:space="0" w:color="auto"/>
          </w:divBdr>
        </w:div>
        <w:div w:id="266738635">
          <w:marLeft w:val="0"/>
          <w:marRight w:val="0"/>
          <w:marTop w:val="0"/>
          <w:marBottom w:val="101"/>
          <w:divBdr>
            <w:top w:val="none" w:sz="0" w:space="0" w:color="auto"/>
            <w:left w:val="none" w:sz="0" w:space="0" w:color="auto"/>
            <w:bottom w:val="none" w:sz="0" w:space="0" w:color="auto"/>
            <w:right w:val="none" w:sz="0" w:space="0" w:color="auto"/>
          </w:divBdr>
        </w:div>
        <w:div w:id="1074624138">
          <w:marLeft w:val="0"/>
          <w:marRight w:val="0"/>
          <w:marTop w:val="0"/>
          <w:marBottom w:val="101"/>
          <w:divBdr>
            <w:top w:val="none" w:sz="0" w:space="0" w:color="auto"/>
            <w:left w:val="none" w:sz="0" w:space="0" w:color="auto"/>
            <w:bottom w:val="none" w:sz="0" w:space="0" w:color="auto"/>
            <w:right w:val="none" w:sz="0" w:space="0" w:color="auto"/>
          </w:divBdr>
        </w:div>
        <w:div w:id="1072237253">
          <w:marLeft w:val="0"/>
          <w:marRight w:val="0"/>
          <w:marTop w:val="0"/>
          <w:marBottom w:val="101"/>
          <w:divBdr>
            <w:top w:val="none" w:sz="0" w:space="0" w:color="auto"/>
            <w:left w:val="none" w:sz="0" w:space="0" w:color="auto"/>
            <w:bottom w:val="none" w:sz="0" w:space="0" w:color="auto"/>
            <w:right w:val="none" w:sz="0" w:space="0" w:color="auto"/>
          </w:divBdr>
        </w:div>
        <w:div w:id="815030721">
          <w:marLeft w:val="0"/>
          <w:marRight w:val="0"/>
          <w:marTop w:val="0"/>
          <w:marBottom w:val="101"/>
          <w:divBdr>
            <w:top w:val="none" w:sz="0" w:space="0" w:color="auto"/>
            <w:left w:val="none" w:sz="0" w:space="0" w:color="auto"/>
            <w:bottom w:val="none" w:sz="0" w:space="0" w:color="auto"/>
            <w:right w:val="none" w:sz="0" w:space="0" w:color="auto"/>
          </w:divBdr>
        </w:div>
        <w:div w:id="1492602923">
          <w:marLeft w:val="0"/>
          <w:marRight w:val="0"/>
          <w:marTop w:val="0"/>
          <w:marBottom w:val="101"/>
          <w:divBdr>
            <w:top w:val="none" w:sz="0" w:space="0" w:color="auto"/>
            <w:left w:val="none" w:sz="0" w:space="0" w:color="auto"/>
            <w:bottom w:val="none" w:sz="0" w:space="0" w:color="auto"/>
            <w:right w:val="none" w:sz="0" w:space="0" w:color="auto"/>
          </w:divBdr>
        </w:div>
        <w:div w:id="468715895">
          <w:marLeft w:val="0"/>
          <w:marRight w:val="0"/>
          <w:marTop w:val="0"/>
          <w:marBottom w:val="101"/>
          <w:divBdr>
            <w:top w:val="none" w:sz="0" w:space="0" w:color="auto"/>
            <w:left w:val="none" w:sz="0" w:space="0" w:color="auto"/>
            <w:bottom w:val="none" w:sz="0" w:space="0" w:color="auto"/>
            <w:right w:val="none" w:sz="0" w:space="0" w:color="auto"/>
          </w:divBdr>
        </w:div>
        <w:div w:id="839276961">
          <w:marLeft w:val="0"/>
          <w:marRight w:val="0"/>
          <w:marTop w:val="0"/>
          <w:marBottom w:val="101"/>
          <w:divBdr>
            <w:top w:val="none" w:sz="0" w:space="0" w:color="auto"/>
            <w:left w:val="none" w:sz="0" w:space="0" w:color="auto"/>
            <w:bottom w:val="none" w:sz="0" w:space="0" w:color="auto"/>
            <w:right w:val="none" w:sz="0" w:space="0" w:color="auto"/>
          </w:divBdr>
        </w:div>
        <w:div w:id="522287519">
          <w:marLeft w:val="0"/>
          <w:marRight w:val="0"/>
          <w:marTop w:val="0"/>
          <w:marBottom w:val="101"/>
          <w:divBdr>
            <w:top w:val="none" w:sz="0" w:space="0" w:color="auto"/>
            <w:left w:val="none" w:sz="0" w:space="0" w:color="auto"/>
            <w:bottom w:val="none" w:sz="0" w:space="0" w:color="auto"/>
            <w:right w:val="none" w:sz="0" w:space="0" w:color="auto"/>
          </w:divBdr>
        </w:div>
        <w:div w:id="1851213696">
          <w:marLeft w:val="0"/>
          <w:marRight w:val="0"/>
          <w:marTop w:val="0"/>
          <w:marBottom w:val="101"/>
          <w:divBdr>
            <w:top w:val="none" w:sz="0" w:space="0" w:color="auto"/>
            <w:left w:val="none" w:sz="0" w:space="0" w:color="auto"/>
            <w:bottom w:val="none" w:sz="0" w:space="0" w:color="auto"/>
            <w:right w:val="none" w:sz="0" w:space="0" w:color="auto"/>
          </w:divBdr>
        </w:div>
        <w:div w:id="288779418">
          <w:marLeft w:val="0"/>
          <w:marRight w:val="0"/>
          <w:marTop w:val="0"/>
          <w:marBottom w:val="101"/>
          <w:divBdr>
            <w:top w:val="none" w:sz="0" w:space="0" w:color="auto"/>
            <w:left w:val="none" w:sz="0" w:space="0" w:color="auto"/>
            <w:bottom w:val="none" w:sz="0" w:space="0" w:color="auto"/>
            <w:right w:val="none" w:sz="0" w:space="0" w:color="auto"/>
          </w:divBdr>
        </w:div>
        <w:div w:id="898057565">
          <w:marLeft w:val="0"/>
          <w:marRight w:val="0"/>
          <w:marTop w:val="0"/>
          <w:marBottom w:val="101"/>
          <w:divBdr>
            <w:top w:val="none" w:sz="0" w:space="0" w:color="auto"/>
            <w:left w:val="none" w:sz="0" w:space="0" w:color="auto"/>
            <w:bottom w:val="none" w:sz="0" w:space="0" w:color="auto"/>
            <w:right w:val="none" w:sz="0" w:space="0" w:color="auto"/>
          </w:divBdr>
        </w:div>
        <w:div w:id="700861308">
          <w:marLeft w:val="0"/>
          <w:marRight w:val="0"/>
          <w:marTop w:val="0"/>
          <w:marBottom w:val="101"/>
          <w:divBdr>
            <w:top w:val="none" w:sz="0" w:space="0" w:color="auto"/>
            <w:left w:val="none" w:sz="0" w:space="0" w:color="auto"/>
            <w:bottom w:val="none" w:sz="0" w:space="0" w:color="auto"/>
            <w:right w:val="none" w:sz="0" w:space="0" w:color="auto"/>
          </w:divBdr>
        </w:div>
        <w:div w:id="1683161975">
          <w:marLeft w:val="0"/>
          <w:marRight w:val="0"/>
          <w:marTop w:val="40"/>
          <w:marBottom w:val="32"/>
          <w:divBdr>
            <w:top w:val="none" w:sz="0" w:space="0" w:color="auto"/>
            <w:left w:val="none" w:sz="0" w:space="0" w:color="auto"/>
            <w:bottom w:val="none" w:sz="0" w:space="0" w:color="auto"/>
            <w:right w:val="none" w:sz="0" w:space="0" w:color="auto"/>
          </w:divBdr>
        </w:div>
        <w:div w:id="58788724">
          <w:marLeft w:val="0"/>
          <w:marRight w:val="0"/>
          <w:marTop w:val="40"/>
          <w:marBottom w:val="32"/>
          <w:divBdr>
            <w:top w:val="none" w:sz="0" w:space="0" w:color="auto"/>
            <w:left w:val="none" w:sz="0" w:space="0" w:color="auto"/>
            <w:bottom w:val="none" w:sz="0" w:space="0" w:color="auto"/>
            <w:right w:val="none" w:sz="0" w:space="0" w:color="auto"/>
          </w:divBdr>
        </w:div>
        <w:div w:id="1968394709">
          <w:marLeft w:val="0"/>
          <w:marRight w:val="0"/>
          <w:marTop w:val="40"/>
          <w:marBottom w:val="32"/>
          <w:divBdr>
            <w:top w:val="none" w:sz="0" w:space="0" w:color="auto"/>
            <w:left w:val="none" w:sz="0" w:space="0" w:color="auto"/>
            <w:bottom w:val="none" w:sz="0" w:space="0" w:color="auto"/>
            <w:right w:val="none" w:sz="0" w:space="0" w:color="auto"/>
          </w:divBdr>
        </w:div>
        <w:div w:id="1875383100">
          <w:marLeft w:val="0"/>
          <w:marRight w:val="0"/>
          <w:marTop w:val="40"/>
          <w:marBottom w:val="32"/>
          <w:divBdr>
            <w:top w:val="none" w:sz="0" w:space="0" w:color="auto"/>
            <w:left w:val="none" w:sz="0" w:space="0" w:color="auto"/>
            <w:bottom w:val="none" w:sz="0" w:space="0" w:color="auto"/>
            <w:right w:val="none" w:sz="0" w:space="0" w:color="auto"/>
          </w:divBdr>
        </w:div>
        <w:div w:id="1783958822">
          <w:marLeft w:val="0"/>
          <w:marRight w:val="0"/>
          <w:marTop w:val="40"/>
          <w:marBottom w:val="32"/>
          <w:divBdr>
            <w:top w:val="none" w:sz="0" w:space="0" w:color="auto"/>
            <w:left w:val="none" w:sz="0" w:space="0" w:color="auto"/>
            <w:bottom w:val="none" w:sz="0" w:space="0" w:color="auto"/>
            <w:right w:val="none" w:sz="0" w:space="0" w:color="auto"/>
          </w:divBdr>
        </w:div>
        <w:div w:id="1982299906">
          <w:marLeft w:val="0"/>
          <w:marRight w:val="0"/>
          <w:marTop w:val="40"/>
          <w:marBottom w:val="32"/>
          <w:divBdr>
            <w:top w:val="none" w:sz="0" w:space="0" w:color="auto"/>
            <w:left w:val="none" w:sz="0" w:space="0" w:color="auto"/>
            <w:bottom w:val="none" w:sz="0" w:space="0" w:color="auto"/>
            <w:right w:val="none" w:sz="0" w:space="0" w:color="auto"/>
          </w:divBdr>
        </w:div>
        <w:div w:id="376396759">
          <w:marLeft w:val="0"/>
          <w:marRight w:val="0"/>
          <w:marTop w:val="40"/>
          <w:marBottom w:val="32"/>
          <w:divBdr>
            <w:top w:val="none" w:sz="0" w:space="0" w:color="auto"/>
            <w:left w:val="none" w:sz="0" w:space="0" w:color="auto"/>
            <w:bottom w:val="none" w:sz="0" w:space="0" w:color="auto"/>
            <w:right w:val="none" w:sz="0" w:space="0" w:color="auto"/>
          </w:divBdr>
        </w:div>
        <w:div w:id="1506818059">
          <w:marLeft w:val="0"/>
          <w:marRight w:val="0"/>
          <w:marTop w:val="40"/>
          <w:marBottom w:val="32"/>
          <w:divBdr>
            <w:top w:val="none" w:sz="0" w:space="0" w:color="auto"/>
            <w:left w:val="none" w:sz="0" w:space="0" w:color="auto"/>
            <w:bottom w:val="none" w:sz="0" w:space="0" w:color="auto"/>
            <w:right w:val="none" w:sz="0" w:space="0" w:color="auto"/>
          </w:divBdr>
        </w:div>
        <w:div w:id="539127853">
          <w:marLeft w:val="0"/>
          <w:marRight w:val="0"/>
          <w:marTop w:val="40"/>
          <w:marBottom w:val="32"/>
          <w:divBdr>
            <w:top w:val="none" w:sz="0" w:space="0" w:color="auto"/>
            <w:left w:val="none" w:sz="0" w:space="0" w:color="auto"/>
            <w:bottom w:val="none" w:sz="0" w:space="0" w:color="auto"/>
            <w:right w:val="none" w:sz="0" w:space="0" w:color="auto"/>
          </w:divBdr>
        </w:div>
        <w:div w:id="310716250">
          <w:marLeft w:val="0"/>
          <w:marRight w:val="0"/>
          <w:marTop w:val="40"/>
          <w:marBottom w:val="32"/>
          <w:divBdr>
            <w:top w:val="none" w:sz="0" w:space="0" w:color="auto"/>
            <w:left w:val="none" w:sz="0" w:space="0" w:color="auto"/>
            <w:bottom w:val="none" w:sz="0" w:space="0" w:color="auto"/>
            <w:right w:val="none" w:sz="0" w:space="0" w:color="auto"/>
          </w:divBdr>
        </w:div>
        <w:div w:id="1210067127">
          <w:marLeft w:val="0"/>
          <w:marRight w:val="0"/>
          <w:marTop w:val="40"/>
          <w:marBottom w:val="32"/>
          <w:divBdr>
            <w:top w:val="none" w:sz="0" w:space="0" w:color="auto"/>
            <w:left w:val="none" w:sz="0" w:space="0" w:color="auto"/>
            <w:bottom w:val="none" w:sz="0" w:space="0" w:color="auto"/>
            <w:right w:val="none" w:sz="0" w:space="0" w:color="auto"/>
          </w:divBdr>
        </w:div>
        <w:div w:id="177429379">
          <w:marLeft w:val="0"/>
          <w:marRight w:val="0"/>
          <w:marTop w:val="40"/>
          <w:marBottom w:val="32"/>
          <w:divBdr>
            <w:top w:val="none" w:sz="0" w:space="0" w:color="auto"/>
            <w:left w:val="none" w:sz="0" w:space="0" w:color="auto"/>
            <w:bottom w:val="none" w:sz="0" w:space="0" w:color="auto"/>
            <w:right w:val="none" w:sz="0" w:space="0" w:color="auto"/>
          </w:divBdr>
        </w:div>
        <w:div w:id="1100754031">
          <w:marLeft w:val="0"/>
          <w:marRight w:val="0"/>
          <w:marTop w:val="40"/>
          <w:marBottom w:val="32"/>
          <w:divBdr>
            <w:top w:val="none" w:sz="0" w:space="0" w:color="auto"/>
            <w:left w:val="none" w:sz="0" w:space="0" w:color="auto"/>
            <w:bottom w:val="none" w:sz="0" w:space="0" w:color="auto"/>
            <w:right w:val="none" w:sz="0" w:space="0" w:color="auto"/>
          </w:divBdr>
        </w:div>
        <w:div w:id="774054604">
          <w:marLeft w:val="0"/>
          <w:marRight w:val="0"/>
          <w:marTop w:val="40"/>
          <w:marBottom w:val="32"/>
          <w:divBdr>
            <w:top w:val="none" w:sz="0" w:space="0" w:color="auto"/>
            <w:left w:val="none" w:sz="0" w:space="0" w:color="auto"/>
            <w:bottom w:val="none" w:sz="0" w:space="0" w:color="auto"/>
            <w:right w:val="none" w:sz="0" w:space="0" w:color="auto"/>
          </w:divBdr>
        </w:div>
        <w:div w:id="4404157">
          <w:marLeft w:val="0"/>
          <w:marRight w:val="0"/>
          <w:marTop w:val="40"/>
          <w:marBottom w:val="32"/>
          <w:divBdr>
            <w:top w:val="none" w:sz="0" w:space="0" w:color="auto"/>
            <w:left w:val="none" w:sz="0" w:space="0" w:color="auto"/>
            <w:bottom w:val="none" w:sz="0" w:space="0" w:color="auto"/>
            <w:right w:val="none" w:sz="0" w:space="0" w:color="auto"/>
          </w:divBdr>
        </w:div>
        <w:div w:id="2086763159">
          <w:marLeft w:val="0"/>
          <w:marRight w:val="0"/>
          <w:marTop w:val="40"/>
          <w:marBottom w:val="32"/>
          <w:divBdr>
            <w:top w:val="none" w:sz="0" w:space="0" w:color="auto"/>
            <w:left w:val="none" w:sz="0" w:space="0" w:color="auto"/>
            <w:bottom w:val="none" w:sz="0" w:space="0" w:color="auto"/>
            <w:right w:val="none" w:sz="0" w:space="0" w:color="auto"/>
          </w:divBdr>
        </w:div>
        <w:div w:id="279916885">
          <w:marLeft w:val="0"/>
          <w:marRight w:val="0"/>
          <w:marTop w:val="40"/>
          <w:marBottom w:val="32"/>
          <w:divBdr>
            <w:top w:val="none" w:sz="0" w:space="0" w:color="auto"/>
            <w:left w:val="none" w:sz="0" w:space="0" w:color="auto"/>
            <w:bottom w:val="none" w:sz="0" w:space="0" w:color="auto"/>
            <w:right w:val="none" w:sz="0" w:space="0" w:color="auto"/>
          </w:divBdr>
        </w:div>
        <w:div w:id="850417676">
          <w:marLeft w:val="0"/>
          <w:marRight w:val="0"/>
          <w:marTop w:val="40"/>
          <w:marBottom w:val="32"/>
          <w:divBdr>
            <w:top w:val="none" w:sz="0" w:space="0" w:color="auto"/>
            <w:left w:val="none" w:sz="0" w:space="0" w:color="auto"/>
            <w:bottom w:val="none" w:sz="0" w:space="0" w:color="auto"/>
            <w:right w:val="none" w:sz="0" w:space="0" w:color="auto"/>
          </w:divBdr>
        </w:div>
        <w:div w:id="1591155667">
          <w:marLeft w:val="0"/>
          <w:marRight w:val="0"/>
          <w:marTop w:val="40"/>
          <w:marBottom w:val="32"/>
          <w:divBdr>
            <w:top w:val="none" w:sz="0" w:space="0" w:color="auto"/>
            <w:left w:val="none" w:sz="0" w:space="0" w:color="auto"/>
            <w:bottom w:val="none" w:sz="0" w:space="0" w:color="auto"/>
            <w:right w:val="none" w:sz="0" w:space="0" w:color="auto"/>
          </w:divBdr>
        </w:div>
        <w:div w:id="1922441740">
          <w:marLeft w:val="0"/>
          <w:marRight w:val="0"/>
          <w:marTop w:val="40"/>
          <w:marBottom w:val="32"/>
          <w:divBdr>
            <w:top w:val="none" w:sz="0" w:space="0" w:color="auto"/>
            <w:left w:val="none" w:sz="0" w:space="0" w:color="auto"/>
            <w:bottom w:val="none" w:sz="0" w:space="0" w:color="auto"/>
            <w:right w:val="none" w:sz="0" w:space="0" w:color="auto"/>
          </w:divBdr>
        </w:div>
        <w:div w:id="950010358">
          <w:marLeft w:val="0"/>
          <w:marRight w:val="0"/>
          <w:marTop w:val="40"/>
          <w:marBottom w:val="32"/>
          <w:divBdr>
            <w:top w:val="none" w:sz="0" w:space="0" w:color="auto"/>
            <w:left w:val="none" w:sz="0" w:space="0" w:color="auto"/>
            <w:bottom w:val="none" w:sz="0" w:space="0" w:color="auto"/>
            <w:right w:val="none" w:sz="0" w:space="0" w:color="auto"/>
          </w:divBdr>
        </w:div>
        <w:div w:id="912550310">
          <w:marLeft w:val="0"/>
          <w:marRight w:val="0"/>
          <w:marTop w:val="40"/>
          <w:marBottom w:val="32"/>
          <w:divBdr>
            <w:top w:val="none" w:sz="0" w:space="0" w:color="auto"/>
            <w:left w:val="none" w:sz="0" w:space="0" w:color="auto"/>
            <w:bottom w:val="none" w:sz="0" w:space="0" w:color="auto"/>
            <w:right w:val="none" w:sz="0" w:space="0" w:color="auto"/>
          </w:divBdr>
        </w:div>
        <w:div w:id="762917028">
          <w:marLeft w:val="0"/>
          <w:marRight w:val="0"/>
          <w:marTop w:val="40"/>
          <w:marBottom w:val="32"/>
          <w:divBdr>
            <w:top w:val="none" w:sz="0" w:space="0" w:color="auto"/>
            <w:left w:val="none" w:sz="0" w:space="0" w:color="auto"/>
            <w:bottom w:val="none" w:sz="0" w:space="0" w:color="auto"/>
            <w:right w:val="none" w:sz="0" w:space="0" w:color="auto"/>
          </w:divBdr>
        </w:div>
        <w:div w:id="126052089">
          <w:marLeft w:val="0"/>
          <w:marRight w:val="0"/>
          <w:marTop w:val="40"/>
          <w:marBottom w:val="32"/>
          <w:divBdr>
            <w:top w:val="none" w:sz="0" w:space="0" w:color="auto"/>
            <w:left w:val="none" w:sz="0" w:space="0" w:color="auto"/>
            <w:bottom w:val="none" w:sz="0" w:space="0" w:color="auto"/>
            <w:right w:val="none" w:sz="0" w:space="0" w:color="auto"/>
          </w:divBdr>
        </w:div>
        <w:div w:id="63843174">
          <w:marLeft w:val="0"/>
          <w:marRight w:val="0"/>
          <w:marTop w:val="40"/>
          <w:marBottom w:val="32"/>
          <w:divBdr>
            <w:top w:val="none" w:sz="0" w:space="0" w:color="auto"/>
            <w:left w:val="none" w:sz="0" w:space="0" w:color="auto"/>
            <w:bottom w:val="none" w:sz="0" w:space="0" w:color="auto"/>
            <w:right w:val="none" w:sz="0" w:space="0" w:color="auto"/>
          </w:divBdr>
        </w:div>
        <w:div w:id="98067408">
          <w:marLeft w:val="0"/>
          <w:marRight w:val="0"/>
          <w:marTop w:val="40"/>
          <w:marBottom w:val="32"/>
          <w:divBdr>
            <w:top w:val="none" w:sz="0" w:space="0" w:color="auto"/>
            <w:left w:val="none" w:sz="0" w:space="0" w:color="auto"/>
            <w:bottom w:val="none" w:sz="0" w:space="0" w:color="auto"/>
            <w:right w:val="none" w:sz="0" w:space="0" w:color="auto"/>
          </w:divBdr>
        </w:div>
        <w:div w:id="1469469208">
          <w:marLeft w:val="0"/>
          <w:marRight w:val="0"/>
          <w:marTop w:val="40"/>
          <w:marBottom w:val="32"/>
          <w:divBdr>
            <w:top w:val="none" w:sz="0" w:space="0" w:color="auto"/>
            <w:left w:val="none" w:sz="0" w:space="0" w:color="auto"/>
            <w:bottom w:val="none" w:sz="0" w:space="0" w:color="auto"/>
            <w:right w:val="none" w:sz="0" w:space="0" w:color="auto"/>
          </w:divBdr>
        </w:div>
        <w:div w:id="2004160847">
          <w:marLeft w:val="0"/>
          <w:marRight w:val="0"/>
          <w:marTop w:val="40"/>
          <w:marBottom w:val="32"/>
          <w:divBdr>
            <w:top w:val="none" w:sz="0" w:space="0" w:color="auto"/>
            <w:left w:val="none" w:sz="0" w:space="0" w:color="auto"/>
            <w:bottom w:val="none" w:sz="0" w:space="0" w:color="auto"/>
            <w:right w:val="none" w:sz="0" w:space="0" w:color="auto"/>
          </w:divBdr>
        </w:div>
        <w:div w:id="2124575420">
          <w:marLeft w:val="0"/>
          <w:marRight w:val="0"/>
          <w:marTop w:val="40"/>
          <w:marBottom w:val="32"/>
          <w:divBdr>
            <w:top w:val="none" w:sz="0" w:space="0" w:color="auto"/>
            <w:left w:val="none" w:sz="0" w:space="0" w:color="auto"/>
            <w:bottom w:val="none" w:sz="0" w:space="0" w:color="auto"/>
            <w:right w:val="none" w:sz="0" w:space="0" w:color="auto"/>
          </w:divBdr>
        </w:div>
        <w:div w:id="1233009592">
          <w:marLeft w:val="0"/>
          <w:marRight w:val="0"/>
          <w:marTop w:val="40"/>
          <w:marBottom w:val="32"/>
          <w:divBdr>
            <w:top w:val="none" w:sz="0" w:space="0" w:color="auto"/>
            <w:left w:val="none" w:sz="0" w:space="0" w:color="auto"/>
            <w:bottom w:val="none" w:sz="0" w:space="0" w:color="auto"/>
            <w:right w:val="none" w:sz="0" w:space="0" w:color="auto"/>
          </w:divBdr>
        </w:div>
        <w:div w:id="247544524">
          <w:marLeft w:val="0"/>
          <w:marRight w:val="0"/>
          <w:marTop w:val="40"/>
          <w:marBottom w:val="32"/>
          <w:divBdr>
            <w:top w:val="none" w:sz="0" w:space="0" w:color="auto"/>
            <w:left w:val="none" w:sz="0" w:space="0" w:color="auto"/>
            <w:bottom w:val="none" w:sz="0" w:space="0" w:color="auto"/>
            <w:right w:val="none" w:sz="0" w:space="0" w:color="auto"/>
          </w:divBdr>
        </w:div>
        <w:div w:id="742803151">
          <w:marLeft w:val="0"/>
          <w:marRight w:val="0"/>
          <w:marTop w:val="40"/>
          <w:marBottom w:val="32"/>
          <w:divBdr>
            <w:top w:val="none" w:sz="0" w:space="0" w:color="auto"/>
            <w:left w:val="none" w:sz="0" w:space="0" w:color="auto"/>
            <w:bottom w:val="none" w:sz="0" w:space="0" w:color="auto"/>
            <w:right w:val="none" w:sz="0" w:space="0" w:color="auto"/>
          </w:divBdr>
        </w:div>
        <w:div w:id="503479052">
          <w:marLeft w:val="0"/>
          <w:marRight w:val="0"/>
          <w:marTop w:val="40"/>
          <w:marBottom w:val="32"/>
          <w:divBdr>
            <w:top w:val="none" w:sz="0" w:space="0" w:color="auto"/>
            <w:left w:val="none" w:sz="0" w:space="0" w:color="auto"/>
            <w:bottom w:val="none" w:sz="0" w:space="0" w:color="auto"/>
            <w:right w:val="none" w:sz="0" w:space="0" w:color="auto"/>
          </w:divBdr>
        </w:div>
        <w:div w:id="720906453">
          <w:marLeft w:val="0"/>
          <w:marRight w:val="0"/>
          <w:marTop w:val="40"/>
          <w:marBottom w:val="32"/>
          <w:divBdr>
            <w:top w:val="none" w:sz="0" w:space="0" w:color="auto"/>
            <w:left w:val="none" w:sz="0" w:space="0" w:color="auto"/>
            <w:bottom w:val="none" w:sz="0" w:space="0" w:color="auto"/>
            <w:right w:val="none" w:sz="0" w:space="0" w:color="auto"/>
          </w:divBdr>
        </w:div>
        <w:div w:id="2105614704">
          <w:marLeft w:val="0"/>
          <w:marRight w:val="0"/>
          <w:marTop w:val="40"/>
          <w:marBottom w:val="32"/>
          <w:divBdr>
            <w:top w:val="none" w:sz="0" w:space="0" w:color="auto"/>
            <w:left w:val="none" w:sz="0" w:space="0" w:color="auto"/>
            <w:bottom w:val="none" w:sz="0" w:space="0" w:color="auto"/>
            <w:right w:val="none" w:sz="0" w:space="0" w:color="auto"/>
          </w:divBdr>
        </w:div>
        <w:div w:id="1759792597">
          <w:marLeft w:val="0"/>
          <w:marRight w:val="0"/>
          <w:marTop w:val="40"/>
          <w:marBottom w:val="32"/>
          <w:divBdr>
            <w:top w:val="none" w:sz="0" w:space="0" w:color="auto"/>
            <w:left w:val="none" w:sz="0" w:space="0" w:color="auto"/>
            <w:bottom w:val="none" w:sz="0" w:space="0" w:color="auto"/>
            <w:right w:val="none" w:sz="0" w:space="0" w:color="auto"/>
          </w:divBdr>
        </w:div>
        <w:div w:id="1976134180">
          <w:marLeft w:val="0"/>
          <w:marRight w:val="0"/>
          <w:marTop w:val="40"/>
          <w:marBottom w:val="32"/>
          <w:divBdr>
            <w:top w:val="none" w:sz="0" w:space="0" w:color="auto"/>
            <w:left w:val="none" w:sz="0" w:space="0" w:color="auto"/>
            <w:bottom w:val="none" w:sz="0" w:space="0" w:color="auto"/>
            <w:right w:val="none" w:sz="0" w:space="0" w:color="auto"/>
          </w:divBdr>
        </w:div>
        <w:div w:id="355274257">
          <w:marLeft w:val="0"/>
          <w:marRight w:val="0"/>
          <w:marTop w:val="40"/>
          <w:marBottom w:val="32"/>
          <w:divBdr>
            <w:top w:val="none" w:sz="0" w:space="0" w:color="auto"/>
            <w:left w:val="none" w:sz="0" w:space="0" w:color="auto"/>
            <w:bottom w:val="none" w:sz="0" w:space="0" w:color="auto"/>
            <w:right w:val="none" w:sz="0" w:space="0" w:color="auto"/>
          </w:divBdr>
        </w:div>
        <w:div w:id="560556882">
          <w:marLeft w:val="0"/>
          <w:marRight w:val="0"/>
          <w:marTop w:val="40"/>
          <w:marBottom w:val="32"/>
          <w:divBdr>
            <w:top w:val="none" w:sz="0" w:space="0" w:color="auto"/>
            <w:left w:val="none" w:sz="0" w:space="0" w:color="auto"/>
            <w:bottom w:val="none" w:sz="0" w:space="0" w:color="auto"/>
            <w:right w:val="none" w:sz="0" w:space="0" w:color="auto"/>
          </w:divBdr>
        </w:div>
        <w:div w:id="1546796734">
          <w:marLeft w:val="0"/>
          <w:marRight w:val="0"/>
          <w:marTop w:val="40"/>
          <w:marBottom w:val="32"/>
          <w:divBdr>
            <w:top w:val="none" w:sz="0" w:space="0" w:color="auto"/>
            <w:left w:val="none" w:sz="0" w:space="0" w:color="auto"/>
            <w:bottom w:val="none" w:sz="0" w:space="0" w:color="auto"/>
            <w:right w:val="none" w:sz="0" w:space="0" w:color="auto"/>
          </w:divBdr>
        </w:div>
        <w:div w:id="723256257">
          <w:marLeft w:val="0"/>
          <w:marRight w:val="0"/>
          <w:marTop w:val="40"/>
          <w:marBottom w:val="32"/>
          <w:divBdr>
            <w:top w:val="none" w:sz="0" w:space="0" w:color="auto"/>
            <w:left w:val="none" w:sz="0" w:space="0" w:color="auto"/>
            <w:bottom w:val="none" w:sz="0" w:space="0" w:color="auto"/>
            <w:right w:val="none" w:sz="0" w:space="0" w:color="auto"/>
          </w:divBdr>
        </w:div>
        <w:div w:id="257442600">
          <w:marLeft w:val="0"/>
          <w:marRight w:val="0"/>
          <w:marTop w:val="40"/>
          <w:marBottom w:val="32"/>
          <w:divBdr>
            <w:top w:val="none" w:sz="0" w:space="0" w:color="auto"/>
            <w:left w:val="none" w:sz="0" w:space="0" w:color="auto"/>
            <w:bottom w:val="none" w:sz="0" w:space="0" w:color="auto"/>
            <w:right w:val="none" w:sz="0" w:space="0" w:color="auto"/>
          </w:divBdr>
        </w:div>
        <w:div w:id="1684746381">
          <w:marLeft w:val="0"/>
          <w:marRight w:val="0"/>
          <w:marTop w:val="40"/>
          <w:marBottom w:val="32"/>
          <w:divBdr>
            <w:top w:val="none" w:sz="0" w:space="0" w:color="auto"/>
            <w:left w:val="none" w:sz="0" w:space="0" w:color="auto"/>
            <w:bottom w:val="none" w:sz="0" w:space="0" w:color="auto"/>
            <w:right w:val="none" w:sz="0" w:space="0" w:color="auto"/>
          </w:divBdr>
        </w:div>
        <w:div w:id="382098196">
          <w:marLeft w:val="0"/>
          <w:marRight w:val="0"/>
          <w:marTop w:val="40"/>
          <w:marBottom w:val="32"/>
          <w:divBdr>
            <w:top w:val="none" w:sz="0" w:space="0" w:color="auto"/>
            <w:left w:val="none" w:sz="0" w:space="0" w:color="auto"/>
            <w:bottom w:val="none" w:sz="0" w:space="0" w:color="auto"/>
            <w:right w:val="none" w:sz="0" w:space="0" w:color="auto"/>
          </w:divBdr>
        </w:div>
        <w:div w:id="610741501">
          <w:marLeft w:val="0"/>
          <w:marRight w:val="0"/>
          <w:marTop w:val="40"/>
          <w:marBottom w:val="32"/>
          <w:divBdr>
            <w:top w:val="none" w:sz="0" w:space="0" w:color="auto"/>
            <w:left w:val="none" w:sz="0" w:space="0" w:color="auto"/>
            <w:bottom w:val="none" w:sz="0" w:space="0" w:color="auto"/>
            <w:right w:val="none" w:sz="0" w:space="0" w:color="auto"/>
          </w:divBdr>
        </w:div>
        <w:div w:id="1768888308">
          <w:marLeft w:val="0"/>
          <w:marRight w:val="0"/>
          <w:marTop w:val="40"/>
          <w:marBottom w:val="32"/>
          <w:divBdr>
            <w:top w:val="none" w:sz="0" w:space="0" w:color="auto"/>
            <w:left w:val="none" w:sz="0" w:space="0" w:color="auto"/>
            <w:bottom w:val="none" w:sz="0" w:space="0" w:color="auto"/>
            <w:right w:val="none" w:sz="0" w:space="0" w:color="auto"/>
          </w:divBdr>
        </w:div>
        <w:div w:id="2096972476">
          <w:marLeft w:val="0"/>
          <w:marRight w:val="0"/>
          <w:marTop w:val="40"/>
          <w:marBottom w:val="32"/>
          <w:divBdr>
            <w:top w:val="none" w:sz="0" w:space="0" w:color="auto"/>
            <w:left w:val="none" w:sz="0" w:space="0" w:color="auto"/>
            <w:bottom w:val="none" w:sz="0" w:space="0" w:color="auto"/>
            <w:right w:val="none" w:sz="0" w:space="0" w:color="auto"/>
          </w:divBdr>
        </w:div>
        <w:div w:id="1334991087">
          <w:marLeft w:val="0"/>
          <w:marRight w:val="0"/>
          <w:marTop w:val="40"/>
          <w:marBottom w:val="32"/>
          <w:divBdr>
            <w:top w:val="none" w:sz="0" w:space="0" w:color="auto"/>
            <w:left w:val="none" w:sz="0" w:space="0" w:color="auto"/>
            <w:bottom w:val="none" w:sz="0" w:space="0" w:color="auto"/>
            <w:right w:val="none" w:sz="0" w:space="0" w:color="auto"/>
          </w:divBdr>
        </w:div>
        <w:div w:id="2081828349">
          <w:marLeft w:val="0"/>
          <w:marRight w:val="0"/>
          <w:marTop w:val="40"/>
          <w:marBottom w:val="32"/>
          <w:divBdr>
            <w:top w:val="none" w:sz="0" w:space="0" w:color="auto"/>
            <w:left w:val="none" w:sz="0" w:space="0" w:color="auto"/>
            <w:bottom w:val="none" w:sz="0" w:space="0" w:color="auto"/>
            <w:right w:val="none" w:sz="0" w:space="0" w:color="auto"/>
          </w:divBdr>
        </w:div>
        <w:div w:id="1732001632">
          <w:marLeft w:val="0"/>
          <w:marRight w:val="0"/>
          <w:marTop w:val="40"/>
          <w:marBottom w:val="32"/>
          <w:divBdr>
            <w:top w:val="none" w:sz="0" w:space="0" w:color="auto"/>
            <w:left w:val="none" w:sz="0" w:space="0" w:color="auto"/>
            <w:bottom w:val="none" w:sz="0" w:space="0" w:color="auto"/>
            <w:right w:val="none" w:sz="0" w:space="0" w:color="auto"/>
          </w:divBdr>
        </w:div>
        <w:div w:id="1575778470">
          <w:marLeft w:val="0"/>
          <w:marRight w:val="0"/>
          <w:marTop w:val="40"/>
          <w:marBottom w:val="32"/>
          <w:divBdr>
            <w:top w:val="none" w:sz="0" w:space="0" w:color="auto"/>
            <w:left w:val="none" w:sz="0" w:space="0" w:color="auto"/>
            <w:bottom w:val="none" w:sz="0" w:space="0" w:color="auto"/>
            <w:right w:val="none" w:sz="0" w:space="0" w:color="auto"/>
          </w:divBdr>
        </w:div>
        <w:div w:id="765462809">
          <w:marLeft w:val="0"/>
          <w:marRight w:val="0"/>
          <w:marTop w:val="40"/>
          <w:marBottom w:val="32"/>
          <w:divBdr>
            <w:top w:val="none" w:sz="0" w:space="0" w:color="auto"/>
            <w:left w:val="none" w:sz="0" w:space="0" w:color="auto"/>
            <w:bottom w:val="none" w:sz="0" w:space="0" w:color="auto"/>
            <w:right w:val="none" w:sz="0" w:space="0" w:color="auto"/>
          </w:divBdr>
        </w:div>
        <w:div w:id="2079933963">
          <w:marLeft w:val="0"/>
          <w:marRight w:val="0"/>
          <w:marTop w:val="40"/>
          <w:marBottom w:val="32"/>
          <w:divBdr>
            <w:top w:val="none" w:sz="0" w:space="0" w:color="auto"/>
            <w:left w:val="none" w:sz="0" w:space="0" w:color="auto"/>
            <w:bottom w:val="none" w:sz="0" w:space="0" w:color="auto"/>
            <w:right w:val="none" w:sz="0" w:space="0" w:color="auto"/>
          </w:divBdr>
        </w:div>
        <w:div w:id="1087265370">
          <w:marLeft w:val="0"/>
          <w:marRight w:val="0"/>
          <w:marTop w:val="40"/>
          <w:marBottom w:val="32"/>
          <w:divBdr>
            <w:top w:val="none" w:sz="0" w:space="0" w:color="auto"/>
            <w:left w:val="none" w:sz="0" w:space="0" w:color="auto"/>
            <w:bottom w:val="none" w:sz="0" w:space="0" w:color="auto"/>
            <w:right w:val="none" w:sz="0" w:space="0" w:color="auto"/>
          </w:divBdr>
        </w:div>
        <w:div w:id="1576668649">
          <w:marLeft w:val="0"/>
          <w:marRight w:val="0"/>
          <w:marTop w:val="40"/>
          <w:marBottom w:val="32"/>
          <w:divBdr>
            <w:top w:val="none" w:sz="0" w:space="0" w:color="auto"/>
            <w:left w:val="none" w:sz="0" w:space="0" w:color="auto"/>
            <w:bottom w:val="none" w:sz="0" w:space="0" w:color="auto"/>
            <w:right w:val="none" w:sz="0" w:space="0" w:color="auto"/>
          </w:divBdr>
        </w:div>
        <w:div w:id="978998045">
          <w:marLeft w:val="0"/>
          <w:marRight w:val="0"/>
          <w:marTop w:val="40"/>
          <w:marBottom w:val="32"/>
          <w:divBdr>
            <w:top w:val="none" w:sz="0" w:space="0" w:color="auto"/>
            <w:left w:val="none" w:sz="0" w:space="0" w:color="auto"/>
            <w:bottom w:val="none" w:sz="0" w:space="0" w:color="auto"/>
            <w:right w:val="none" w:sz="0" w:space="0" w:color="auto"/>
          </w:divBdr>
        </w:div>
        <w:div w:id="644549488">
          <w:marLeft w:val="0"/>
          <w:marRight w:val="0"/>
          <w:marTop w:val="40"/>
          <w:marBottom w:val="32"/>
          <w:divBdr>
            <w:top w:val="none" w:sz="0" w:space="0" w:color="auto"/>
            <w:left w:val="none" w:sz="0" w:space="0" w:color="auto"/>
            <w:bottom w:val="none" w:sz="0" w:space="0" w:color="auto"/>
            <w:right w:val="none" w:sz="0" w:space="0" w:color="auto"/>
          </w:divBdr>
        </w:div>
        <w:div w:id="1286543382">
          <w:marLeft w:val="0"/>
          <w:marRight w:val="0"/>
          <w:marTop w:val="40"/>
          <w:marBottom w:val="32"/>
          <w:divBdr>
            <w:top w:val="none" w:sz="0" w:space="0" w:color="auto"/>
            <w:left w:val="none" w:sz="0" w:space="0" w:color="auto"/>
            <w:bottom w:val="none" w:sz="0" w:space="0" w:color="auto"/>
            <w:right w:val="none" w:sz="0" w:space="0" w:color="auto"/>
          </w:divBdr>
        </w:div>
        <w:div w:id="235749492">
          <w:marLeft w:val="0"/>
          <w:marRight w:val="0"/>
          <w:marTop w:val="40"/>
          <w:marBottom w:val="32"/>
          <w:divBdr>
            <w:top w:val="none" w:sz="0" w:space="0" w:color="auto"/>
            <w:left w:val="none" w:sz="0" w:space="0" w:color="auto"/>
            <w:bottom w:val="none" w:sz="0" w:space="0" w:color="auto"/>
            <w:right w:val="none" w:sz="0" w:space="0" w:color="auto"/>
          </w:divBdr>
        </w:div>
        <w:div w:id="963654052">
          <w:marLeft w:val="0"/>
          <w:marRight w:val="0"/>
          <w:marTop w:val="40"/>
          <w:marBottom w:val="32"/>
          <w:divBdr>
            <w:top w:val="none" w:sz="0" w:space="0" w:color="auto"/>
            <w:left w:val="none" w:sz="0" w:space="0" w:color="auto"/>
            <w:bottom w:val="none" w:sz="0" w:space="0" w:color="auto"/>
            <w:right w:val="none" w:sz="0" w:space="0" w:color="auto"/>
          </w:divBdr>
        </w:div>
        <w:div w:id="1703435740">
          <w:marLeft w:val="0"/>
          <w:marRight w:val="0"/>
          <w:marTop w:val="40"/>
          <w:marBottom w:val="32"/>
          <w:divBdr>
            <w:top w:val="none" w:sz="0" w:space="0" w:color="auto"/>
            <w:left w:val="none" w:sz="0" w:space="0" w:color="auto"/>
            <w:bottom w:val="none" w:sz="0" w:space="0" w:color="auto"/>
            <w:right w:val="none" w:sz="0" w:space="0" w:color="auto"/>
          </w:divBdr>
        </w:div>
        <w:div w:id="1794404619">
          <w:marLeft w:val="0"/>
          <w:marRight w:val="0"/>
          <w:marTop w:val="40"/>
          <w:marBottom w:val="32"/>
          <w:divBdr>
            <w:top w:val="none" w:sz="0" w:space="0" w:color="auto"/>
            <w:left w:val="none" w:sz="0" w:space="0" w:color="auto"/>
            <w:bottom w:val="none" w:sz="0" w:space="0" w:color="auto"/>
            <w:right w:val="none" w:sz="0" w:space="0" w:color="auto"/>
          </w:divBdr>
        </w:div>
        <w:div w:id="1399862845">
          <w:marLeft w:val="0"/>
          <w:marRight w:val="0"/>
          <w:marTop w:val="40"/>
          <w:marBottom w:val="32"/>
          <w:divBdr>
            <w:top w:val="none" w:sz="0" w:space="0" w:color="auto"/>
            <w:left w:val="none" w:sz="0" w:space="0" w:color="auto"/>
            <w:bottom w:val="none" w:sz="0" w:space="0" w:color="auto"/>
            <w:right w:val="none" w:sz="0" w:space="0" w:color="auto"/>
          </w:divBdr>
        </w:div>
        <w:div w:id="1745567833">
          <w:marLeft w:val="0"/>
          <w:marRight w:val="0"/>
          <w:marTop w:val="40"/>
          <w:marBottom w:val="32"/>
          <w:divBdr>
            <w:top w:val="none" w:sz="0" w:space="0" w:color="auto"/>
            <w:left w:val="none" w:sz="0" w:space="0" w:color="auto"/>
            <w:bottom w:val="none" w:sz="0" w:space="0" w:color="auto"/>
            <w:right w:val="none" w:sz="0" w:space="0" w:color="auto"/>
          </w:divBdr>
        </w:div>
        <w:div w:id="548423924">
          <w:marLeft w:val="0"/>
          <w:marRight w:val="0"/>
          <w:marTop w:val="40"/>
          <w:marBottom w:val="32"/>
          <w:divBdr>
            <w:top w:val="none" w:sz="0" w:space="0" w:color="auto"/>
            <w:left w:val="none" w:sz="0" w:space="0" w:color="auto"/>
            <w:bottom w:val="none" w:sz="0" w:space="0" w:color="auto"/>
            <w:right w:val="none" w:sz="0" w:space="0" w:color="auto"/>
          </w:divBdr>
        </w:div>
        <w:div w:id="1290739723">
          <w:marLeft w:val="0"/>
          <w:marRight w:val="0"/>
          <w:marTop w:val="40"/>
          <w:marBottom w:val="32"/>
          <w:divBdr>
            <w:top w:val="none" w:sz="0" w:space="0" w:color="auto"/>
            <w:left w:val="none" w:sz="0" w:space="0" w:color="auto"/>
            <w:bottom w:val="none" w:sz="0" w:space="0" w:color="auto"/>
            <w:right w:val="none" w:sz="0" w:space="0" w:color="auto"/>
          </w:divBdr>
        </w:div>
        <w:div w:id="1385174871">
          <w:marLeft w:val="0"/>
          <w:marRight w:val="0"/>
          <w:marTop w:val="40"/>
          <w:marBottom w:val="32"/>
          <w:divBdr>
            <w:top w:val="none" w:sz="0" w:space="0" w:color="auto"/>
            <w:left w:val="none" w:sz="0" w:space="0" w:color="auto"/>
            <w:bottom w:val="none" w:sz="0" w:space="0" w:color="auto"/>
            <w:right w:val="none" w:sz="0" w:space="0" w:color="auto"/>
          </w:divBdr>
        </w:div>
        <w:div w:id="77791266">
          <w:marLeft w:val="0"/>
          <w:marRight w:val="0"/>
          <w:marTop w:val="40"/>
          <w:marBottom w:val="32"/>
          <w:divBdr>
            <w:top w:val="none" w:sz="0" w:space="0" w:color="auto"/>
            <w:left w:val="none" w:sz="0" w:space="0" w:color="auto"/>
            <w:bottom w:val="none" w:sz="0" w:space="0" w:color="auto"/>
            <w:right w:val="none" w:sz="0" w:space="0" w:color="auto"/>
          </w:divBdr>
        </w:div>
        <w:div w:id="489057785">
          <w:marLeft w:val="0"/>
          <w:marRight w:val="0"/>
          <w:marTop w:val="40"/>
          <w:marBottom w:val="32"/>
          <w:divBdr>
            <w:top w:val="none" w:sz="0" w:space="0" w:color="auto"/>
            <w:left w:val="none" w:sz="0" w:space="0" w:color="auto"/>
            <w:bottom w:val="none" w:sz="0" w:space="0" w:color="auto"/>
            <w:right w:val="none" w:sz="0" w:space="0" w:color="auto"/>
          </w:divBdr>
        </w:div>
        <w:div w:id="10105064">
          <w:marLeft w:val="0"/>
          <w:marRight w:val="0"/>
          <w:marTop w:val="40"/>
          <w:marBottom w:val="32"/>
          <w:divBdr>
            <w:top w:val="none" w:sz="0" w:space="0" w:color="auto"/>
            <w:left w:val="none" w:sz="0" w:space="0" w:color="auto"/>
            <w:bottom w:val="none" w:sz="0" w:space="0" w:color="auto"/>
            <w:right w:val="none" w:sz="0" w:space="0" w:color="auto"/>
          </w:divBdr>
        </w:div>
        <w:div w:id="1104305847">
          <w:marLeft w:val="0"/>
          <w:marRight w:val="0"/>
          <w:marTop w:val="40"/>
          <w:marBottom w:val="32"/>
          <w:divBdr>
            <w:top w:val="none" w:sz="0" w:space="0" w:color="auto"/>
            <w:left w:val="none" w:sz="0" w:space="0" w:color="auto"/>
            <w:bottom w:val="none" w:sz="0" w:space="0" w:color="auto"/>
            <w:right w:val="none" w:sz="0" w:space="0" w:color="auto"/>
          </w:divBdr>
        </w:div>
        <w:div w:id="1030376138">
          <w:marLeft w:val="0"/>
          <w:marRight w:val="0"/>
          <w:marTop w:val="40"/>
          <w:marBottom w:val="32"/>
          <w:divBdr>
            <w:top w:val="none" w:sz="0" w:space="0" w:color="auto"/>
            <w:left w:val="none" w:sz="0" w:space="0" w:color="auto"/>
            <w:bottom w:val="none" w:sz="0" w:space="0" w:color="auto"/>
            <w:right w:val="none" w:sz="0" w:space="0" w:color="auto"/>
          </w:divBdr>
        </w:div>
        <w:div w:id="1089351349">
          <w:marLeft w:val="0"/>
          <w:marRight w:val="0"/>
          <w:marTop w:val="40"/>
          <w:marBottom w:val="32"/>
          <w:divBdr>
            <w:top w:val="none" w:sz="0" w:space="0" w:color="auto"/>
            <w:left w:val="none" w:sz="0" w:space="0" w:color="auto"/>
            <w:bottom w:val="none" w:sz="0" w:space="0" w:color="auto"/>
            <w:right w:val="none" w:sz="0" w:space="0" w:color="auto"/>
          </w:divBdr>
        </w:div>
        <w:div w:id="1721442706">
          <w:marLeft w:val="0"/>
          <w:marRight w:val="0"/>
          <w:marTop w:val="40"/>
          <w:marBottom w:val="32"/>
          <w:divBdr>
            <w:top w:val="none" w:sz="0" w:space="0" w:color="auto"/>
            <w:left w:val="none" w:sz="0" w:space="0" w:color="auto"/>
            <w:bottom w:val="none" w:sz="0" w:space="0" w:color="auto"/>
            <w:right w:val="none" w:sz="0" w:space="0" w:color="auto"/>
          </w:divBdr>
        </w:div>
        <w:div w:id="39718025">
          <w:marLeft w:val="0"/>
          <w:marRight w:val="0"/>
          <w:marTop w:val="40"/>
          <w:marBottom w:val="32"/>
          <w:divBdr>
            <w:top w:val="none" w:sz="0" w:space="0" w:color="auto"/>
            <w:left w:val="none" w:sz="0" w:space="0" w:color="auto"/>
            <w:bottom w:val="none" w:sz="0" w:space="0" w:color="auto"/>
            <w:right w:val="none" w:sz="0" w:space="0" w:color="auto"/>
          </w:divBdr>
        </w:div>
        <w:div w:id="2046639983">
          <w:marLeft w:val="0"/>
          <w:marRight w:val="0"/>
          <w:marTop w:val="40"/>
          <w:marBottom w:val="32"/>
          <w:divBdr>
            <w:top w:val="none" w:sz="0" w:space="0" w:color="auto"/>
            <w:left w:val="none" w:sz="0" w:space="0" w:color="auto"/>
            <w:bottom w:val="none" w:sz="0" w:space="0" w:color="auto"/>
            <w:right w:val="none" w:sz="0" w:space="0" w:color="auto"/>
          </w:divBdr>
        </w:div>
        <w:div w:id="789783635">
          <w:marLeft w:val="0"/>
          <w:marRight w:val="0"/>
          <w:marTop w:val="40"/>
          <w:marBottom w:val="32"/>
          <w:divBdr>
            <w:top w:val="none" w:sz="0" w:space="0" w:color="auto"/>
            <w:left w:val="none" w:sz="0" w:space="0" w:color="auto"/>
            <w:bottom w:val="none" w:sz="0" w:space="0" w:color="auto"/>
            <w:right w:val="none" w:sz="0" w:space="0" w:color="auto"/>
          </w:divBdr>
        </w:div>
        <w:div w:id="118766328">
          <w:marLeft w:val="0"/>
          <w:marRight w:val="0"/>
          <w:marTop w:val="40"/>
          <w:marBottom w:val="32"/>
          <w:divBdr>
            <w:top w:val="none" w:sz="0" w:space="0" w:color="auto"/>
            <w:left w:val="none" w:sz="0" w:space="0" w:color="auto"/>
            <w:bottom w:val="none" w:sz="0" w:space="0" w:color="auto"/>
            <w:right w:val="none" w:sz="0" w:space="0" w:color="auto"/>
          </w:divBdr>
        </w:div>
        <w:div w:id="1549343050">
          <w:marLeft w:val="0"/>
          <w:marRight w:val="0"/>
          <w:marTop w:val="40"/>
          <w:marBottom w:val="32"/>
          <w:divBdr>
            <w:top w:val="none" w:sz="0" w:space="0" w:color="auto"/>
            <w:left w:val="none" w:sz="0" w:space="0" w:color="auto"/>
            <w:bottom w:val="none" w:sz="0" w:space="0" w:color="auto"/>
            <w:right w:val="none" w:sz="0" w:space="0" w:color="auto"/>
          </w:divBdr>
        </w:div>
        <w:div w:id="798690246">
          <w:marLeft w:val="0"/>
          <w:marRight w:val="0"/>
          <w:marTop w:val="40"/>
          <w:marBottom w:val="32"/>
          <w:divBdr>
            <w:top w:val="none" w:sz="0" w:space="0" w:color="auto"/>
            <w:left w:val="none" w:sz="0" w:space="0" w:color="auto"/>
            <w:bottom w:val="none" w:sz="0" w:space="0" w:color="auto"/>
            <w:right w:val="none" w:sz="0" w:space="0" w:color="auto"/>
          </w:divBdr>
        </w:div>
        <w:div w:id="1118448665">
          <w:marLeft w:val="0"/>
          <w:marRight w:val="0"/>
          <w:marTop w:val="40"/>
          <w:marBottom w:val="32"/>
          <w:divBdr>
            <w:top w:val="none" w:sz="0" w:space="0" w:color="auto"/>
            <w:left w:val="none" w:sz="0" w:space="0" w:color="auto"/>
            <w:bottom w:val="none" w:sz="0" w:space="0" w:color="auto"/>
            <w:right w:val="none" w:sz="0" w:space="0" w:color="auto"/>
          </w:divBdr>
        </w:div>
        <w:div w:id="1229537933">
          <w:marLeft w:val="0"/>
          <w:marRight w:val="0"/>
          <w:marTop w:val="40"/>
          <w:marBottom w:val="32"/>
          <w:divBdr>
            <w:top w:val="none" w:sz="0" w:space="0" w:color="auto"/>
            <w:left w:val="none" w:sz="0" w:space="0" w:color="auto"/>
            <w:bottom w:val="none" w:sz="0" w:space="0" w:color="auto"/>
            <w:right w:val="none" w:sz="0" w:space="0" w:color="auto"/>
          </w:divBdr>
        </w:div>
        <w:div w:id="854421656">
          <w:marLeft w:val="0"/>
          <w:marRight w:val="0"/>
          <w:marTop w:val="40"/>
          <w:marBottom w:val="32"/>
          <w:divBdr>
            <w:top w:val="none" w:sz="0" w:space="0" w:color="auto"/>
            <w:left w:val="none" w:sz="0" w:space="0" w:color="auto"/>
            <w:bottom w:val="none" w:sz="0" w:space="0" w:color="auto"/>
            <w:right w:val="none" w:sz="0" w:space="0" w:color="auto"/>
          </w:divBdr>
        </w:div>
        <w:div w:id="638652893">
          <w:marLeft w:val="0"/>
          <w:marRight w:val="0"/>
          <w:marTop w:val="40"/>
          <w:marBottom w:val="32"/>
          <w:divBdr>
            <w:top w:val="none" w:sz="0" w:space="0" w:color="auto"/>
            <w:left w:val="none" w:sz="0" w:space="0" w:color="auto"/>
            <w:bottom w:val="none" w:sz="0" w:space="0" w:color="auto"/>
            <w:right w:val="none" w:sz="0" w:space="0" w:color="auto"/>
          </w:divBdr>
        </w:div>
        <w:div w:id="1221675883">
          <w:marLeft w:val="0"/>
          <w:marRight w:val="0"/>
          <w:marTop w:val="40"/>
          <w:marBottom w:val="32"/>
          <w:divBdr>
            <w:top w:val="none" w:sz="0" w:space="0" w:color="auto"/>
            <w:left w:val="none" w:sz="0" w:space="0" w:color="auto"/>
            <w:bottom w:val="none" w:sz="0" w:space="0" w:color="auto"/>
            <w:right w:val="none" w:sz="0" w:space="0" w:color="auto"/>
          </w:divBdr>
        </w:div>
        <w:div w:id="1585646949">
          <w:marLeft w:val="0"/>
          <w:marRight w:val="0"/>
          <w:marTop w:val="40"/>
          <w:marBottom w:val="32"/>
          <w:divBdr>
            <w:top w:val="none" w:sz="0" w:space="0" w:color="auto"/>
            <w:left w:val="none" w:sz="0" w:space="0" w:color="auto"/>
            <w:bottom w:val="none" w:sz="0" w:space="0" w:color="auto"/>
            <w:right w:val="none" w:sz="0" w:space="0" w:color="auto"/>
          </w:divBdr>
        </w:div>
        <w:div w:id="1646616079">
          <w:marLeft w:val="0"/>
          <w:marRight w:val="0"/>
          <w:marTop w:val="40"/>
          <w:marBottom w:val="32"/>
          <w:divBdr>
            <w:top w:val="none" w:sz="0" w:space="0" w:color="auto"/>
            <w:left w:val="none" w:sz="0" w:space="0" w:color="auto"/>
            <w:bottom w:val="none" w:sz="0" w:space="0" w:color="auto"/>
            <w:right w:val="none" w:sz="0" w:space="0" w:color="auto"/>
          </w:divBdr>
        </w:div>
        <w:div w:id="221335954">
          <w:marLeft w:val="0"/>
          <w:marRight w:val="0"/>
          <w:marTop w:val="40"/>
          <w:marBottom w:val="32"/>
          <w:divBdr>
            <w:top w:val="none" w:sz="0" w:space="0" w:color="auto"/>
            <w:left w:val="none" w:sz="0" w:space="0" w:color="auto"/>
            <w:bottom w:val="none" w:sz="0" w:space="0" w:color="auto"/>
            <w:right w:val="none" w:sz="0" w:space="0" w:color="auto"/>
          </w:divBdr>
        </w:div>
        <w:div w:id="1622807871">
          <w:marLeft w:val="0"/>
          <w:marRight w:val="0"/>
          <w:marTop w:val="40"/>
          <w:marBottom w:val="32"/>
          <w:divBdr>
            <w:top w:val="none" w:sz="0" w:space="0" w:color="auto"/>
            <w:left w:val="none" w:sz="0" w:space="0" w:color="auto"/>
            <w:bottom w:val="none" w:sz="0" w:space="0" w:color="auto"/>
            <w:right w:val="none" w:sz="0" w:space="0" w:color="auto"/>
          </w:divBdr>
        </w:div>
        <w:div w:id="564877827">
          <w:marLeft w:val="0"/>
          <w:marRight w:val="0"/>
          <w:marTop w:val="40"/>
          <w:marBottom w:val="32"/>
          <w:divBdr>
            <w:top w:val="none" w:sz="0" w:space="0" w:color="auto"/>
            <w:left w:val="none" w:sz="0" w:space="0" w:color="auto"/>
            <w:bottom w:val="none" w:sz="0" w:space="0" w:color="auto"/>
            <w:right w:val="none" w:sz="0" w:space="0" w:color="auto"/>
          </w:divBdr>
        </w:div>
        <w:div w:id="890654927">
          <w:marLeft w:val="0"/>
          <w:marRight w:val="0"/>
          <w:marTop w:val="40"/>
          <w:marBottom w:val="32"/>
          <w:divBdr>
            <w:top w:val="none" w:sz="0" w:space="0" w:color="auto"/>
            <w:left w:val="none" w:sz="0" w:space="0" w:color="auto"/>
            <w:bottom w:val="none" w:sz="0" w:space="0" w:color="auto"/>
            <w:right w:val="none" w:sz="0" w:space="0" w:color="auto"/>
          </w:divBdr>
        </w:div>
        <w:div w:id="951398244">
          <w:marLeft w:val="0"/>
          <w:marRight w:val="0"/>
          <w:marTop w:val="40"/>
          <w:marBottom w:val="32"/>
          <w:divBdr>
            <w:top w:val="none" w:sz="0" w:space="0" w:color="auto"/>
            <w:left w:val="none" w:sz="0" w:space="0" w:color="auto"/>
            <w:bottom w:val="none" w:sz="0" w:space="0" w:color="auto"/>
            <w:right w:val="none" w:sz="0" w:space="0" w:color="auto"/>
          </w:divBdr>
        </w:div>
        <w:div w:id="821585005">
          <w:marLeft w:val="0"/>
          <w:marRight w:val="0"/>
          <w:marTop w:val="40"/>
          <w:marBottom w:val="32"/>
          <w:divBdr>
            <w:top w:val="none" w:sz="0" w:space="0" w:color="auto"/>
            <w:left w:val="none" w:sz="0" w:space="0" w:color="auto"/>
            <w:bottom w:val="none" w:sz="0" w:space="0" w:color="auto"/>
            <w:right w:val="none" w:sz="0" w:space="0" w:color="auto"/>
          </w:divBdr>
        </w:div>
        <w:div w:id="1220215252">
          <w:marLeft w:val="0"/>
          <w:marRight w:val="0"/>
          <w:marTop w:val="40"/>
          <w:marBottom w:val="32"/>
          <w:divBdr>
            <w:top w:val="none" w:sz="0" w:space="0" w:color="auto"/>
            <w:left w:val="none" w:sz="0" w:space="0" w:color="auto"/>
            <w:bottom w:val="none" w:sz="0" w:space="0" w:color="auto"/>
            <w:right w:val="none" w:sz="0" w:space="0" w:color="auto"/>
          </w:divBdr>
        </w:div>
        <w:div w:id="712582647">
          <w:marLeft w:val="0"/>
          <w:marRight w:val="0"/>
          <w:marTop w:val="40"/>
          <w:marBottom w:val="32"/>
          <w:divBdr>
            <w:top w:val="none" w:sz="0" w:space="0" w:color="auto"/>
            <w:left w:val="none" w:sz="0" w:space="0" w:color="auto"/>
            <w:bottom w:val="none" w:sz="0" w:space="0" w:color="auto"/>
            <w:right w:val="none" w:sz="0" w:space="0" w:color="auto"/>
          </w:divBdr>
        </w:div>
        <w:div w:id="2072995937">
          <w:marLeft w:val="0"/>
          <w:marRight w:val="0"/>
          <w:marTop w:val="40"/>
          <w:marBottom w:val="32"/>
          <w:divBdr>
            <w:top w:val="none" w:sz="0" w:space="0" w:color="auto"/>
            <w:left w:val="none" w:sz="0" w:space="0" w:color="auto"/>
            <w:bottom w:val="none" w:sz="0" w:space="0" w:color="auto"/>
            <w:right w:val="none" w:sz="0" w:space="0" w:color="auto"/>
          </w:divBdr>
        </w:div>
        <w:div w:id="1922256818">
          <w:marLeft w:val="0"/>
          <w:marRight w:val="0"/>
          <w:marTop w:val="40"/>
          <w:marBottom w:val="32"/>
          <w:divBdr>
            <w:top w:val="none" w:sz="0" w:space="0" w:color="auto"/>
            <w:left w:val="none" w:sz="0" w:space="0" w:color="auto"/>
            <w:bottom w:val="none" w:sz="0" w:space="0" w:color="auto"/>
            <w:right w:val="none" w:sz="0" w:space="0" w:color="auto"/>
          </w:divBdr>
        </w:div>
        <w:div w:id="208104596">
          <w:marLeft w:val="0"/>
          <w:marRight w:val="0"/>
          <w:marTop w:val="40"/>
          <w:marBottom w:val="32"/>
          <w:divBdr>
            <w:top w:val="none" w:sz="0" w:space="0" w:color="auto"/>
            <w:left w:val="none" w:sz="0" w:space="0" w:color="auto"/>
            <w:bottom w:val="none" w:sz="0" w:space="0" w:color="auto"/>
            <w:right w:val="none" w:sz="0" w:space="0" w:color="auto"/>
          </w:divBdr>
        </w:div>
        <w:div w:id="422647254">
          <w:marLeft w:val="0"/>
          <w:marRight w:val="0"/>
          <w:marTop w:val="40"/>
          <w:marBottom w:val="32"/>
          <w:divBdr>
            <w:top w:val="none" w:sz="0" w:space="0" w:color="auto"/>
            <w:left w:val="none" w:sz="0" w:space="0" w:color="auto"/>
            <w:bottom w:val="none" w:sz="0" w:space="0" w:color="auto"/>
            <w:right w:val="none" w:sz="0" w:space="0" w:color="auto"/>
          </w:divBdr>
        </w:div>
        <w:div w:id="946279137">
          <w:marLeft w:val="0"/>
          <w:marRight w:val="0"/>
          <w:marTop w:val="40"/>
          <w:marBottom w:val="32"/>
          <w:divBdr>
            <w:top w:val="none" w:sz="0" w:space="0" w:color="auto"/>
            <w:left w:val="none" w:sz="0" w:space="0" w:color="auto"/>
            <w:bottom w:val="none" w:sz="0" w:space="0" w:color="auto"/>
            <w:right w:val="none" w:sz="0" w:space="0" w:color="auto"/>
          </w:divBdr>
        </w:div>
        <w:div w:id="1145005222">
          <w:marLeft w:val="0"/>
          <w:marRight w:val="0"/>
          <w:marTop w:val="40"/>
          <w:marBottom w:val="32"/>
          <w:divBdr>
            <w:top w:val="none" w:sz="0" w:space="0" w:color="auto"/>
            <w:left w:val="none" w:sz="0" w:space="0" w:color="auto"/>
            <w:bottom w:val="none" w:sz="0" w:space="0" w:color="auto"/>
            <w:right w:val="none" w:sz="0" w:space="0" w:color="auto"/>
          </w:divBdr>
        </w:div>
        <w:div w:id="1662614067">
          <w:marLeft w:val="0"/>
          <w:marRight w:val="0"/>
          <w:marTop w:val="40"/>
          <w:marBottom w:val="32"/>
          <w:divBdr>
            <w:top w:val="none" w:sz="0" w:space="0" w:color="auto"/>
            <w:left w:val="none" w:sz="0" w:space="0" w:color="auto"/>
            <w:bottom w:val="none" w:sz="0" w:space="0" w:color="auto"/>
            <w:right w:val="none" w:sz="0" w:space="0" w:color="auto"/>
          </w:divBdr>
        </w:div>
        <w:div w:id="590890728">
          <w:marLeft w:val="0"/>
          <w:marRight w:val="0"/>
          <w:marTop w:val="40"/>
          <w:marBottom w:val="32"/>
          <w:divBdr>
            <w:top w:val="none" w:sz="0" w:space="0" w:color="auto"/>
            <w:left w:val="none" w:sz="0" w:space="0" w:color="auto"/>
            <w:bottom w:val="none" w:sz="0" w:space="0" w:color="auto"/>
            <w:right w:val="none" w:sz="0" w:space="0" w:color="auto"/>
          </w:divBdr>
        </w:div>
        <w:div w:id="1233471485">
          <w:marLeft w:val="0"/>
          <w:marRight w:val="0"/>
          <w:marTop w:val="40"/>
          <w:marBottom w:val="32"/>
          <w:divBdr>
            <w:top w:val="none" w:sz="0" w:space="0" w:color="auto"/>
            <w:left w:val="none" w:sz="0" w:space="0" w:color="auto"/>
            <w:bottom w:val="none" w:sz="0" w:space="0" w:color="auto"/>
            <w:right w:val="none" w:sz="0" w:space="0" w:color="auto"/>
          </w:divBdr>
        </w:div>
        <w:div w:id="1159272694">
          <w:marLeft w:val="0"/>
          <w:marRight w:val="0"/>
          <w:marTop w:val="40"/>
          <w:marBottom w:val="32"/>
          <w:divBdr>
            <w:top w:val="none" w:sz="0" w:space="0" w:color="auto"/>
            <w:left w:val="none" w:sz="0" w:space="0" w:color="auto"/>
            <w:bottom w:val="none" w:sz="0" w:space="0" w:color="auto"/>
            <w:right w:val="none" w:sz="0" w:space="0" w:color="auto"/>
          </w:divBdr>
        </w:div>
        <w:div w:id="438447757">
          <w:marLeft w:val="0"/>
          <w:marRight w:val="0"/>
          <w:marTop w:val="40"/>
          <w:marBottom w:val="32"/>
          <w:divBdr>
            <w:top w:val="none" w:sz="0" w:space="0" w:color="auto"/>
            <w:left w:val="none" w:sz="0" w:space="0" w:color="auto"/>
            <w:bottom w:val="none" w:sz="0" w:space="0" w:color="auto"/>
            <w:right w:val="none" w:sz="0" w:space="0" w:color="auto"/>
          </w:divBdr>
        </w:div>
        <w:div w:id="1678733447">
          <w:marLeft w:val="0"/>
          <w:marRight w:val="0"/>
          <w:marTop w:val="40"/>
          <w:marBottom w:val="32"/>
          <w:divBdr>
            <w:top w:val="none" w:sz="0" w:space="0" w:color="auto"/>
            <w:left w:val="none" w:sz="0" w:space="0" w:color="auto"/>
            <w:bottom w:val="none" w:sz="0" w:space="0" w:color="auto"/>
            <w:right w:val="none" w:sz="0" w:space="0" w:color="auto"/>
          </w:divBdr>
        </w:div>
        <w:div w:id="47000259">
          <w:marLeft w:val="0"/>
          <w:marRight w:val="0"/>
          <w:marTop w:val="40"/>
          <w:marBottom w:val="32"/>
          <w:divBdr>
            <w:top w:val="none" w:sz="0" w:space="0" w:color="auto"/>
            <w:left w:val="none" w:sz="0" w:space="0" w:color="auto"/>
            <w:bottom w:val="none" w:sz="0" w:space="0" w:color="auto"/>
            <w:right w:val="none" w:sz="0" w:space="0" w:color="auto"/>
          </w:divBdr>
        </w:div>
        <w:div w:id="4985396">
          <w:marLeft w:val="0"/>
          <w:marRight w:val="0"/>
          <w:marTop w:val="40"/>
          <w:marBottom w:val="32"/>
          <w:divBdr>
            <w:top w:val="none" w:sz="0" w:space="0" w:color="auto"/>
            <w:left w:val="none" w:sz="0" w:space="0" w:color="auto"/>
            <w:bottom w:val="none" w:sz="0" w:space="0" w:color="auto"/>
            <w:right w:val="none" w:sz="0" w:space="0" w:color="auto"/>
          </w:divBdr>
        </w:div>
        <w:div w:id="1717507595">
          <w:marLeft w:val="0"/>
          <w:marRight w:val="0"/>
          <w:marTop w:val="40"/>
          <w:marBottom w:val="32"/>
          <w:divBdr>
            <w:top w:val="none" w:sz="0" w:space="0" w:color="auto"/>
            <w:left w:val="none" w:sz="0" w:space="0" w:color="auto"/>
            <w:bottom w:val="none" w:sz="0" w:space="0" w:color="auto"/>
            <w:right w:val="none" w:sz="0" w:space="0" w:color="auto"/>
          </w:divBdr>
        </w:div>
        <w:div w:id="2029601948">
          <w:marLeft w:val="0"/>
          <w:marRight w:val="0"/>
          <w:marTop w:val="40"/>
          <w:marBottom w:val="32"/>
          <w:divBdr>
            <w:top w:val="none" w:sz="0" w:space="0" w:color="auto"/>
            <w:left w:val="none" w:sz="0" w:space="0" w:color="auto"/>
            <w:bottom w:val="none" w:sz="0" w:space="0" w:color="auto"/>
            <w:right w:val="none" w:sz="0" w:space="0" w:color="auto"/>
          </w:divBdr>
        </w:div>
        <w:div w:id="1013724938">
          <w:marLeft w:val="0"/>
          <w:marRight w:val="0"/>
          <w:marTop w:val="40"/>
          <w:marBottom w:val="32"/>
          <w:divBdr>
            <w:top w:val="none" w:sz="0" w:space="0" w:color="auto"/>
            <w:left w:val="none" w:sz="0" w:space="0" w:color="auto"/>
            <w:bottom w:val="none" w:sz="0" w:space="0" w:color="auto"/>
            <w:right w:val="none" w:sz="0" w:space="0" w:color="auto"/>
          </w:divBdr>
        </w:div>
        <w:div w:id="156852098">
          <w:marLeft w:val="0"/>
          <w:marRight w:val="0"/>
          <w:marTop w:val="40"/>
          <w:marBottom w:val="32"/>
          <w:divBdr>
            <w:top w:val="none" w:sz="0" w:space="0" w:color="auto"/>
            <w:left w:val="none" w:sz="0" w:space="0" w:color="auto"/>
            <w:bottom w:val="none" w:sz="0" w:space="0" w:color="auto"/>
            <w:right w:val="none" w:sz="0" w:space="0" w:color="auto"/>
          </w:divBdr>
        </w:div>
        <w:div w:id="395665080">
          <w:marLeft w:val="0"/>
          <w:marRight w:val="0"/>
          <w:marTop w:val="40"/>
          <w:marBottom w:val="32"/>
          <w:divBdr>
            <w:top w:val="none" w:sz="0" w:space="0" w:color="auto"/>
            <w:left w:val="none" w:sz="0" w:space="0" w:color="auto"/>
            <w:bottom w:val="none" w:sz="0" w:space="0" w:color="auto"/>
            <w:right w:val="none" w:sz="0" w:space="0" w:color="auto"/>
          </w:divBdr>
        </w:div>
        <w:div w:id="1420831698">
          <w:marLeft w:val="0"/>
          <w:marRight w:val="0"/>
          <w:marTop w:val="40"/>
          <w:marBottom w:val="32"/>
          <w:divBdr>
            <w:top w:val="none" w:sz="0" w:space="0" w:color="auto"/>
            <w:left w:val="none" w:sz="0" w:space="0" w:color="auto"/>
            <w:bottom w:val="none" w:sz="0" w:space="0" w:color="auto"/>
            <w:right w:val="none" w:sz="0" w:space="0" w:color="auto"/>
          </w:divBdr>
        </w:div>
        <w:div w:id="985352823">
          <w:marLeft w:val="0"/>
          <w:marRight w:val="0"/>
          <w:marTop w:val="40"/>
          <w:marBottom w:val="32"/>
          <w:divBdr>
            <w:top w:val="none" w:sz="0" w:space="0" w:color="auto"/>
            <w:left w:val="none" w:sz="0" w:space="0" w:color="auto"/>
            <w:bottom w:val="none" w:sz="0" w:space="0" w:color="auto"/>
            <w:right w:val="none" w:sz="0" w:space="0" w:color="auto"/>
          </w:divBdr>
        </w:div>
        <w:div w:id="1295794705">
          <w:marLeft w:val="0"/>
          <w:marRight w:val="0"/>
          <w:marTop w:val="40"/>
          <w:marBottom w:val="32"/>
          <w:divBdr>
            <w:top w:val="none" w:sz="0" w:space="0" w:color="auto"/>
            <w:left w:val="none" w:sz="0" w:space="0" w:color="auto"/>
            <w:bottom w:val="none" w:sz="0" w:space="0" w:color="auto"/>
            <w:right w:val="none" w:sz="0" w:space="0" w:color="auto"/>
          </w:divBdr>
        </w:div>
        <w:div w:id="511997445">
          <w:marLeft w:val="0"/>
          <w:marRight w:val="0"/>
          <w:marTop w:val="40"/>
          <w:marBottom w:val="32"/>
          <w:divBdr>
            <w:top w:val="none" w:sz="0" w:space="0" w:color="auto"/>
            <w:left w:val="none" w:sz="0" w:space="0" w:color="auto"/>
            <w:bottom w:val="none" w:sz="0" w:space="0" w:color="auto"/>
            <w:right w:val="none" w:sz="0" w:space="0" w:color="auto"/>
          </w:divBdr>
        </w:div>
        <w:div w:id="1390569342">
          <w:marLeft w:val="0"/>
          <w:marRight w:val="0"/>
          <w:marTop w:val="40"/>
          <w:marBottom w:val="32"/>
          <w:divBdr>
            <w:top w:val="none" w:sz="0" w:space="0" w:color="auto"/>
            <w:left w:val="none" w:sz="0" w:space="0" w:color="auto"/>
            <w:bottom w:val="none" w:sz="0" w:space="0" w:color="auto"/>
            <w:right w:val="none" w:sz="0" w:space="0" w:color="auto"/>
          </w:divBdr>
        </w:div>
        <w:div w:id="1644892730">
          <w:marLeft w:val="0"/>
          <w:marRight w:val="0"/>
          <w:marTop w:val="40"/>
          <w:marBottom w:val="32"/>
          <w:divBdr>
            <w:top w:val="none" w:sz="0" w:space="0" w:color="auto"/>
            <w:left w:val="none" w:sz="0" w:space="0" w:color="auto"/>
            <w:bottom w:val="none" w:sz="0" w:space="0" w:color="auto"/>
            <w:right w:val="none" w:sz="0" w:space="0" w:color="auto"/>
          </w:divBdr>
        </w:div>
        <w:div w:id="1270042737">
          <w:marLeft w:val="0"/>
          <w:marRight w:val="0"/>
          <w:marTop w:val="40"/>
          <w:marBottom w:val="32"/>
          <w:divBdr>
            <w:top w:val="none" w:sz="0" w:space="0" w:color="auto"/>
            <w:left w:val="none" w:sz="0" w:space="0" w:color="auto"/>
            <w:bottom w:val="none" w:sz="0" w:space="0" w:color="auto"/>
            <w:right w:val="none" w:sz="0" w:space="0" w:color="auto"/>
          </w:divBdr>
        </w:div>
        <w:div w:id="342898768">
          <w:marLeft w:val="0"/>
          <w:marRight w:val="0"/>
          <w:marTop w:val="40"/>
          <w:marBottom w:val="32"/>
          <w:divBdr>
            <w:top w:val="none" w:sz="0" w:space="0" w:color="auto"/>
            <w:left w:val="none" w:sz="0" w:space="0" w:color="auto"/>
            <w:bottom w:val="none" w:sz="0" w:space="0" w:color="auto"/>
            <w:right w:val="none" w:sz="0" w:space="0" w:color="auto"/>
          </w:divBdr>
        </w:div>
        <w:div w:id="2000189822">
          <w:marLeft w:val="0"/>
          <w:marRight w:val="0"/>
          <w:marTop w:val="40"/>
          <w:marBottom w:val="32"/>
          <w:divBdr>
            <w:top w:val="none" w:sz="0" w:space="0" w:color="auto"/>
            <w:left w:val="none" w:sz="0" w:space="0" w:color="auto"/>
            <w:bottom w:val="none" w:sz="0" w:space="0" w:color="auto"/>
            <w:right w:val="none" w:sz="0" w:space="0" w:color="auto"/>
          </w:divBdr>
        </w:div>
        <w:div w:id="124852840">
          <w:marLeft w:val="0"/>
          <w:marRight w:val="0"/>
          <w:marTop w:val="40"/>
          <w:marBottom w:val="32"/>
          <w:divBdr>
            <w:top w:val="none" w:sz="0" w:space="0" w:color="auto"/>
            <w:left w:val="none" w:sz="0" w:space="0" w:color="auto"/>
            <w:bottom w:val="none" w:sz="0" w:space="0" w:color="auto"/>
            <w:right w:val="none" w:sz="0" w:space="0" w:color="auto"/>
          </w:divBdr>
        </w:div>
        <w:div w:id="401875346">
          <w:marLeft w:val="0"/>
          <w:marRight w:val="0"/>
          <w:marTop w:val="40"/>
          <w:marBottom w:val="32"/>
          <w:divBdr>
            <w:top w:val="none" w:sz="0" w:space="0" w:color="auto"/>
            <w:left w:val="none" w:sz="0" w:space="0" w:color="auto"/>
            <w:bottom w:val="none" w:sz="0" w:space="0" w:color="auto"/>
            <w:right w:val="none" w:sz="0" w:space="0" w:color="auto"/>
          </w:divBdr>
        </w:div>
        <w:div w:id="1661810149">
          <w:marLeft w:val="0"/>
          <w:marRight w:val="0"/>
          <w:marTop w:val="40"/>
          <w:marBottom w:val="32"/>
          <w:divBdr>
            <w:top w:val="none" w:sz="0" w:space="0" w:color="auto"/>
            <w:left w:val="none" w:sz="0" w:space="0" w:color="auto"/>
            <w:bottom w:val="none" w:sz="0" w:space="0" w:color="auto"/>
            <w:right w:val="none" w:sz="0" w:space="0" w:color="auto"/>
          </w:divBdr>
        </w:div>
        <w:div w:id="980035505">
          <w:marLeft w:val="0"/>
          <w:marRight w:val="0"/>
          <w:marTop w:val="40"/>
          <w:marBottom w:val="32"/>
          <w:divBdr>
            <w:top w:val="none" w:sz="0" w:space="0" w:color="auto"/>
            <w:left w:val="none" w:sz="0" w:space="0" w:color="auto"/>
            <w:bottom w:val="none" w:sz="0" w:space="0" w:color="auto"/>
            <w:right w:val="none" w:sz="0" w:space="0" w:color="auto"/>
          </w:divBdr>
        </w:div>
        <w:div w:id="1342660068">
          <w:marLeft w:val="0"/>
          <w:marRight w:val="0"/>
          <w:marTop w:val="40"/>
          <w:marBottom w:val="32"/>
          <w:divBdr>
            <w:top w:val="none" w:sz="0" w:space="0" w:color="auto"/>
            <w:left w:val="none" w:sz="0" w:space="0" w:color="auto"/>
            <w:bottom w:val="none" w:sz="0" w:space="0" w:color="auto"/>
            <w:right w:val="none" w:sz="0" w:space="0" w:color="auto"/>
          </w:divBdr>
        </w:div>
        <w:div w:id="316106692">
          <w:marLeft w:val="0"/>
          <w:marRight w:val="0"/>
          <w:marTop w:val="40"/>
          <w:marBottom w:val="32"/>
          <w:divBdr>
            <w:top w:val="none" w:sz="0" w:space="0" w:color="auto"/>
            <w:left w:val="none" w:sz="0" w:space="0" w:color="auto"/>
            <w:bottom w:val="none" w:sz="0" w:space="0" w:color="auto"/>
            <w:right w:val="none" w:sz="0" w:space="0" w:color="auto"/>
          </w:divBdr>
        </w:div>
        <w:div w:id="1763909814">
          <w:marLeft w:val="0"/>
          <w:marRight w:val="0"/>
          <w:marTop w:val="40"/>
          <w:marBottom w:val="32"/>
          <w:divBdr>
            <w:top w:val="none" w:sz="0" w:space="0" w:color="auto"/>
            <w:left w:val="none" w:sz="0" w:space="0" w:color="auto"/>
            <w:bottom w:val="none" w:sz="0" w:space="0" w:color="auto"/>
            <w:right w:val="none" w:sz="0" w:space="0" w:color="auto"/>
          </w:divBdr>
        </w:div>
        <w:div w:id="1730297944">
          <w:marLeft w:val="0"/>
          <w:marRight w:val="0"/>
          <w:marTop w:val="40"/>
          <w:marBottom w:val="32"/>
          <w:divBdr>
            <w:top w:val="none" w:sz="0" w:space="0" w:color="auto"/>
            <w:left w:val="none" w:sz="0" w:space="0" w:color="auto"/>
            <w:bottom w:val="none" w:sz="0" w:space="0" w:color="auto"/>
            <w:right w:val="none" w:sz="0" w:space="0" w:color="auto"/>
          </w:divBdr>
        </w:div>
        <w:div w:id="487089536">
          <w:marLeft w:val="0"/>
          <w:marRight w:val="0"/>
          <w:marTop w:val="40"/>
          <w:marBottom w:val="32"/>
          <w:divBdr>
            <w:top w:val="none" w:sz="0" w:space="0" w:color="auto"/>
            <w:left w:val="none" w:sz="0" w:space="0" w:color="auto"/>
            <w:bottom w:val="none" w:sz="0" w:space="0" w:color="auto"/>
            <w:right w:val="none" w:sz="0" w:space="0" w:color="auto"/>
          </w:divBdr>
        </w:div>
        <w:div w:id="403531901">
          <w:marLeft w:val="0"/>
          <w:marRight w:val="0"/>
          <w:marTop w:val="40"/>
          <w:marBottom w:val="32"/>
          <w:divBdr>
            <w:top w:val="none" w:sz="0" w:space="0" w:color="auto"/>
            <w:left w:val="none" w:sz="0" w:space="0" w:color="auto"/>
            <w:bottom w:val="none" w:sz="0" w:space="0" w:color="auto"/>
            <w:right w:val="none" w:sz="0" w:space="0" w:color="auto"/>
          </w:divBdr>
        </w:div>
        <w:div w:id="806631020">
          <w:marLeft w:val="0"/>
          <w:marRight w:val="0"/>
          <w:marTop w:val="40"/>
          <w:marBottom w:val="32"/>
          <w:divBdr>
            <w:top w:val="none" w:sz="0" w:space="0" w:color="auto"/>
            <w:left w:val="none" w:sz="0" w:space="0" w:color="auto"/>
            <w:bottom w:val="none" w:sz="0" w:space="0" w:color="auto"/>
            <w:right w:val="none" w:sz="0" w:space="0" w:color="auto"/>
          </w:divBdr>
        </w:div>
        <w:div w:id="1919896461">
          <w:marLeft w:val="0"/>
          <w:marRight w:val="0"/>
          <w:marTop w:val="40"/>
          <w:marBottom w:val="32"/>
          <w:divBdr>
            <w:top w:val="none" w:sz="0" w:space="0" w:color="auto"/>
            <w:left w:val="none" w:sz="0" w:space="0" w:color="auto"/>
            <w:bottom w:val="none" w:sz="0" w:space="0" w:color="auto"/>
            <w:right w:val="none" w:sz="0" w:space="0" w:color="auto"/>
          </w:divBdr>
        </w:div>
        <w:div w:id="225999337">
          <w:marLeft w:val="0"/>
          <w:marRight w:val="0"/>
          <w:marTop w:val="40"/>
          <w:marBottom w:val="32"/>
          <w:divBdr>
            <w:top w:val="none" w:sz="0" w:space="0" w:color="auto"/>
            <w:left w:val="none" w:sz="0" w:space="0" w:color="auto"/>
            <w:bottom w:val="none" w:sz="0" w:space="0" w:color="auto"/>
            <w:right w:val="none" w:sz="0" w:space="0" w:color="auto"/>
          </w:divBdr>
        </w:div>
        <w:div w:id="88045944">
          <w:marLeft w:val="0"/>
          <w:marRight w:val="0"/>
          <w:marTop w:val="40"/>
          <w:marBottom w:val="32"/>
          <w:divBdr>
            <w:top w:val="none" w:sz="0" w:space="0" w:color="auto"/>
            <w:left w:val="none" w:sz="0" w:space="0" w:color="auto"/>
            <w:bottom w:val="none" w:sz="0" w:space="0" w:color="auto"/>
            <w:right w:val="none" w:sz="0" w:space="0" w:color="auto"/>
          </w:divBdr>
        </w:div>
        <w:div w:id="463159339">
          <w:marLeft w:val="0"/>
          <w:marRight w:val="0"/>
          <w:marTop w:val="40"/>
          <w:marBottom w:val="32"/>
          <w:divBdr>
            <w:top w:val="none" w:sz="0" w:space="0" w:color="auto"/>
            <w:left w:val="none" w:sz="0" w:space="0" w:color="auto"/>
            <w:bottom w:val="none" w:sz="0" w:space="0" w:color="auto"/>
            <w:right w:val="none" w:sz="0" w:space="0" w:color="auto"/>
          </w:divBdr>
        </w:div>
        <w:div w:id="1331639792">
          <w:marLeft w:val="0"/>
          <w:marRight w:val="0"/>
          <w:marTop w:val="40"/>
          <w:marBottom w:val="32"/>
          <w:divBdr>
            <w:top w:val="none" w:sz="0" w:space="0" w:color="auto"/>
            <w:left w:val="none" w:sz="0" w:space="0" w:color="auto"/>
            <w:bottom w:val="none" w:sz="0" w:space="0" w:color="auto"/>
            <w:right w:val="none" w:sz="0" w:space="0" w:color="auto"/>
          </w:divBdr>
        </w:div>
        <w:div w:id="1154292998">
          <w:marLeft w:val="0"/>
          <w:marRight w:val="0"/>
          <w:marTop w:val="40"/>
          <w:marBottom w:val="32"/>
          <w:divBdr>
            <w:top w:val="none" w:sz="0" w:space="0" w:color="auto"/>
            <w:left w:val="none" w:sz="0" w:space="0" w:color="auto"/>
            <w:bottom w:val="none" w:sz="0" w:space="0" w:color="auto"/>
            <w:right w:val="none" w:sz="0" w:space="0" w:color="auto"/>
          </w:divBdr>
        </w:div>
        <w:div w:id="1868135366">
          <w:marLeft w:val="0"/>
          <w:marRight w:val="0"/>
          <w:marTop w:val="40"/>
          <w:marBottom w:val="32"/>
          <w:divBdr>
            <w:top w:val="none" w:sz="0" w:space="0" w:color="auto"/>
            <w:left w:val="none" w:sz="0" w:space="0" w:color="auto"/>
            <w:bottom w:val="none" w:sz="0" w:space="0" w:color="auto"/>
            <w:right w:val="none" w:sz="0" w:space="0" w:color="auto"/>
          </w:divBdr>
        </w:div>
        <w:div w:id="182979879">
          <w:marLeft w:val="0"/>
          <w:marRight w:val="0"/>
          <w:marTop w:val="40"/>
          <w:marBottom w:val="32"/>
          <w:divBdr>
            <w:top w:val="none" w:sz="0" w:space="0" w:color="auto"/>
            <w:left w:val="none" w:sz="0" w:space="0" w:color="auto"/>
            <w:bottom w:val="none" w:sz="0" w:space="0" w:color="auto"/>
            <w:right w:val="none" w:sz="0" w:space="0" w:color="auto"/>
          </w:divBdr>
        </w:div>
        <w:div w:id="532380051">
          <w:marLeft w:val="0"/>
          <w:marRight w:val="0"/>
          <w:marTop w:val="40"/>
          <w:marBottom w:val="32"/>
          <w:divBdr>
            <w:top w:val="none" w:sz="0" w:space="0" w:color="auto"/>
            <w:left w:val="none" w:sz="0" w:space="0" w:color="auto"/>
            <w:bottom w:val="none" w:sz="0" w:space="0" w:color="auto"/>
            <w:right w:val="none" w:sz="0" w:space="0" w:color="auto"/>
          </w:divBdr>
        </w:div>
        <w:div w:id="730351343">
          <w:marLeft w:val="0"/>
          <w:marRight w:val="0"/>
          <w:marTop w:val="40"/>
          <w:marBottom w:val="32"/>
          <w:divBdr>
            <w:top w:val="none" w:sz="0" w:space="0" w:color="auto"/>
            <w:left w:val="none" w:sz="0" w:space="0" w:color="auto"/>
            <w:bottom w:val="none" w:sz="0" w:space="0" w:color="auto"/>
            <w:right w:val="none" w:sz="0" w:space="0" w:color="auto"/>
          </w:divBdr>
        </w:div>
        <w:div w:id="1293174659">
          <w:marLeft w:val="0"/>
          <w:marRight w:val="0"/>
          <w:marTop w:val="40"/>
          <w:marBottom w:val="32"/>
          <w:divBdr>
            <w:top w:val="none" w:sz="0" w:space="0" w:color="auto"/>
            <w:left w:val="none" w:sz="0" w:space="0" w:color="auto"/>
            <w:bottom w:val="none" w:sz="0" w:space="0" w:color="auto"/>
            <w:right w:val="none" w:sz="0" w:space="0" w:color="auto"/>
          </w:divBdr>
        </w:div>
        <w:div w:id="2114860387">
          <w:marLeft w:val="0"/>
          <w:marRight w:val="0"/>
          <w:marTop w:val="40"/>
          <w:marBottom w:val="32"/>
          <w:divBdr>
            <w:top w:val="none" w:sz="0" w:space="0" w:color="auto"/>
            <w:left w:val="none" w:sz="0" w:space="0" w:color="auto"/>
            <w:bottom w:val="none" w:sz="0" w:space="0" w:color="auto"/>
            <w:right w:val="none" w:sz="0" w:space="0" w:color="auto"/>
          </w:divBdr>
        </w:div>
        <w:div w:id="1863783166">
          <w:marLeft w:val="0"/>
          <w:marRight w:val="0"/>
          <w:marTop w:val="40"/>
          <w:marBottom w:val="32"/>
          <w:divBdr>
            <w:top w:val="none" w:sz="0" w:space="0" w:color="auto"/>
            <w:left w:val="none" w:sz="0" w:space="0" w:color="auto"/>
            <w:bottom w:val="none" w:sz="0" w:space="0" w:color="auto"/>
            <w:right w:val="none" w:sz="0" w:space="0" w:color="auto"/>
          </w:divBdr>
        </w:div>
        <w:div w:id="655188539">
          <w:marLeft w:val="0"/>
          <w:marRight w:val="0"/>
          <w:marTop w:val="40"/>
          <w:marBottom w:val="32"/>
          <w:divBdr>
            <w:top w:val="none" w:sz="0" w:space="0" w:color="auto"/>
            <w:left w:val="none" w:sz="0" w:space="0" w:color="auto"/>
            <w:bottom w:val="none" w:sz="0" w:space="0" w:color="auto"/>
            <w:right w:val="none" w:sz="0" w:space="0" w:color="auto"/>
          </w:divBdr>
        </w:div>
        <w:div w:id="553464194">
          <w:marLeft w:val="0"/>
          <w:marRight w:val="0"/>
          <w:marTop w:val="40"/>
          <w:marBottom w:val="32"/>
          <w:divBdr>
            <w:top w:val="none" w:sz="0" w:space="0" w:color="auto"/>
            <w:left w:val="none" w:sz="0" w:space="0" w:color="auto"/>
            <w:bottom w:val="none" w:sz="0" w:space="0" w:color="auto"/>
            <w:right w:val="none" w:sz="0" w:space="0" w:color="auto"/>
          </w:divBdr>
        </w:div>
        <w:div w:id="1697073876">
          <w:marLeft w:val="0"/>
          <w:marRight w:val="0"/>
          <w:marTop w:val="40"/>
          <w:marBottom w:val="32"/>
          <w:divBdr>
            <w:top w:val="none" w:sz="0" w:space="0" w:color="auto"/>
            <w:left w:val="none" w:sz="0" w:space="0" w:color="auto"/>
            <w:bottom w:val="none" w:sz="0" w:space="0" w:color="auto"/>
            <w:right w:val="none" w:sz="0" w:space="0" w:color="auto"/>
          </w:divBdr>
        </w:div>
        <w:div w:id="1042753110">
          <w:marLeft w:val="0"/>
          <w:marRight w:val="0"/>
          <w:marTop w:val="40"/>
          <w:marBottom w:val="32"/>
          <w:divBdr>
            <w:top w:val="none" w:sz="0" w:space="0" w:color="auto"/>
            <w:left w:val="none" w:sz="0" w:space="0" w:color="auto"/>
            <w:bottom w:val="none" w:sz="0" w:space="0" w:color="auto"/>
            <w:right w:val="none" w:sz="0" w:space="0" w:color="auto"/>
          </w:divBdr>
        </w:div>
        <w:div w:id="1460369698">
          <w:marLeft w:val="0"/>
          <w:marRight w:val="0"/>
          <w:marTop w:val="40"/>
          <w:marBottom w:val="32"/>
          <w:divBdr>
            <w:top w:val="none" w:sz="0" w:space="0" w:color="auto"/>
            <w:left w:val="none" w:sz="0" w:space="0" w:color="auto"/>
            <w:bottom w:val="none" w:sz="0" w:space="0" w:color="auto"/>
            <w:right w:val="none" w:sz="0" w:space="0" w:color="auto"/>
          </w:divBdr>
        </w:div>
        <w:div w:id="912813903">
          <w:marLeft w:val="0"/>
          <w:marRight w:val="0"/>
          <w:marTop w:val="40"/>
          <w:marBottom w:val="32"/>
          <w:divBdr>
            <w:top w:val="none" w:sz="0" w:space="0" w:color="auto"/>
            <w:left w:val="none" w:sz="0" w:space="0" w:color="auto"/>
            <w:bottom w:val="none" w:sz="0" w:space="0" w:color="auto"/>
            <w:right w:val="none" w:sz="0" w:space="0" w:color="auto"/>
          </w:divBdr>
        </w:div>
        <w:div w:id="1287741358">
          <w:marLeft w:val="0"/>
          <w:marRight w:val="0"/>
          <w:marTop w:val="40"/>
          <w:marBottom w:val="32"/>
          <w:divBdr>
            <w:top w:val="none" w:sz="0" w:space="0" w:color="auto"/>
            <w:left w:val="none" w:sz="0" w:space="0" w:color="auto"/>
            <w:bottom w:val="none" w:sz="0" w:space="0" w:color="auto"/>
            <w:right w:val="none" w:sz="0" w:space="0" w:color="auto"/>
          </w:divBdr>
        </w:div>
        <w:div w:id="955677802">
          <w:marLeft w:val="0"/>
          <w:marRight w:val="0"/>
          <w:marTop w:val="40"/>
          <w:marBottom w:val="32"/>
          <w:divBdr>
            <w:top w:val="none" w:sz="0" w:space="0" w:color="auto"/>
            <w:left w:val="none" w:sz="0" w:space="0" w:color="auto"/>
            <w:bottom w:val="none" w:sz="0" w:space="0" w:color="auto"/>
            <w:right w:val="none" w:sz="0" w:space="0" w:color="auto"/>
          </w:divBdr>
        </w:div>
        <w:div w:id="367341730">
          <w:marLeft w:val="0"/>
          <w:marRight w:val="0"/>
          <w:marTop w:val="40"/>
          <w:marBottom w:val="32"/>
          <w:divBdr>
            <w:top w:val="none" w:sz="0" w:space="0" w:color="auto"/>
            <w:left w:val="none" w:sz="0" w:space="0" w:color="auto"/>
            <w:bottom w:val="none" w:sz="0" w:space="0" w:color="auto"/>
            <w:right w:val="none" w:sz="0" w:space="0" w:color="auto"/>
          </w:divBdr>
        </w:div>
        <w:div w:id="1182550179">
          <w:marLeft w:val="0"/>
          <w:marRight w:val="0"/>
          <w:marTop w:val="40"/>
          <w:marBottom w:val="32"/>
          <w:divBdr>
            <w:top w:val="none" w:sz="0" w:space="0" w:color="auto"/>
            <w:left w:val="none" w:sz="0" w:space="0" w:color="auto"/>
            <w:bottom w:val="none" w:sz="0" w:space="0" w:color="auto"/>
            <w:right w:val="none" w:sz="0" w:space="0" w:color="auto"/>
          </w:divBdr>
        </w:div>
        <w:div w:id="750737970">
          <w:marLeft w:val="0"/>
          <w:marRight w:val="0"/>
          <w:marTop w:val="40"/>
          <w:marBottom w:val="32"/>
          <w:divBdr>
            <w:top w:val="none" w:sz="0" w:space="0" w:color="auto"/>
            <w:left w:val="none" w:sz="0" w:space="0" w:color="auto"/>
            <w:bottom w:val="none" w:sz="0" w:space="0" w:color="auto"/>
            <w:right w:val="none" w:sz="0" w:space="0" w:color="auto"/>
          </w:divBdr>
        </w:div>
        <w:div w:id="1262447502">
          <w:marLeft w:val="0"/>
          <w:marRight w:val="0"/>
          <w:marTop w:val="40"/>
          <w:marBottom w:val="32"/>
          <w:divBdr>
            <w:top w:val="none" w:sz="0" w:space="0" w:color="auto"/>
            <w:left w:val="none" w:sz="0" w:space="0" w:color="auto"/>
            <w:bottom w:val="none" w:sz="0" w:space="0" w:color="auto"/>
            <w:right w:val="none" w:sz="0" w:space="0" w:color="auto"/>
          </w:divBdr>
        </w:div>
        <w:div w:id="1076979529">
          <w:marLeft w:val="0"/>
          <w:marRight w:val="0"/>
          <w:marTop w:val="40"/>
          <w:marBottom w:val="32"/>
          <w:divBdr>
            <w:top w:val="none" w:sz="0" w:space="0" w:color="auto"/>
            <w:left w:val="none" w:sz="0" w:space="0" w:color="auto"/>
            <w:bottom w:val="none" w:sz="0" w:space="0" w:color="auto"/>
            <w:right w:val="none" w:sz="0" w:space="0" w:color="auto"/>
          </w:divBdr>
        </w:div>
        <w:div w:id="786534">
          <w:marLeft w:val="0"/>
          <w:marRight w:val="0"/>
          <w:marTop w:val="40"/>
          <w:marBottom w:val="32"/>
          <w:divBdr>
            <w:top w:val="none" w:sz="0" w:space="0" w:color="auto"/>
            <w:left w:val="none" w:sz="0" w:space="0" w:color="auto"/>
            <w:bottom w:val="none" w:sz="0" w:space="0" w:color="auto"/>
            <w:right w:val="none" w:sz="0" w:space="0" w:color="auto"/>
          </w:divBdr>
        </w:div>
        <w:div w:id="1260523744">
          <w:marLeft w:val="0"/>
          <w:marRight w:val="0"/>
          <w:marTop w:val="40"/>
          <w:marBottom w:val="32"/>
          <w:divBdr>
            <w:top w:val="none" w:sz="0" w:space="0" w:color="auto"/>
            <w:left w:val="none" w:sz="0" w:space="0" w:color="auto"/>
            <w:bottom w:val="none" w:sz="0" w:space="0" w:color="auto"/>
            <w:right w:val="none" w:sz="0" w:space="0" w:color="auto"/>
          </w:divBdr>
        </w:div>
        <w:div w:id="1738893046">
          <w:marLeft w:val="0"/>
          <w:marRight w:val="0"/>
          <w:marTop w:val="40"/>
          <w:marBottom w:val="32"/>
          <w:divBdr>
            <w:top w:val="none" w:sz="0" w:space="0" w:color="auto"/>
            <w:left w:val="none" w:sz="0" w:space="0" w:color="auto"/>
            <w:bottom w:val="none" w:sz="0" w:space="0" w:color="auto"/>
            <w:right w:val="none" w:sz="0" w:space="0" w:color="auto"/>
          </w:divBdr>
        </w:div>
        <w:div w:id="46343627">
          <w:marLeft w:val="0"/>
          <w:marRight w:val="0"/>
          <w:marTop w:val="40"/>
          <w:marBottom w:val="32"/>
          <w:divBdr>
            <w:top w:val="none" w:sz="0" w:space="0" w:color="auto"/>
            <w:left w:val="none" w:sz="0" w:space="0" w:color="auto"/>
            <w:bottom w:val="none" w:sz="0" w:space="0" w:color="auto"/>
            <w:right w:val="none" w:sz="0" w:space="0" w:color="auto"/>
          </w:divBdr>
        </w:div>
        <w:div w:id="1732534674">
          <w:marLeft w:val="0"/>
          <w:marRight w:val="0"/>
          <w:marTop w:val="40"/>
          <w:marBottom w:val="32"/>
          <w:divBdr>
            <w:top w:val="none" w:sz="0" w:space="0" w:color="auto"/>
            <w:left w:val="none" w:sz="0" w:space="0" w:color="auto"/>
            <w:bottom w:val="none" w:sz="0" w:space="0" w:color="auto"/>
            <w:right w:val="none" w:sz="0" w:space="0" w:color="auto"/>
          </w:divBdr>
        </w:div>
        <w:div w:id="1240016479">
          <w:marLeft w:val="0"/>
          <w:marRight w:val="0"/>
          <w:marTop w:val="40"/>
          <w:marBottom w:val="32"/>
          <w:divBdr>
            <w:top w:val="none" w:sz="0" w:space="0" w:color="auto"/>
            <w:left w:val="none" w:sz="0" w:space="0" w:color="auto"/>
            <w:bottom w:val="none" w:sz="0" w:space="0" w:color="auto"/>
            <w:right w:val="none" w:sz="0" w:space="0" w:color="auto"/>
          </w:divBdr>
        </w:div>
        <w:div w:id="216355735">
          <w:marLeft w:val="0"/>
          <w:marRight w:val="0"/>
          <w:marTop w:val="40"/>
          <w:marBottom w:val="32"/>
          <w:divBdr>
            <w:top w:val="none" w:sz="0" w:space="0" w:color="auto"/>
            <w:left w:val="none" w:sz="0" w:space="0" w:color="auto"/>
            <w:bottom w:val="none" w:sz="0" w:space="0" w:color="auto"/>
            <w:right w:val="none" w:sz="0" w:space="0" w:color="auto"/>
          </w:divBdr>
        </w:div>
        <w:div w:id="2069721913">
          <w:marLeft w:val="0"/>
          <w:marRight w:val="0"/>
          <w:marTop w:val="40"/>
          <w:marBottom w:val="32"/>
          <w:divBdr>
            <w:top w:val="none" w:sz="0" w:space="0" w:color="auto"/>
            <w:left w:val="none" w:sz="0" w:space="0" w:color="auto"/>
            <w:bottom w:val="none" w:sz="0" w:space="0" w:color="auto"/>
            <w:right w:val="none" w:sz="0" w:space="0" w:color="auto"/>
          </w:divBdr>
        </w:div>
        <w:div w:id="1952857768">
          <w:marLeft w:val="0"/>
          <w:marRight w:val="0"/>
          <w:marTop w:val="40"/>
          <w:marBottom w:val="32"/>
          <w:divBdr>
            <w:top w:val="none" w:sz="0" w:space="0" w:color="auto"/>
            <w:left w:val="none" w:sz="0" w:space="0" w:color="auto"/>
            <w:bottom w:val="none" w:sz="0" w:space="0" w:color="auto"/>
            <w:right w:val="none" w:sz="0" w:space="0" w:color="auto"/>
          </w:divBdr>
        </w:div>
        <w:div w:id="1542937688">
          <w:marLeft w:val="0"/>
          <w:marRight w:val="0"/>
          <w:marTop w:val="40"/>
          <w:marBottom w:val="32"/>
          <w:divBdr>
            <w:top w:val="none" w:sz="0" w:space="0" w:color="auto"/>
            <w:left w:val="none" w:sz="0" w:space="0" w:color="auto"/>
            <w:bottom w:val="none" w:sz="0" w:space="0" w:color="auto"/>
            <w:right w:val="none" w:sz="0" w:space="0" w:color="auto"/>
          </w:divBdr>
        </w:div>
        <w:div w:id="1296712393">
          <w:marLeft w:val="0"/>
          <w:marRight w:val="0"/>
          <w:marTop w:val="40"/>
          <w:marBottom w:val="32"/>
          <w:divBdr>
            <w:top w:val="none" w:sz="0" w:space="0" w:color="auto"/>
            <w:left w:val="none" w:sz="0" w:space="0" w:color="auto"/>
            <w:bottom w:val="none" w:sz="0" w:space="0" w:color="auto"/>
            <w:right w:val="none" w:sz="0" w:space="0" w:color="auto"/>
          </w:divBdr>
        </w:div>
        <w:div w:id="642199694">
          <w:marLeft w:val="0"/>
          <w:marRight w:val="0"/>
          <w:marTop w:val="40"/>
          <w:marBottom w:val="32"/>
          <w:divBdr>
            <w:top w:val="none" w:sz="0" w:space="0" w:color="auto"/>
            <w:left w:val="none" w:sz="0" w:space="0" w:color="auto"/>
            <w:bottom w:val="none" w:sz="0" w:space="0" w:color="auto"/>
            <w:right w:val="none" w:sz="0" w:space="0" w:color="auto"/>
          </w:divBdr>
        </w:div>
        <w:div w:id="1544444479">
          <w:marLeft w:val="0"/>
          <w:marRight w:val="0"/>
          <w:marTop w:val="40"/>
          <w:marBottom w:val="32"/>
          <w:divBdr>
            <w:top w:val="none" w:sz="0" w:space="0" w:color="auto"/>
            <w:left w:val="none" w:sz="0" w:space="0" w:color="auto"/>
            <w:bottom w:val="none" w:sz="0" w:space="0" w:color="auto"/>
            <w:right w:val="none" w:sz="0" w:space="0" w:color="auto"/>
          </w:divBdr>
        </w:div>
        <w:div w:id="1118791252">
          <w:marLeft w:val="0"/>
          <w:marRight w:val="0"/>
          <w:marTop w:val="40"/>
          <w:marBottom w:val="32"/>
          <w:divBdr>
            <w:top w:val="none" w:sz="0" w:space="0" w:color="auto"/>
            <w:left w:val="none" w:sz="0" w:space="0" w:color="auto"/>
            <w:bottom w:val="none" w:sz="0" w:space="0" w:color="auto"/>
            <w:right w:val="none" w:sz="0" w:space="0" w:color="auto"/>
          </w:divBdr>
        </w:div>
        <w:div w:id="1524705295">
          <w:marLeft w:val="0"/>
          <w:marRight w:val="0"/>
          <w:marTop w:val="40"/>
          <w:marBottom w:val="32"/>
          <w:divBdr>
            <w:top w:val="none" w:sz="0" w:space="0" w:color="auto"/>
            <w:left w:val="none" w:sz="0" w:space="0" w:color="auto"/>
            <w:bottom w:val="none" w:sz="0" w:space="0" w:color="auto"/>
            <w:right w:val="none" w:sz="0" w:space="0" w:color="auto"/>
          </w:divBdr>
        </w:div>
        <w:div w:id="1566798303">
          <w:marLeft w:val="0"/>
          <w:marRight w:val="0"/>
          <w:marTop w:val="40"/>
          <w:marBottom w:val="32"/>
          <w:divBdr>
            <w:top w:val="none" w:sz="0" w:space="0" w:color="auto"/>
            <w:left w:val="none" w:sz="0" w:space="0" w:color="auto"/>
            <w:bottom w:val="none" w:sz="0" w:space="0" w:color="auto"/>
            <w:right w:val="none" w:sz="0" w:space="0" w:color="auto"/>
          </w:divBdr>
        </w:div>
        <w:div w:id="434176423">
          <w:marLeft w:val="0"/>
          <w:marRight w:val="0"/>
          <w:marTop w:val="40"/>
          <w:marBottom w:val="32"/>
          <w:divBdr>
            <w:top w:val="none" w:sz="0" w:space="0" w:color="auto"/>
            <w:left w:val="none" w:sz="0" w:space="0" w:color="auto"/>
            <w:bottom w:val="none" w:sz="0" w:space="0" w:color="auto"/>
            <w:right w:val="none" w:sz="0" w:space="0" w:color="auto"/>
          </w:divBdr>
        </w:div>
        <w:div w:id="1538856934">
          <w:marLeft w:val="0"/>
          <w:marRight w:val="0"/>
          <w:marTop w:val="40"/>
          <w:marBottom w:val="32"/>
          <w:divBdr>
            <w:top w:val="none" w:sz="0" w:space="0" w:color="auto"/>
            <w:left w:val="none" w:sz="0" w:space="0" w:color="auto"/>
            <w:bottom w:val="none" w:sz="0" w:space="0" w:color="auto"/>
            <w:right w:val="none" w:sz="0" w:space="0" w:color="auto"/>
          </w:divBdr>
        </w:div>
        <w:div w:id="1878396936">
          <w:marLeft w:val="0"/>
          <w:marRight w:val="0"/>
          <w:marTop w:val="40"/>
          <w:marBottom w:val="32"/>
          <w:divBdr>
            <w:top w:val="none" w:sz="0" w:space="0" w:color="auto"/>
            <w:left w:val="none" w:sz="0" w:space="0" w:color="auto"/>
            <w:bottom w:val="none" w:sz="0" w:space="0" w:color="auto"/>
            <w:right w:val="none" w:sz="0" w:space="0" w:color="auto"/>
          </w:divBdr>
        </w:div>
        <w:div w:id="503084577">
          <w:marLeft w:val="0"/>
          <w:marRight w:val="0"/>
          <w:marTop w:val="40"/>
          <w:marBottom w:val="32"/>
          <w:divBdr>
            <w:top w:val="none" w:sz="0" w:space="0" w:color="auto"/>
            <w:left w:val="none" w:sz="0" w:space="0" w:color="auto"/>
            <w:bottom w:val="none" w:sz="0" w:space="0" w:color="auto"/>
            <w:right w:val="none" w:sz="0" w:space="0" w:color="auto"/>
          </w:divBdr>
        </w:div>
        <w:div w:id="212742516">
          <w:marLeft w:val="0"/>
          <w:marRight w:val="0"/>
          <w:marTop w:val="40"/>
          <w:marBottom w:val="32"/>
          <w:divBdr>
            <w:top w:val="none" w:sz="0" w:space="0" w:color="auto"/>
            <w:left w:val="none" w:sz="0" w:space="0" w:color="auto"/>
            <w:bottom w:val="none" w:sz="0" w:space="0" w:color="auto"/>
            <w:right w:val="none" w:sz="0" w:space="0" w:color="auto"/>
          </w:divBdr>
        </w:div>
        <w:div w:id="1455906942">
          <w:marLeft w:val="0"/>
          <w:marRight w:val="0"/>
          <w:marTop w:val="40"/>
          <w:marBottom w:val="32"/>
          <w:divBdr>
            <w:top w:val="none" w:sz="0" w:space="0" w:color="auto"/>
            <w:left w:val="none" w:sz="0" w:space="0" w:color="auto"/>
            <w:bottom w:val="none" w:sz="0" w:space="0" w:color="auto"/>
            <w:right w:val="none" w:sz="0" w:space="0" w:color="auto"/>
          </w:divBdr>
        </w:div>
        <w:div w:id="680471032">
          <w:marLeft w:val="0"/>
          <w:marRight w:val="0"/>
          <w:marTop w:val="0"/>
          <w:marBottom w:val="101"/>
          <w:divBdr>
            <w:top w:val="none" w:sz="0" w:space="0" w:color="auto"/>
            <w:left w:val="none" w:sz="0" w:space="0" w:color="auto"/>
            <w:bottom w:val="none" w:sz="0" w:space="0" w:color="auto"/>
            <w:right w:val="none" w:sz="0" w:space="0" w:color="auto"/>
          </w:divBdr>
        </w:div>
        <w:div w:id="720443819">
          <w:marLeft w:val="0"/>
          <w:marRight w:val="0"/>
          <w:marTop w:val="0"/>
          <w:marBottom w:val="101"/>
          <w:divBdr>
            <w:top w:val="none" w:sz="0" w:space="0" w:color="auto"/>
            <w:left w:val="none" w:sz="0" w:space="0" w:color="auto"/>
            <w:bottom w:val="none" w:sz="0" w:space="0" w:color="auto"/>
            <w:right w:val="none" w:sz="0" w:space="0" w:color="auto"/>
          </w:divBdr>
        </w:div>
        <w:div w:id="1216115251">
          <w:marLeft w:val="0"/>
          <w:marRight w:val="0"/>
          <w:marTop w:val="40"/>
          <w:marBottom w:val="38"/>
          <w:divBdr>
            <w:top w:val="none" w:sz="0" w:space="0" w:color="auto"/>
            <w:left w:val="none" w:sz="0" w:space="0" w:color="auto"/>
            <w:bottom w:val="none" w:sz="0" w:space="0" w:color="auto"/>
            <w:right w:val="none" w:sz="0" w:space="0" w:color="auto"/>
          </w:divBdr>
        </w:div>
        <w:div w:id="784276054">
          <w:marLeft w:val="0"/>
          <w:marRight w:val="0"/>
          <w:marTop w:val="40"/>
          <w:marBottom w:val="38"/>
          <w:divBdr>
            <w:top w:val="none" w:sz="0" w:space="0" w:color="auto"/>
            <w:left w:val="none" w:sz="0" w:space="0" w:color="auto"/>
            <w:bottom w:val="none" w:sz="0" w:space="0" w:color="auto"/>
            <w:right w:val="none" w:sz="0" w:space="0" w:color="auto"/>
          </w:divBdr>
        </w:div>
        <w:div w:id="1794862361">
          <w:marLeft w:val="0"/>
          <w:marRight w:val="0"/>
          <w:marTop w:val="40"/>
          <w:marBottom w:val="38"/>
          <w:divBdr>
            <w:top w:val="none" w:sz="0" w:space="0" w:color="auto"/>
            <w:left w:val="none" w:sz="0" w:space="0" w:color="auto"/>
            <w:bottom w:val="none" w:sz="0" w:space="0" w:color="auto"/>
            <w:right w:val="none" w:sz="0" w:space="0" w:color="auto"/>
          </w:divBdr>
        </w:div>
        <w:div w:id="300960371">
          <w:marLeft w:val="0"/>
          <w:marRight w:val="0"/>
          <w:marTop w:val="40"/>
          <w:marBottom w:val="38"/>
          <w:divBdr>
            <w:top w:val="none" w:sz="0" w:space="0" w:color="auto"/>
            <w:left w:val="none" w:sz="0" w:space="0" w:color="auto"/>
            <w:bottom w:val="none" w:sz="0" w:space="0" w:color="auto"/>
            <w:right w:val="none" w:sz="0" w:space="0" w:color="auto"/>
          </w:divBdr>
        </w:div>
        <w:div w:id="734398040">
          <w:marLeft w:val="0"/>
          <w:marRight w:val="0"/>
          <w:marTop w:val="40"/>
          <w:marBottom w:val="38"/>
          <w:divBdr>
            <w:top w:val="none" w:sz="0" w:space="0" w:color="auto"/>
            <w:left w:val="none" w:sz="0" w:space="0" w:color="auto"/>
            <w:bottom w:val="none" w:sz="0" w:space="0" w:color="auto"/>
            <w:right w:val="none" w:sz="0" w:space="0" w:color="auto"/>
          </w:divBdr>
        </w:div>
        <w:div w:id="1585140640">
          <w:marLeft w:val="0"/>
          <w:marRight w:val="0"/>
          <w:marTop w:val="40"/>
          <w:marBottom w:val="38"/>
          <w:divBdr>
            <w:top w:val="none" w:sz="0" w:space="0" w:color="auto"/>
            <w:left w:val="none" w:sz="0" w:space="0" w:color="auto"/>
            <w:bottom w:val="none" w:sz="0" w:space="0" w:color="auto"/>
            <w:right w:val="none" w:sz="0" w:space="0" w:color="auto"/>
          </w:divBdr>
        </w:div>
        <w:div w:id="1032265721">
          <w:marLeft w:val="0"/>
          <w:marRight w:val="0"/>
          <w:marTop w:val="40"/>
          <w:marBottom w:val="38"/>
          <w:divBdr>
            <w:top w:val="none" w:sz="0" w:space="0" w:color="auto"/>
            <w:left w:val="none" w:sz="0" w:space="0" w:color="auto"/>
            <w:bottom w:val="none" w:sz="0" w:space="0" w:color="auto"/>
            <w:right w:val="none" w:sz="0" w:space="0" w:color="auto"/>
          </w:divBdr>
        </w:div>
        <w:div w:id="338968760">
          <w:marLeft w:val="0"/>
          <w:marRight w:val="0"/>
          <w:marTop w:val="40"/>
          <w:marBottom w:val="38"/>
          <w:divBdr>
            <w:top w:val="none" w:sz="0" w:space="0" w:color="auto"/>
            <w:left w:val="none" w:sz="0" w:space="0" w:color="auto"/>
            <w:bottom w:val="none" w:sz="0" w:space="0" w:color="auto"/>
            <w:right w:val="none" w:sz="0" w:space="0" w:color="auto"/>
          </w:divBdr>
        </w:div>
        <w:div w:id="1564100683">
          <w:marLeft w:val="0"/>
          <w:marRight w:val="0"/>
          <w:marTop w:val="40"/>
          <w:marBottom w:val="38"/>
          <w:divBdr>
            <w:top w:val="none" w:sz="0" w:space="0" w:color="auto"/>
            <w:left w:val="none" w:sz="0" w:space="0" w:color="auto"/>
            <w:bottom w:val="none" w:sz="0" w:space="0" w:color="auto"/>
            <w:right w:val="none" w:sz="0" w:space="0" w:color="auto"/>
          </w:divBdr>
        </w:div>
        <w:div w:id="9911872">
          <w:marLeft w:val="0"/>
          <w:marRight w:val="0"/>
          <w:marTop w:val="40"/>
          <w:marBottom w:val="38"/>
          <w:divBdr>
            <w:top w:val="none" w:sz="0" w:space="0" w:color="auto"/>
            <w:left w:val="none" w:sz="0" w:space="0" w:color="auto"/>
            <w:bottom w:val="none" w:sz="0" w:space="0" w:color="auto"/>
            <w:right w:val="none" w:sz="0" w:space="0" w:color="auto"/>
          </w:divBdr>
        </w:div>
        <w:div w:id="740375402">
          <w:marLeft w:val="0"/>
          <w:marRight w:val="0"/>
          <w:marTop w:val="40"/>
          <w:marBottom w:val="38"/>
          <w:divBdr>
            <w:top w:val="none" w:sz="0" w:space="0" w:color="auto"/>
            <w:left w:val="none" w:sz="0" w:space="0" w:color="auto"/>
            <w:bottom w:val="none" w:sz="0" w:space="0" w:color="auto"/>
            <w:right w:val="none" w:sz="0" w:space="0" w:color="auto"/>
          </w:divBdr>
        </w:div>
        <w:div w:id="1800418510">
          <w:marLeft w:val="0"/>
          <w:marRight w:val="0"/>
          <w:marTop w:val="40"/>
          <w:marBottom w:val="38"/>
          <w:divBdr>
            <w:top w:val="none" w:sz="0" w:space="0" w:color="auto"/>
            <w:left w:val="none" w:sz="0" w:space="0" w:color="auto"/>
            <w:bottom w:val="none" w:sz="0" w:space="0" w:color="auto"/>
            <w:right w:val="none" w:sz="0" w:space="0" w:color="auto"/>
          </w:divBdr>
        </w:div>
        <w:div w:id="1529950332">
          <w:marLeft w:val="0"/>
          <w:marRight w:val="0"/>
          <w:marTop w:val="40"/>
          <w:marBottom w:val="38"/>
          <w:divBdr>
            <w:top w:val="none" w:sz="0" w:space="0" w:color="auto"/>
            <w:left w:val="none" w:sz="0" w:space="0" w:color="auto"/>
            <w:bottom w:val="none" w:sz="0" w:space="0" w:color="auto"/>
            <w:right w:val="none" w:sz="0" w:space="0" w:color="auto"/>
          </w:divBdr>
        </w:div>
        <w:div w:id="185600394">
          <w:marLeft w:val="0"/>
          <w:marRight w:val="0"/>
          <w:marTop w:val="40"/>
          <w:marBottom w:val="38"/>
          <w:divBdr>
            <w:top w:val="none" w:sz="0" w:space="0" w:color="auto"/>
            <w:left w:val="none" w:sz="0" w:space="0" w:color="auto"/>
            <w:bottom w:val="none" w:sz="0" w:space="0" w:color="auto"/>
            <w:right w:val="none" w:sz="0" w:space="0" w:color="auto"/>
          </w:divBdr>
        </w:div>
        <w:div w:id="2007172334">
          <w:marLeft w:val="0"/>
          <w:marRight w:val="0"/>
          <w:marTop w:val="40"/>
          <w:marBottom w:val="38"/>
          <w:divBdr>
            <w:top w:val="none" w:sz="0" w:space="0" w:color="auto"/>
            <w:left w:val="none" w:sz="0" w:space="0" w:color="auto"/>
            <w:bottom w:val="none" w:sz="0" w:space="0" w:color="auto"/>
            <w:right w:val="none" w:sz="0" w:space="0" w:color="auto"/>
          </w:divBdr>
        </w:div>
        <w:div w:id="709762641">
          <w:marLeft w:val="0"/>
          <w:marRight w:val="0"/>
          <w:marTop w:val="40"/>
          <w:marBottom w:val="38"/>
          <w:divBdr>
            <w:top w:val="none" w:sz="0" w:space="0" w:color="auto"/>
            <w:left w:val="none" w:sz="0" w:space="0" w:color="auto"/>
            <w:bottom w:val="none" w:sz="0" w:space="0" w:color="auto"/>
            <w:right w:val="none" w:sz="0" w:space="0" w:color="auto"/>
          </w:divBdr>
        </w:div>
        <w:div w:id="709108086">
          <w:marLeft w:val="0"/>
          <w:marRight w:val="0"/>
          <w:marTop w:val="40"/>
          <w:marBottom w:val="38"/>
          <w:divBdr>
            <w:top w:val="none" w:sz="0" w:space="0" w:color="auto"/>
            <w:left w:val="none" w:sz="0" w:space="0" w:color="auto"/>
            <w:bottom w:val="none" w:sz="0" w:space="0" w:color="auto"/>
            <w:right w:val="none" w:sz="0" w:space="0" w:color="auto"/>
          </w:divBdr>
        </w:div>
        <w:div w:id="900946404">
          <w:marLeft w:val="0"/>
          <w:marRight w:val="0"/>
          <w:marTop w:val="40"/>
          <w:marBottom w:val="38"/>
          <w:divBdr>
            <w:top w:val="none" w:sz="0" w:space="0" w:color="auto"/>
            <w:left w:val="none" w:sz="0" w:space="0" w:color="auto"/>
            <w:bottom w:val="none" w:sz="0" w:space="0" w:color="auto"/>
            <w:right w:val="none" w:sz="0" w:space="0" w:color="auto"/>
          </w:divBdr>
        </w:div>
        <w:div w:id="691615787">
          <w:marLeft w:val="0"/>
          <w:marRight w:val="0"/>
          <w:marTop w:val="40"/>
          <w:marBottom w:val="38"/>
          <w:divBdr>
            <w:top w:val="none" w:sz="0" w:space="0" w:color="auto"/>
            <w:left w:val="none" w:sz="0" w:space="0" w:color="auto"/>
            <w:bottom w:val="none" w:sz="0" w:space="0" w:color="auto"/>
            <w:right w:val="none" w:sz="0" w:space="0" w:color="auto"/>
          </w:divBdr>
        </w:div>
        <w:div w:id="1666468167">
          <w:marLeft w:val="0"/>
          <w:marRight w:val="0"/>
          <w:marTop w:val="40"/>
          <w:marBottom w:val="38"/>
          <w:divBdr>
            <w:top w:val="none" w:sz="0" w:space="0" w:color="auto"/>
            <w:left w:val="none" w:sz="0" w:space="0" w:color="auto"/>
            <w:bottom w:val="none" w:sz="0" w:space="0" w:color="auto"/>
            <w:right w:val="none" w:sz="0" w:space="0" w:color="auto"/>
          </w:divBdr>
        </w:div>
        <w:div w:id="1063257479">
          <w:marLeft w:val="0"/>
          <w:marRight w:val="0"/>
          <w:marTop w:val="40"/>
          <w:marBottom w:val="38"/>
          <w:divBdr>
            <w:top w:val="none" w:sz="0" w:space="0" w:color="auto"/>
            <w:left w:val="none" w:sz="0" w:space="0" w:color="auto"/>
            <w:bottom w:val="none" w:sz="0" w:space="0" w:color="auto"/>
            <w:right w:val="none" w:sz="0" w:space="0" w:color="auto"/>
          </w:divBdr>
        </w:div>
        <w:div w:id="176313100">
          <w:marLeft w:val="0"/>
          <w:marRight w:val="0"/>
          <w:marTop w:val="40"/>
          <w:marBottom w:val="38"/>
          <w:divBdr>
            <w:top w:val="none" w:sz="0" w:space="0" w:color="auto"/>
            <w:left w:val="none" w:sz="0" w:space="0" w:color="auto"/>
            <w:bottom w:val="none" w:sz="0" w:space="0" w:color="auto"/>
            <w:right w:val="none" w:sz="0" w:space="0" w:color="auto"/>
          </w:divBdr>
        </w:div>
        <w:div w:id="75833679">
          <w:marLeft w:val="0"/>
          <w:marRight w:val="0"/>
          <w:marTop w:val="40"/>
          <w:marBottom w:val="38"/>
          <w:divBdr>
            <w:top w:val="none" w:sz="0" w:space="0" w:color="auto"/>
            <w:left w:val="none" w:sz="0" w:space="0" w:color="auto"/>
            <w:bottom w:val="none" w:sz="0" w:space="0" w:color="auto"/>
            <w:right w:val="none" w:sz="0" w:space="0" w:color="auto"/>
          </w:divBdr>
        </w:div>
        <w:div w:id="1514344948">
          <w:marLeft w:val="0"/>
          <w:marRight w:val="0"/>
          <w:marTop w:val="40"/>
          <w:marBottom w:val="38"/>
          <w:divBdr>
            <w:top w:val="none" w:sz="0" w:space="0" w:color="auto"/>
            <w:left w:val="none" w:sz="0" w:space="0" w:color="auto"/>
            <w:bottom w:val="none" w:sz="0" w:space="0" w:color="auto"/>
            <w:right w:val="none" w:sz="0" w:space="0" w:color="auto"/>
          </w:divBdr>
        </w:div>
        <w:div w:id="1374385643">
          <w:marLeft w:val="0"/>
          <w:marRight w:val="0"/>
          <w:marTop w:val="40"/>
          <w:marBottom w:val="38"/>
          <w:divBdr>
            <w:top w:val="none" w:sz="0" w:space="0" w:color="auto"/>
            <w:left w:val="none" w:sz="0" w:space="0" w:color="auto"/>
            <w:bottom w:val="none" w:sz="0" w:space="0" w:color="auto"/>
            <w:right w:val="none" w:sz="0" w:space="0" w:color="auto"/>
          </w:divBdr>
        </w:div>
        <w:div w:id="1905945776">
          <w:marLeft w:val="0"/>
          <w:marRight w:val="0"/>
          <w:marTop w:val="40"/>
          <w:marBottom w:val="38"/>
          <w:divBdr>
            <w:top w:val="none" w:sz="0" w:space="0" w:color="auto"/>
            <w:left w:val="none" w:sz="0" w:space="0" w:color="auto"/>
            <w:bottom w:val="none" w:sz="0" w:space="0" w:color="auto"/>
            <w:right w:val="none" w:sz="0" w:space="0" w:color="auto"/>
          </w:divBdr>
        </w:div>
        <w:div w:id="846990171">
          <w:marLeft w:val="0"/>
          <w:marRight w:val="0"/>
          <w:marTop w:val="40"/>
          <w:marBottom w:val="38"/>
          <w:divBdr>
            <w:top w:val="none" w:sz="0" w:space="0" w:color="auto"/>
            <w:left w:val="none" w:sz="0" w:space="0" w:color="auto"/>
            <w:bottom w:val="none" w:sz="0" w:space="0" w:color="auto"/>
            <w:right w:val="none" w:sz="0" w:space="0" w:color="auto"/>
          </w:divBdr>
        </w:div>
        <w:div w:id="1005668547">
          <w:marLeft w:val="0"/>
          <w:marRight w:val="0"/>
          <w:marTop w:val="40"/>
          <w:marBottom w:val="38"/>
          <w:divBdr>
            <w:top w:val="none" w:sz="0" w:space="0" w:color="auto"/>
            <w:left w:val="none" w:sz="0" w:space="0" w:color="auto"/>
            <w:bottom w:val="none" w:sz="0" w:space="0" w:color="auto"/>
            <w:right w:val="none" w:sz="0" w:space="0" w:color="auto"/>
          </w:divBdr>
        </w:div>
        <w:div w:id="1961690223">
          <w:marLeft w:val="0"/>
          <w:marRight w:val="0"/>
          <w:marTop w:val="40"/>
          <w:marBottom w:val="38"/>
          <w:divBdr>
            <w:top w:val="none" w:sz="0" w:space="0" w:color="auto"/>
            <w:left w:val="none" w:sz="0" w:space="0" w:color="auto"/>
            <w:bottom w:val="none" w:sz="0" w:space="0" w:color="auto"/>
            <w:right w:val="none" w:sz="0" w:space="0" w:color="auto"/>
          </w:divBdr>
        </w:div>
        <w:div w:id="506790466">
          <w:marLeft w:val="0"/>
          <w:marRight w:val="0"/>
          <w:marTop w:val="40"/>
          <w:marBottom w:val="38"/>
          <w:divBdr>
            <w:top w:val="none" w:sz="0" w:space="0" w:color="auto"/>
            <w:left w:val="none" w:sz="0" w:space="0" w:color="auto"/>
            <w:bottom w:val="none" w:sz="0" w:space="0" w:color="auto"/>
            <w:right w:val="none" w:sz="0" w:space="0" w:color="auto"/>
          </w:divBdr>
        </w:div>
        <w:div w:id="541132680">
          <w:marLeft w:val="0"/>
          <w:marRight w:val="0"/>
          <w:marTop w:val="40"/>
          <w:marBottom w:val="38"/>
          <w:divBdr>
            <w:top w:val="none" w:sz="0" w:space="0" w:color="auto"/>
            <w:left w:val="none" w:sz="0" w:space="0" w:color="auto"/>
            <w:bottom w:val="none" w:sz="0" w:space="0" w:color="auto"/>
            <w:right w:val="none" w:sz="0" w:space="0" w:color="auto"/>
          </w:divBdr>
        </w:div>
        <w:div w:id="96953672">
          <w:marLeft w:val="0"/>
          <w:marRight w:val="0"/>
          <w:marTop w:val="40"/>
          <w:marBottom w:val="38"/>
          <w:divBdr>
            <w:top w:val="none" w:sz="0" w:space="0" w:color="auto"/>
            <w:left w:val="none" w:sz="0" w:space="0" w:color="auto"/>
            <w:bottom w:val="none" w:sz="0" w:space="0" w:color="auto"/>
            <w:right w:val="none" w:sz="0" w:space="0" w:color="auto"/>
          </w:divBdr>
        </w:div>
        <w:div w:id="478113823">
          <w:marLeft w:val="0"/>
          <w:marRight w:val="0"/>
          <w:marTop w:val="40"/>
          <w:marBottom w:val="38"/>
          <w:divBdr>
            <w:top w:val="none" w:sz="0" w:space="0" w:color="auto"/>
            <w:left w:val="none" w:sz="0" w:space="0" w:color="auto"/>
            <w:bottom w:val="none" w:sz="0" w:space="0" w:color="auto"/>
            <w:right w:val="none" w:sz="0" w:space="0" w:color="auto"/>
          </w:divBdr>
        </w:div>
        <w:div w:id="1983151298">
          <w:marLeft w:val="0"/>
          <w:marRight w:val="0"/>
          <w:marTop w:val="40"/>
          <w:marBottom w:val="38"/>
          <w:divBdr>
            <w:top w:val="none" w:sz="0" w:space="0" w:color="auto"/>
            <w:left w:val="none" w:sz="0" w:space="0" w:color="auto"/>
            <w:bottom w:val="none" w:sz="0" w:space="0" w:color="auto"/>
            <w:right w:val="none" w:sz="0" w:space="0" w:color="auto"/>
          </w:divBdr>
        </w:div>
        <w:div w:id="1532257936">
          <w:marLeft w:val="0"/>
          <w:marRight w:val="0"/>
          <w:marTop w:val="40"/>
          <w:marBottom w:val="38"/>
          <w:divBdr>
            <w:top w:val="none" w:sz="0" w:space="0" w:color="auto"/>
            <w:left w:val="none" w:sz="0" w:space="0" w:color="auto"/>
            <w:bottom w:val="none" w:sz="0" w:space="0" w:color="auto"/>
            <w:right w:val="none" w:sz="0" w:space="0" w:color="auto"/>
          </w:divBdr>
        </w:div>
        <w:div w:id="569971212">
          <w:marLeft w:val="0"/>
          <w:marRight w:val="0"/>
          <w:marTop w:val="40"/>
          <w:marBottom w:val="38"/>
          <w:divBdr>
            <w:top w:val="none" w:sz="0" w:space="0" w:color="auto"/>
            <w:left w:val="none" w:sz="0" w:space="0" w:color="auto"/>
            <w:bottom w:val="none" w:sz="0" w:space="0" w:color="auto"/>
            <w:right w:val="none" w:sz="0" w:space="0" w:color="auto"/>
          </w:divBdr>
        </w:div>
        <w:div w:id="1448771529">
          <w:marLeft w:val="0"/>
          <w:marRight w:val="0"/>
          <w:marTop w:val="40"/>
          <w:marBottom w:val="38"/>
          <w:divBdr>
            <w:top w:val="none" w:sz="0" w:space="0" w:color="auto"/>
            <w:left w:val="none" w:sz="0" w:space="0" w:color="auto"/>
            <w:bottom w:val="none" w:sz="0" w:space="0" w:color="auto"/>
            <w:right w:val="none" w:sz="0" w:space="0" w:color="auto"/>
          </w:divBdr>
        </w:div>
        <w:div w:id="2086563533">
          <w:marLeft w:val="0"/>
          <w:marRight w:val="0"/>
          <w:marTop w:val="40"/>
          <w:marBottom w:val="38"/>
          <w:divBdr>
            <w:top w:val="none" w:sz="0" w:space="0" w:color="auto"/>
            <w:left w:val="none" w:sz="0" w:space="0" w:color="auto"/>
            <w:bottom w:val="none" w:sz="0" w:space="0" w:color="auto"/>
            <w:right w:val="none" w:sz="0" w:space="0" w:color="auto"/>
          </w:divBdr>
        </w:div>
        <w:div w:id="1607881500">
          <w:marLeft w:val="0"/>
          <w:marRight w:val="0"/>
          <w:marTop w:val="40"/>
          <w:marBottom w:val="38"/>
          <w:divBdr>
            <w:top w:val="none" w:sz="0" w:space="0" w:color="auto"/>
            <w:left w:val="none" w:sz="0" w:space="0" w:color="auto"/>
            <w:bottom w:val="none" w:sz="0" w:space="0" w:color="auto"/>
            <w:right w:val="none" w:sz="0" w:space="0" w:color="auto"/>
          </w:divBdr>
        </w:div>
        <w:div w:id="213588776">
          <w:marLeft w:val="0"/>
          <w:marRight w:val="0"/>
          <w:marTop w:val="40"/>
          <w:marBottom w:val="38"/>
          <w:divBdr>
            <w:top w:val="none" w:sz="0" w:space="0" w:color="auto"/>
            <w:left w:val="none" w:sz="0" w:space="0" w:color="auto"/>
            <w:bottom w:val="none" w:sz="0" w:space="0" w:color="auto"/>
            <w:right w:val="none" w:sz="0" w:space="0" w:color="auto"/>
          </w:divBdr>
        </w:div>
        <w:div w:id="1745378046">
          <w:marLeft w:val="0"/>
          <w:marRight w:val="0"/>
          <w:marTop w:val="40"/>
          <w:marBottom w:val="38"/>
          <w:divBdr>
            <w:top w:val="none" w:sz="0" w:space="0" w:color="auto"/>
            <w:left w:val="none" w:sz="0" w:space="0" w:color="auto"/>
            <w:bottom w:val="none" w:sz="0" w:space="0" w:color="auto"/>
            <w:right w:val="none" w:sz="0" w:space="0" w:color="auto"/>
          </w:divBdr>
        </w:div>
        <w:div w:id="1724789967">
          <w:marLeft w:val="0"/>
          <w:marRight w:val="0"/>
          <w:marTop w:val="40"/>
          <w:marBottom w:val="38"/>
          <w:divBdr>
            <w:top w:val="none" w:sz="0" w:space="0" w:color="auto"/>
            <w:left w:val="none" w:sz="0" w:space="0" w:color="auto"/>
            <w:bottom w:val="none" w:sz="0" w:space="0" w:color="auto"/>
            <w:right w:val="none" w:sz="0" w:space="0" w:color="auto"/>
          </w:divBdr>
        </w:div>
        <w:div w:id="2042510943">
          <w:marLeft w:val="0"/>
          <w:marRight w:val="0"/>
          <w:marTop w:val="40"/>
          <w:marBottom w:val="38"/>
          <w:divBdr>
            <w:top w:val="none" w:sz="0" w:space="0" w:color="auto"/>
            <w:left w:val="none" w:sz="0" w:space="0" w:color="auto"/>
            <w:bottom w:val="none" w:sz="0" w:space="0" w:color="auto"/>
            <w:right w:val="none" w:sz="0" w:space="0" w:color="auto"/>
          </w:divBdr>
        </w:div>
        <w:div w:id="1580866672">
          <w:marLeft w:val="0"/>
          <w:marRight w:val="0"/>
          <w:marTop w:val="40"/>
          <w:marBottom w:val="38"/>
          <w:divBdr>
            <w:top w:val="none" w:sz="0" w:space="0" w:color="auto"/>
            <w:left w:val="none" w:sz="0" w:space="0" w:color="auto"/>
            <w:bottom w:val="none" w:sz="0" w:space="0" w:color="auto"/>
            <w:right w:val="none" w:sz="0" w:space="0" w:color="auto"/>
          </w:divBdr>
        </w:div>
        <w:div w:id="128786941">
          <w:marLeft w:val="0"/>
          <w:marRight w:val="0"/>
          <w:marTop w:val="40"/>
          <w:marBottom w:val="38"/>
          <w:divBdr>
            <w:top w:val="none" w:sz="0" w:space="0" w:color="auto"/>
            <w:left w:val="none" w:sz="0" w:space="0" w:color="auto"/>
            <w:bottom w:val="none" w:sz="0" w:space="0" w:color="auto"/>
            <w:right w:val="none" w:sz="0" w:space="0" w:color="auto"/>
          </w:divBdr>
        </w:div>
        <w:div w:id="1947541955">
          <w:marLeft w:val="0"/>
          <w:marRight w:val="0"/>
          <w:marTop w:val="40"/>
          <w:marBottom w:val="38"/>
          <w:divBdr>
            <w:top w:val="none" w:sz="0" w:space="0" w:color="auto"/>
            <w:left w:val="none" w:sz="0" w:space="0" w:color="auto"/>
            <w:bottom w:val="none" w:sz="0" w:space="0" w:color="auto"/>
            <w:right w:val="none" w:sz="0" w:space="0" w:color="auto"/>
          </w:divBdr>
        </w:div>
        <w:div w:id="923417736">
          <w:marLeft w:val="0"/>
          <w:marRight w:val="0"/>
          <w:marTop w:val="40"/>
          <w:marBottom w:val="38"/>
          <w:divBdr>
            <w:top w:val="none" w:sz="0" w:space="0" w:color="auto"/>
            <w:left w:val="none" w:sz="0" w:space="0" w:color="auto"/>
            <w:bottom w:val="none" w:sz="0" w:space="0" w:color="auto"/>
            <w:right w:val="none" w:sz="0" w:space="0" w:color="auto"/>
          </w:divBdr>
        </w:div>
        <w:div w:id="1216964119">
          <w:marLeft w:val="0"/>
          <w:marRight w:val="0"/>
          <w:marTop w:val="40"/>
          <w:marBottom w:val="38"/>
          <w:divBdr>
            <w:top w:val="none" w:sz="0" w:space="0" w:color="auto"/>
            <w:left w:val="none" w:sz="0" w:space="0" w:color="auto"/>
            <w:bottom w:val="none" w:sz="0" w:space="0" w:color="auto"/>
            <w:right w:val="none" w:sz="0" w:space="0" w:color="auto"/>
          </w:divBdr>
        </w:div>
        <w:div w:id="534469211">
          <w:marLeft w:val="0"/>
          <w:marRight w:val="0"/>
          <w:marTop w:val="40"/>
          <w:marBottom w:val="38"/>
          <w:divBdr>
            <w:top w:val="none" w:sz="0" w:space="0" w:color="auto"/>
            <w:left w:val="none" w:sz="0" w:space="0" w:color="auto"/>
            <w:bottom w:val="none" w:sz="0" w:space="0" w:color="auto"/>
            <w:right w:val="none" w:sz="0" w:space="0" w:color="auto"/>
          </w:divBdr>
        </w:div>
        <w:div w:id="1739935244">
          <w:marLeft w:val="0"/>
          <w:marRight w:val="0"/>
          <w:marTop w:val="40"/>
          <w:marBottom w:val="38"/>
          <w:divBdr>
            <w:top w:val="none" w:sz="0" w:space="0" w:color="auto"/>
            <w:left w:val="none" w:sz="0" w:space="0" w:color="auto"/>
            <w:bottom w:val="none" w:sz="0" w:space="0" w:color="auto"/>
            <w:right w:val="none" w:sz="0" w:space="0" w:color="auto"/>
          </w:divBdr>
        </w:div>
        <w:div w:id="1138500423">
          <w:marLeft w:val="0"/>
          <w:marRight w:val="0"/>
          <w:marTop w:val="40"/>
          <w:marBottom w:val="38"/>
          <w:divBdr>
            <w:top w:val="none" w:sz="0" w:space="0" w:color="auto"/>
            <w:left w:val="none" w:sz="0" w:space="0" w:color="auto"/>
            <w:bottom w:val="none" w:sz="0" w:space="0" w:color="auto"/>
            <w:right w:val="none" w:sz="0" w:space="0" w:color="auto"/>
          </w:divBdr>
        </w:div>
        <w:div w:id="1923221153">
          <w:marLeft w:val="0"/>
          <w:marRight w:val="0"/>
          <w:marTop w:val="40"/>
          <w:marBottom w:val="38"/>
          <w:divBdr>
            <w:top w:val="none" w:sz="0" w:space="0" w:color="auto"/>
            <w:left w:val="none" w:sz="0" w:space="0" w:color="auto"/>
            <w:bottom w:val="none" w:sz="0" w:space="0" w:color="auto"/>
            <w:right w:val="none" w:sz="0" w:space="0" w:color="auto"/>
          </w:divBdr>
        </w:div>
        <w:div w:id="1763447936">
          <w:marLeft w:val="0"/>
          <w:marRight w:val="0"/>
          <w:marTop w:val="40"/>
          <w:marBottom w:val="38"/>
          <w:divBdr>
            <w:top w:val="none" w:sz="0" w:space="0" w:color="auto"/>
            <w:left w:val="none" w:sz="0" w:space="0" w:color="auto"/>
            <w:bottom w:val="none" w:sz="0" w:space="0" w:color="auto"/>
            <w:right w:val="none" w:sz="0" w:space="0" w:color="auto"/>
          </w:divBdr>
        </w:div>
        <w:div w:id="182404304">
          <w:marLeft w:val="0"/>
          <w:marRight w:val="0"/>
          <w:marTop w:val="40"/>
          <w:marBottom w:val="38"/>
          <w:divBdr>
            <w:top w:val="none" w:sz="0" w:space="0" w:color="auto"/>
            <w:left w:val="none" w:sz="0" w:space="0" w:color="auto"/>
            <w:bottom w:val="none" w:sz="0" w:space="0" w:color="auto"/>
            <w:right w:val="none" w:sz="0" w:space="0" w:color="auto"/>
          </w:divBdr>
        </w:div>
        <w:div w:id="2122798362">
          <w:marLeft w:val="0"/>
          <w:marRight w:val="0"/>
          <w:marTop w:val="40"/>
          <w:marBottom w:val="38"/>
          <w:divBdr>
            <w:top w:val="none" w:sz="0" w:space="0" w:color="auto"/>
            <w:left w:val="none" w:sz="0" w:space="0" w:color="auto"/>
            <w:bottom w:val="none" w:sz="0" w:space="0" w:color="auto"/>
            <w:right w:val="none" w:sz="0" w:space="0" w:color="auto"/>
          </w:divBdr>
        </w:div>
        <w:div w:id="1700471909">
          <w:marLeft w:val="0"/>
          <w:marRight w:val="0"/>
          <w:marTop w:val="40"/>
          <w:marBottom w:val="38"/>
          <w:divBdr>
            <w:top w:val="none" w:sz="0" w:space="0" w:color="auto"/>
            <w:left w:val="none" w:sz="0" w:space="0" w:color="auto"/>
            <w:bottom w:val="none" w:sz="0" w:space="0" w:color="auto"/>
            <w:right w:val="none" w:sz="0" w:space="0" w:color="auto"/>
          </w:divBdr>
        </w:div>
        <w:div w:id="1327707432">
          <w:marLeft w:val="0"/>
          <w:marRight w:val="0"/>
          <w:marTop w:val="40"/>
          <w:marBottom w:val="38"/>
          <w:divBdr>
            <w:top w:val="none" w:sz="0" w:space="0" w:color="auto"/>
            <w:left w:val="none" w:sz="0" w:space="0" w:color="auto"/>
            <w:bottom w:val="none" w:sz="0" w:space="0" w:color="auto"/>
            <w:right w:val="none" w:sz="0" w:space="0" w:color="auto"/>
          </w:divBdr>
        </w:div>
        <w:div w:id="1380982342">
          <w:marLeft w:val="0"/>
          <w:marRight w:val="0"/>
          <w:marTop w:val="40"/>
          <w:marBottom w:val="38"/>
          <w:divBdr>
            <w:top w:val="none" w:sz="0" w:space="0" w:color="auto"/>
            <w:left w:val="none" w:sz="0" w:space="0" w:color="auto"/>
            <w:bottom w:val="none" w:sz="0" w:space="0" w:color="auto"/>
            <w:right w:val="none" w:sz="0" w:space="0" w:color="auto"/>
          </w:divBdr>
        </w:div>
        <w:div w:id="1696148177">
          <w:marLeft w:val="0"/>
          <w:marRight w:val="0"/>
          <w:marTop w:val="40"/>
          <w:marBottom w:val="38"/>
          <w:divBdr>
            <w:top w:val="none" w:sz="0" w:space="0" w:color="auto"/>
            <w:left w:val="none" w:sz="0" w:space="0" w:color="auto"/>
            <w:bottom w:val="none" w:sz="0" w:space="0" w:color="auto"/>
            <w:right w:val="none" w:sz="0" w:space="0" w:color="auto"/>
          </w:divBdr>
        </w:div>
        <w:div w:id="759106554">
          <w:marLeft w:val="0"/>
          <w:marRight w:val="0"/>
          <w:marTop w:val="40"/>
          <w:marBottom w:val="38"/>
          <w:divBdr>
            <w:top w:val="none" w:sz="0" w:space="0" w:color="auto"/>
            <w:left w:val="none" w:sz="0" w:space="0" w:color="auto"/>
            <w:bottom w:val="none" w:sz="0" w:space="0" w:color="auto"/>
            <w:right w:val="none" w:sz="0" w:space="0" w:color="auto"/>
          </w:divBdr>
        </w:div>
        <w:div w:id="2090926860">
          <w:marLeft w:val="0"/>
          <w:marRight w:val="0"/>
          <w:marTop w:val="40"/>
          <w:marBottom w:val="38"/>
          <w:divBdr>
            <w:top w:val="none" w:sz="0" w:space="0" w:color="auto"/>
            <w:left w:val="none" w:sz="0" w:space="0" w:color="auto"/>
            <w:bottom w:val="none" w:sz="0" w:space="0" w:color="auto"/>
            <w:right w:val="none" w:sz="0" w:space="0" w:color="auto"/>
          </w:divBdr>
        </w:div>
        <w:div w:id="1987738659">
          <w:marLeft w:val="0"/>
          <w:marRight w:val="0"/>
          <w:marTop w:val="40"/>
          <w:marBottom w:val="38"/>
          <w:divBdr>
            <w:top w:val="none" w:sz="0" w:space="0" w:color="auto"/>
            <w:left w:val="none" w:sz="0" w:space="0" w:color="auto"/>
            <w:bottom w:val="none" w:sz="0" w:space="0" w:color="auto"/>
            <w:right w:val="none" w:sz="0" w:space="0" w:color="auto"/>
          </w:divBdr>
        </w:div>
        <w:div w:id="181164601">
          <w:marLeft w:val="0"/>
          <w:marRight w:val="0"/>
          <w:marTop w:val="40"/>
          <w:marBottom w:val="38"/>
          <w:divBdr>
            <w:top w:val="none" w:sz="0" w:space="0" w:color="auto"/>
            <w:left w:val="none" w:sz="0" w:space="0" w:color="auto"/>
            <w:bottom w:val="none" w:sz="0" w:space="0" w:color="auto"/>
            <w:right w:val="none" w:sz="0" w:space="0" w:color="auto"/>
          </w:divBdr>
        </w:div>
        <w:div w:id="1748916189">
          <w:marLeft w:val="0"/>
          <w:marRight w:val="0"/>
          <w:marTop w:val="40"/>
          <w:marBottom w:val="38"/>
          <w:divBdr>
            <w:top w:val="none" w:sz="0" w:space="0" w:color="auto"/>
            <w:left w:val="none" w:sz="0" w:space="0" w:color="auto"/>
            <w:bottom w:val="none" w:sz="0" w:space="0" w:color="auto"/>
            <w:right w:val="none" w:sz="0" w:space="0" w:color="auto"/>
          </w:divBdr>
        </w:div>
        <w:div w:id="1340889416">
          <w:marLeft w:val="0"/>
          <w:marRight w:val="0"/>
          <w:marTop w:val="40"/>
          <w:marBottom w:val="38"/>
          <w:divBdr>
            <w:top w:val="none" w:sz="0" w:space="0" w:color="auto"/>
            <w:left w:val="none" w:sz="0" w:space="0" w:color="auto"/>
            <w:bottom w:val="none" w:sz="0" w:space="0" w:color="auto"/>
            <w:right w:val="none" w:sz="0" w:space="0" w:color="auto"/>
          </w:divBdr>
        </w:div>
        <w:div w:id="1340540816">
          <w:marLeft w:val="0"/>
          <w:marRight w:val="0"/>
          <w:marTop w:val="40"/>
          <w:marBottom w:val="38"/>
          <w:divBdr>
            <w:top w:val="none" w:sz="0" w:space="0" w:color="auto"/>
            <w:left w:val="none" w:sz="0" w:space="0" w:color="auto"/>
            <w:bottom w:val="none" w:sz="0" w:space="0" w:color="auto"/>
            <w:right w:val="none" w:sz="0" w:space="0" w:color="auto"/>
          </w:divBdr>
        </w:div>
        <w:div w:id="701437343">
          <w:marLeft w:val="0"/>
          <w:marRight w:val="0"/>
          <w:marTop w:val="40"/>
          <w:marBottom w:val="38"/>
          <w:divBdr>
            <w:top w:val="none" w:sz="0" w:space="0" w:color="auto"/>
            <w:left w:val="none" w:sz="0" w:space="0" w:color="auto"/>
            <w:bottom w:val="none" w:sz="0" w:space="0" w:color="auto"/>
            <w:right w:val="none" w:sz="0" w:space="0" w:color="auto"/>
          </w:divBdr>
        </w:div>
        <w:div w:id="116918966">
          <w:marLeft w:val="0"/>
          <w:marRight w:val="0"/>
          <w:marTop w:val="40"/>
          <w:marBottom w:val="38"/>
          <w:divBdr>
            <w:top w:val="none" w:sz="0" w:space="0" w:color="auto"/>
            <w:left w:val="none" w:sz="0" w:space="0" w:color="auto"/>
            <w:bottom w:val="none" w:sz="0" w:space="0" w:color="auto"/>
            <w:right w:val="none" w:sz="0" w:space="0" w:color="auto"/>
          </w:divBdr>
        </w:div>
        <w:div w:id="105274195">
          <w:marLeft w:val="0"/>
          <w:marRight w:val="0"/>
          <w:marTop w:val="40"/>
          <w:marBottom w:val="38"/>
          <w:divBdr>
            <w:top w:val="none" w:sz="0" w:space="0" w:color="auto"/>
            <w:left w:val="none" w:sz="0" w:space="0" w:color="auto"/>
            <w:bottom w:val="none" w:sz="0" w:space="0" w:color="auto"/>
            <w:right w:val="none" w:sz="0" w:space="0" w:color="auto"/>
          </w:divBdr>
        </w:div>
        <w:div w:id="525683141">
          <w:marLeft w:val="0"/>
          <w:marRight w:val="0"/>
          <w:marTop w:val="40"/>
          <w:marBottom w:val="38"/>
          <w:divBdr>
            <w:top w:val="none" w:sz="0" w:space="0" w:color="auto"/>
            <w:left w:val="none" w:sz="0" w:space="0" w:color="auto"/>
            <w:bottom w:val="none" w:sz="0" w:space="0" w:color="auto"/>
            <w:right w:val="none" w:sz="0" w:space="0" w:color="auto"/>
          </w:divBdr>
        </w:div>
        <w:div w:id="405029887">
          <w:marLeft w:val="0"/>
          <w:marRight w:val="0"/>
          <w:marTop w:val="40"/>
          <w:marBottom w:val="38"/>
          <w:divBdr>
            <w:top w:val="none" w:sz="0" w:space="0" w:color="auto"/>
            <w:left w:val="none" w:sz="0" w:space="0" w:color="auto"/>
            <w:bottom w:val="none" w:sz="0" w:space="0" w:color="auto"/>
            <w:right w:val="none" w:sz="0" w:space="0" w:color="auto"/>
          </w:divBdr>
        </w:div>
        <w:div w:id="610431275">
          <w:marLeft w:val="0"/>
          <w:marRight w:val="0"/>
          <w:marTop w:val="40"/>
          <w:marBottom w:val="38"/>
          <w:divBdr>
            <w:top w:val="none" w:sz="0" w:space="0" w:color="auto"/>
            <w:left w:val="none" w:sz="0" w:space="0" w:color="auto"/>
            <w:bottom w:val="none" w:sz="0" w:space="0" w:color="auto"/>
            <w:right w:val="none" w:sz="0" w:space="0" w:color="auto"/>
          </w:divBdr>
        </w:div>
        <w:div w:id="277109356">
          <w:marLeft w:val="0"/>
          <w:marRight w:val="0"/>
          <w:marTop w:val="40"/>
          <w:marBottom w:val="38"/>
          <w:divBdr>
            <w:top w:val="none" w:sz="0" w:space="0" w:color="auto"/>
            <w:left w:val="none" w:sz="0" w:space="0" w:color="auto"/>
            <w:bottom w:val="none" w:sz="0" w:space="0" w:color="auto"/>
            <w:right w:val="none" w:sz="0" w:space="0" w:color="auto"/>
          </w:divBdr>
        </w:div>
        <w:div w:id="1928074067">
          <w:marLeft w:val="0"/>
          <w:marRight w:val="0"/>
          <w:marTop w:val="40"/>
          <w:marBottom w:val="38"/>
          <w:divBdr>
            <w:top w:val="none" w:sz="0" w:space="0" w:color="auto"/>
            <w:left w:val="none" w:sz="0" w:space="0" w:color="auto"/>
            <w:bottom w:val="none" w:sz="0" w:space="0" w:color="auto"/>
            <w:right w:val="none" w:sz="0" w:space="0" w:color="auto"/>
          </w:divBdr>
        </w:div>
        <w:div w:id="1603759665">
          <w:marLeft w:val="0"/>
          <w:marRight w:val="0"/>
          <w:marTop w:val="40"/>
          <w:marBottom w:val="38"/>
          <w:divBdr>
            <w:top w:val="none" w:sz="0" w:space="0" w:color="auto"/>
            <w:left w:val="none" w:sz="0" w:space="0" w:color="auto"/>
            <w:bottom w:val="none" w:sz="0" w:space="0" w:color="auto"/>
            <w:right w:val="none" w:sz="0" w:space="0" w:color="auto"/>
          </w:divBdr>
        </w:div>
        <w:div w:id="1986347106">
          <w:marLeft w:val="0"/>
          <w:marRight w:val="0"/>
          <w:marTop w:val="40"/>
          <w:marBottom w:val="38"/>
          <w:divBdr>
            <w:top w:val="none" w:sz="0" w:space="0" w:color="auto"/>
            <w:left w:val="none" w:sz="0" w:space="0" w:color="auto"/>
            <w:bottom w:val="none" w:sz="0" w:space="0" w:color="auto"/>
            <w:right w:val="none" w:sz="0" w:space="0" w:color="auto"/>
          </w:divBdr>
        </w:div>
        <w:div w:id="300304210">
          <w:marLeft w:val="0"/>
          <w:marRight w:val="0"/>
          <w:marTop w:val="40"/>
          <w:marBottom w:val="38"/>
          <w:divBdr>
            <w:top w:val="none" w:sz="0" w:space="0" w:color="auto"/>
            <w:left w:val="none" w:sz="0" w:space="0" w:color="auto"/>
            <w:bottom w:val="none" w:sz="0" w:space="0" w:color="auto"/>
            <w:right w:val="none" w:sz="0" w:space="0" w:color="auto"/>
          </w:divBdr>
        </w:div>
        <w:div w:id="670334239">
          <w:marLeft w:val="0"/>
          <w:marRight w:val="0"/>
          <w:marTop w:val="40"/>
          <w:marBottom w:val="38"/>
          <w:divBdr>
            <w:top w:val="none" w:sz="0" w:space="0" w:color="auto"/>
            <w:left w:val="none" w:sz="0" w:space="0" w:color="auto"/>
            <w:bottom w:val="none" w:sz="0" w:space="0" w:color="auto"/>
            <w:right w:val="none" w:sz="0" w:space="0" w:color="auto"/>
          </w:divBdr>
        </w:div>
        <w:div w:id="1123228624">
          <w:marLeft w:val="0"/>
          <w:marRight w:val="0"/>
          <w:marTop w:val="40"/>
          <w:marBottom w:val="38"/>
          <w:divBdr>
            <w:top w:val="none" w:sz="0" w:space="0" w:color="auto"/>
            <w:left w:val="none" w:sz="0" w:space="0" w:color="auto"/>
            <w:bottom w:val="none" w:sz="0" w:space="0" w:color="auto"/>
            <w:right w:val="none" w:sz="0" w:space="0" w:color="auto"/>
          </w:divBdr>
        </w:div>
        <w:div w:id="2107453660">
          <w:marLeft w:val="0"/>
          <w:marRight w:val="0"/>
          <w:marTop w:val="40"/>
          <w:marBottom w:val="38"/>
          <w:divBdr>
            <w:top w:val="none" w:sz="0" w:space="0" w:color="auto"/>
            <w:left w:val="none" w:sz="0" w:space="0" w:color="auto"/>
            <w:bottom w:val="none" w:sz="0" w:space="0" w:color="auto"/>
            <w:right w:val="none" w:sz="0" w:space="0" w:color="auto"/>
          </w:divBdr>
        </w:div>
        <w:div w:id="245266907">
          <w:marLeft w:val="0"/>
          <w:marRight w:val="0"/>
          <w:marTop w:val="40"/>
          <w:marBottom w:val="38"/>
          <w:divBdr>
            <w:top w:val="none" w:sz="0" w:space="0" w:color="auto"/>
            <w:left w:val="none" w:sz="0" w:space="0" w:color="auto"/>
            <w:bottom w:val="none" w:sz="0" w:space="0" w:color="auto"/>
            <w:right w:val="none" w:sz="0" w:space="0" w:color="auto"/>
          </w:divBdr>
        </w:div>
        <w:div w:id="2080135446">
          <w:marLeft w:val="0"/>
          <w:marRight w:val="0"/>
          <w:marTop w:val="40"/>
          <w:marBottom w:val="38"/>
          <w:divBdr>
            <w:top w:val="none" w:sz="0" w:space="0" w:color="auto"/>
            <w:left w:val="none" w:sz="0" w:space="0" w:color="auto"/>
            <w:bottom w:val="none" w:sz="0" w:space="0" w:color="auto"/>
            <w:right w:val="none" w:sz="0" w:space="0" w:color="auto"/>
          </w:divBdr>
        </w:div>
        <w:div w:id="1358971883">
          <w:marLeft w:val="0"/>
          <w:marRight w:val="0"/>
          <w:marTop w:val="40"/>
          <w:marBottom w:val="38"/>
          <w:divBdr>
            <w:top w:val="none" w:sz="0" w:space="0" w:color="auto"/>
            <w:left w:val="none" w:sz="0" w:space="0" w:color="auto"/>
            <w:bottom w:val="none" w:sz="0" w:space="0" w:color="auto"/>
            <w:right w:val="none" w:sz="0" w:space="0" w:color="auto"/>
          </w:divBdr>
        </w:div>
        <w:div w:id="826551581">
          <w:marLeft w:val="0"/>
          <w:marRight w:val="0"/>
          <w:marTop w:val="40"/>
          <w:marBottom w:val="38"/>
          <w:divBdr>
            <w:top w:val="none" w:sz="0" w:space="0" w:color="auto"/>
            <w:left w:val="none" w:sz="0" w:space="0" w:color="auto"/>
            <w:bottom w:val="none" w:sz="0" w:space="0" w:color="auto"/>
            <w:right w:val="none" w:sz="0" w:space="0" w:color="auto"/>
          </w:divBdr>
        </w:div>
        <w:div w:id="1219367116">
          <w:marLeft w:val="0"/>
          <w:marRight w:val="0"/>
          <w:marTop w:val="40"/>
          <w:marBottom w:val="38"/>
          <w:divBdr>
            <w:top w:val="none" w:sz="0" w:space="0" w:color="auto"/>
            <w:left w:val="none" w:sz="0" w:space="0" w:color="auto"/>
            <w:bottom w:val="none" w:sz="0" w:space="0" w:color="auto"/>
            <w:right w:val="none" w:sz="0" w:space="0" w:color="auto"/>
          </w:divBdr>
        </w:div>
        <w:div w:id="1922564831">
          <w:marLeft w:val="0"/>
          <w:marRight w:val="0"/>
          <w:marTop w:val="40"/>
          <w:marBottom w:val="38"/>
          <w:divBdr>
            <w:top w:val="none" w:sz="0" w:space="0" w:color="auto"/>
            <w:left w:val="none" w:sz="0" w:space="0" w:color="auto"/>
            <w:bottom w:val="none" w:sz="0" w:space="0" w:color="auto"/>
            <w:right w:val="none" w:sz="0" w:space="0" w:color="auto"/>
          </w:divBdr>
        </w:div>
        <w:div w:id="736051024">
          <w:marLeft w:val="0"/>
          <w:marRight w:val="0"/>
          <w:marTop w:val="40"/>
          <w:marBottom w:val="38"/>
          <w:divBdr>
            <w:top w:val="none" w:sz="0" w:space="0" w:color="auto"/>
            <w:left w:val="none" w:sz="0" w:space="0" w:color="auto"/>
            <w:bottom w:val="none" w:sz="0" w:space="0" w:color="auto"/>
            <w:right w:val="none" w:sz="0" w:space="0" w:color="auto"/>
          </w:divBdr>
        </w:div>
        <w:div w:id="2130854639">
          <w:marLeft w:val="0"/>
          <w:marRight w:val="0"/>
          <w:marTop w:val="40"/>
          <w:marBottom w:val="38"/>
          <w:divBdr>
            <w:top w:val="none" w:sz="0" w:space="0" w:color="auto"/>
            <w:left w:val="none" w:sz="0" w:space="0" w:color="auto"/>
            <w:bottom w:val="none" w:sz="0" w:space="0" w:color="auto"/>
            <w:right w:val="none" w:sz="0" w:space="0" w:color="auto"/>
          </w:divBdr>
        </w:div>
        <w:div w:id="1480070863">
          <w:marLeft w:val="0"/>
          <w:marRight w:val="0"/>
          <w:marTop w:val="40"/>
          <w:marBottom w:val="38"/>
          <w:divBdr>
            <w:top w:val="none" w:sz="0" w:space="0" w:color="auto"/>
            <w:left w:val="none" w:sz="0" w:space="0" w:color="auto"/>
            <w:bottom w:val="none" w:sz="0" w:space="0" w:color="auto"/>
            <w:right w:val="none" w:sz="0" w:space="0" w:color="auto"/>
          </w:divBdr>
        </w:div>
        <w:div w:id="43674125">
          <w:marLeft w:val="0"/>
          <w:marRight w:val="0"/>
          <w:marTop w:val="40"/>
          <w:marBottom w:val="38"/>
          <w:divBdr>
            <w:top w:val="none" w:sz="0" w:space="0" w:color="auto"/>
            <w:left w:val="none" w:sz="0" w:space="0" w:color="auto"/>
            <w:bottom w:val="none" w:sz="0" w:space="0" w:color="auto"/>
            <w:right w:val="none" w:sz="0" w:space="0" w:color="auto"/>
          </w:divBdr>
        </w:div>
        <w:div w:id="206911664">
          <w:marLeft w:val="0"/>
          <w:marRight w:val="0"/>
          <w:marTop w:val="40"/>
          <w:marBottom w:val="38"/>
          <w:divBdr>
            <w:top w:val="none" w:sz="0" w:space="0" w:color="auto"/>
            <w:left w:val="none" w:sz="0" w:space="0" w:color="auto"/>
            <w:bottom w:val="none" w:sz="0" w:space="0" w:color="auto"/>
            <w:right w:val="none" w:sz="0" w:space="0" w:color="auto"/>
          </w:divBdr>
        </w:div>
        <w:div w:id="1128815404">
          <w:marLeft w:val="0"/>
          <w:marRight w:val="0"/>
          <w:marTop w:val="40"/>
          <w:marBottom w:val="38"/>
          <w:divBdr>
            <w:top w:val="none" w:sz="0" w:space="0" w:color="auto"/>
            <w:left w:val="none" w:sz="0" w:space="0" w:color="auto"/>
            <w:bottom w:val="none" w:sz="0" w:space="0" w:color="auto"/>
            <w:right w:val="none" w:sz="0" w:space="0" w:color="auto"/>
          </w:divBdr>
        </w:div>
        <w:div w:id="993224296">
          <w:marLeft w:val="0"/>
          <w:marRight w:val="0"/>
          <w:marTop w:val="40"/>
          <w:marBottom w:val="38"/>
          <w:divBdr>
            <w:top w:val="none" w:sz="0" w:space="0" w:color="auto"/>
            <w:left w:val="none" w:sz="0" w:space="0" w:color="auto"/>
            <w:bottom w:val="none" w:sz="0" w:space="0" w:color="auto"/>
            <w:right w:val="none" w:sz="0" w:space="0" w:color="auto"/>
          </w:divBdr>
        </w:div>
        <w:div w:id="1516076546">
          <w:marLeft w:val="0"/>
          <w:marRight w:val="0"/>
          <w:marTop w:val="40"/>
          <w:marBottom w:val="38"/>
          <w:divBdr>
            <w:top w:val="none" w:sz="0" w:space="0" w:color="auto"/>
            <w:left w:val="none" w:sz="0" w:space="0" w:color="auto"/>
            <w:bottom w:val="none" w:sz="0" w:space="0" w:color="auto"/>
            <w:right w:val="none" w:sz="0" w:space="0" w:color="auto"/>
          </w:divBdr>
        </w:div>
        <w:div w:id="1244679752">
          <w:marLeft w:val="0"/>
          <w:marRight w:val="0"/>
          <w:marTop w:val="40"/>
          <w:marBottom w:val="38"/>
          <w:divBdr>
            <w:top w:val="none" w:sz="0" w:space="0" w:color="auto"/>
            <w:left w:val="none" w:sz="0" w:space="0" w:color="auto"/>
            <w:bottom w:val="none" w:sz="0" w:space="0" w:color="auto"/>
            <w:right w:val="none" w:sz="0" w:space="0" w:color="auto"/>
          </w:divBdr>
        </w:div>
        <w:div w:id="764304457">
          <w:marLeft w:val="0"/>
          <w:marRight w:val="0"/>
          <w:marTop w:val="40"/>
          <w:marBottom w:val="38"/>
          <w:divBdr>
            <w:top w:val="none" w:sz="0" w:space="0" w:color="auto"/>
            <w:left w:val="none" w:sz="0" w:space="0" w:color="auto"/>
            <w:bottom w:val="none" w:sz="0" w:space="0" w:color="auto"/>
            <w:right w:val="none" w:sz="0" w:space="0" w:color="auto"/>
          </w:divBdr>
        </w:div>
        <w:div w:id="259222811">
          <w:marLeft w:val="0"/>
          <w:marRight w:val="0"/>
          <w:marTop w:val="40"/>
          <w:marBottom w:val="38"/>
          <w:divBdr>
            <w:top w:val="none" w:sz="0" w:space="0" w:color="auto"/>
            <w:left w:val="none" w:sz="0" w:space="0" w:color="auto"/>
            <w:bottom w:val="none" w:sz="0" w:space="0" w:color="auto"/>
            <w:right w:val="none" w:sz="0" w:space="0" w:color="auto"/>
          </w:divBdr>
        </w:div>
        <w:div w:id="1001397573">
          <w:marLeft w:val="0"/>
          <w:marRight w:val="0"/>
          <w:marTop w:val="40"/>
          <w:marBottom w:val="38"/>
          <w:divBdr>
            <w:top w:val="none" w:sz="0" w:space="0" w:color="auto"/>
            <w:left w:val="none" w:sz="0" w:space="0" w:color="auto"/>
            <w:bottom w:val="none" w:sz="0" w:space="0" w:color="auto"/>
            <w:right w:val="none" w:sz="0" w:space="0" w:color="auto"/>
          </w:divBdr>
        </w:div>
        <w:div w:id="1611356472">
          <w:marLeft w:val="0"/>
          <w:marRight w:val="0"/>
          <w:marTop w:val="40"/>
          <w:marBottom w:val="38"/>
          <w:divBdr>
            <w:top w:val="none" w:sz="0" w:space="0" w:color="auto"/>
            <w:left w:val="none" w:sz="0" w:space="0" w:color="auto"/>
            <w:bottom w:val="none" w:sz="0" w:space="0" w:color="auto"/>
            <w:right w:val="none" w:sz="0" w:space="0" w:color="auto"/>
          </w:divBdr>
        </w:div>
        <w:div w:id="1470049415">
          <w:marLeft w:val="0"/>
          <w:marRight w:val="0"/>
          <w:marTop w:val="40"/>
          <w:marBottom w:val="38"/>
          <w:divBdr>
            <w:top w:val="none" w:sz="0" w:space="0" w:color="auto"/>
            <w:left w:val="none" w:sz="0" w:space="0" w:color="auto"/>
            <w:bottom w:val="none" w:sz="0" w:space="0" w:color="auto"/>
            <w:right w:val="none" w:sz="0" w:space="0" w:color="auto"/>
          </w:divBdr>
        </w:div>
        <w:div w:id="1540628272">
          <w:marLeft w:val="0"/>
          <w:marRight w:val="0"/>
          <w:marTop w:val="40"/>
          <w:marBottom w:val="38"/>
          <w:divBdr>
            <w:top w:val="none" w:sz="0" w:space="0" w:color="auto"/>
            <w:left w:val="none" w:sz="0" w:space="0" w:color="auto"/>
            <w:bottom w:val="none" w:sz="0" w:space="0" w:color="auto"/>
            <w:right w:val="none" w:sz="0" w:space="0" w:color="auto"/>
          </w:divBdr>
        </w:div>
        <w:div w:id="190656681">
          <w:marLeft w:val="0"/>
          <w:marRight w:val="0"/>
          <w:marTop w:val="40"/>
          <w:marBottom w:val="38"/>
          <w:divBdr>
            <w:top w:val="none" w:sz="0" w:space="0" w:color="auto"/>
            <w:left w:val="none" w:sz="0" w:space="0" w:color="auto"/>
            <w:bottom w:val="none" w:sz="0" w:space="0" w:color="auto"/>
            <w:right w:val="none" w:sz="0" w:space="0" w:color="auto"/>
          </w:divBdr>
        </w:div>
        <w:div w:id="1515076602">
          <w:marLeft w:val="0"/>
          <w:marRight w:val="0"/>
          <w:marTop w:val="40"/>
          <w:marBottom w:val="38"/>
          <w:divBdr>
            <w:top w:val="none" w:sz="0" w:space="0" w:color="auto"/>
            <w:left w:val="none" w:sz="0" w:space="0" w:color="auto"/>
            <w:bottom w:val="none" w:sz="0" w:space="0" w:color="auto"/>
            <w:right w:val="none" w:sz="0" w:space="0" w:color="auto"/>
          </w:divBdr>
        </w:div>
        <w:div w:id="1825464760">
          <w:marLeft w:val="0"/>
          <w:marRight w:val="0"/>
          <w:marTop w:val="40"/>
          <w:marBottom w:val="38"/>
          <w:divBdr>
            <w:top w:val="none" w:sz="0" w:space="0" w:color="auto"/>
            <w:left w:val="none" w:sz="0" w:space="0" w:color="auto"/>
            <w:bottom w:val="none" w:sz="0" w:space="0" w:color="auto"/>
            <w:right w:val="none" w:sz="0" w:space="0" w:color="auto"/>
          </w:divBdr>
        </w:div>
        <w:div w:id="1763602637">
          <w:marLeft w:val="0"/>
          <w:marRight w:val="0"/>
          <w:marTop w:val="40"/>
          <w:marBottom w:val="38"/>
          <w:divBdr>
            <w:top w:val="none" w:sz="0" w:space="0" w:color="auto"/>
            <w:left w:val="none" w:sz="0" w:space="0" w:color="auto"/>
            <w:bottom w:val="none" w:sz="0" w:space="0" w:color="auto"/>
            <w:right w:val="none" w:sz="0" w:space="0" w:color="auto"/>
          </w:divBdr>
        </w:div>
        <w:div w:id="186481651">
          <w:marLeft w:val="0"/>
          <w:marRight w:val="0"/>
          <w:marTop w:val="40"/>
          <w:marBottom w:val="38"/>
          <w:divBdr>
            <w:top w:val="none" w:sz="0" w:space="0" w:color="auto"/>
            <w:left w:val="none" w:sz="0" w:space="0" w:color="auto"/>
            <w:bottom w:val="none" w:sz="0" w:space="0" w:color="auto"/>
            <w:right w:val="none" w:sz="0" w:space="0" w:color="auto"/>
          </w:divBdr>
        </w:div>
        <w:div w:id="1413963330">
          <w:marLeft w:val="0"/>
          <w:marRight w:val="0"/>
          <w:marTop w:val="40"/>
          <w:marBottom w:val="38"/>
          <w:divBdr>
            <w:top w:val="none" w:sz="0" w:space="0" w:color="auto"/>
            <w:left w:val="none" w:sz="0" w:space="0" w:color="auto"/>
            <w:bottom w:val="none" w:sz="0" w:space="0" w:color="auto"/>
            <w:right w:val="none" w:sz="0" w:space="0" w:color="auto"/>
          </w:divBdr>
        </w:div>
        <w:div w:id="517500204">
          <w:marLeft w:val="0"/>
          <w:marRight w:val="0"/>
          <w:marTop w:val="40"/>
          <w:marBottom w:val="38"/>
          <w:divBdr>
            <w:top w:val="none" w:sz="0" w:space="0" w:color="auto"/>
            <w:left w:val="none" w:sz="0" w:space="0" w:color="auto"/>
            <w:bottom w:val="none" w:sz="0" w:space="0" w:color="auto"/>
            <w:right w:val="none" w:sz="0" w:space="0" w:color="auto"/>
          </w:divBdr>
        </w:div>
        <w:div w:id="295332797">
          <w:marLeft w:val="0"/>
          <w:marRight w:val="0"/>
          <w:marTop w:val="40"/>
          <w:marBottom w:val="38"/>
          <w:divBdr>
            <w:top w:val="none" w:sz="0" w:space="0" w:color="auto"/>
            <w:left w:val="none" w:sz="0" w:space="0" w:color="auto"/>
            <w:bottom w:val="none" w:sz="0" w:space="0" w:color="auto"/>
            <w:right w:val="none" w:sz="0" w:space="0" w:color="auto"/>
          </w:divBdr>
        </w:div>
        <w:div w:id="1497767636">
          <w:marLeft w:val="0"/>
          <w:marRight w:val="0"/>
          <w:marTop w:val="40"/>
          <w:marBottom w:val="38"/>
          <w:divBdr>
            <w:top w:val="none" w:sz="0" w:space="0" w:color="auto"/>
            <w:left w:val="none" w:sz="0" w:space="0" w:color="auto"/>
            <w:bottom w:val="none" w:sz="0" w:space="0" w:color="auto"/>
            <w:right w:val="none" w:sz="0" w:space="0" w:color="auto"/>
          </w:divBdr>
        </w:div>
        <w:div w:id="1315334563">
          <w:marLeft w:val="0"/>
          <w:marRight w:val="0"/>
          <w:marTop w:val="40"/>
          <w:marBottom w:val="38"/>
          <w:divBdr>
            <w:top w:val="none" w:sz="0" w:space="0" w:color="auto"/>
            <w:left w:val="none" w:sz="0" w:space="0" w:color="auto"/>
            <w:bottom w:val="none" w:sz="0" w:space="0" w:color="auto"/>
            <w:right w:val="none" w:sz="0" w:space="0" w:color="auto"/>
          </w:divBdr>
        </w:div>
        <w:div w:id="792481014">
          <w:marLeft w:val="0"/>
          <w:marRight w:val="0"/>
          <w:marTop w:val="40"/>
          <w:marBottom w:val="38"/>
          <w:divBdr>
            <w:top w:val="none" w:sz="0" w:space="0" w:color="auto"/>
            <w:left w:val="none" w:sz="0" w:space="0" w:color="auto"/>
            <w:bottom w:val="none" w:sz="0" w:space="0" w:color="auto"/>
            <w:right w:val="none" w:sz="0" w:space="0" w:color="auto"/>
          </w:divBdr>
        </w:div>
        <w:div w:id="404576515">
          <w:marLeft w:val="0"/>
          <w:marRight w:val="0"/>
          <w:marTop w:val="40"/>
          <w:marBottom w:val="38"/>
          <w:divBdr>
            <w:top w:val="none" w:sz="0" w:space="0" w:color="auto"/>
            <w:left w:val="none" w:sz="0" w:space="0" w:color="auto"/>
            <w:bottom w:val="none" w:sz="0" w:space="0" w:color="auto"/>
            <w:right w:val="none" w:sz="0" w:space="0" w:color="auto"/>
          </w:divBdr>
        </w:div>
        <w:div w:id="1922325456">
          <w:marLeft w:val="0"/>
          <w:marRight w:val="0"/>
          <w:marTop w:val="40"/>
          <w:marBottom w:val="38"/>
          <w:divBdr>
            <w:top w:val="none" w:sz="0" w:space="0" w:color="auto"/>
            <w:left w:val="none" w:sz="0" w:space="0" w:color="auto"/>
            <w:bottom w:val="none" w:sz="0" w:space="0" w:color="auto"/>
            <w:right w:val="none" w:sz="0" w:space="0" w:color="auto"/>
          </w:divBdr>
        </w:div>
        <w:div w:id="1442720272">
          <w:marLeft w:val="0"/>
          <w:marRight w:val="0"/>
          <w:marTop w:val="40"/>
          <w:marBottom w:val="38"/>
          <w:divBdr>
            <w:top w:val="none" w:sz="0" w:space="0" w:color="auto"/>
            <w:left w:val="none" w:sz="0" w:space="0" w:color="auto"/>
            <w:bottom w:val="none" w:sz="0" w:space="0" w:color="auto"/>
            <w:right w:val="none" w:sz="0" w:space="0" w:color="auto"/>
          </w:divBdr>
        </w:div>
        <w:div w:id="1027439347">
          <w:marLeft w:val="0"/>
          <w:marRight w:val="0"/>
          <w:marTop w:val="40"/>
          <w:marBottom w:val="38"/>
          <w:divBdr>
            <w:top w:val="none" w:sz="0" w:space="0" w:color="auto"/>
            <w:left w:val="none" w:sz="0" w:space="0" w:color="auto"/>
            <w:bottom w:val="none" w:sz="0" w:space="0" w:color="auto"/>
            <w:right w:val="none" w:sz="0" w:space="0" w:color="auto"/>
          </w:divBdr>
        </w:div>
        <w:div w:id="2078360750">
          <w:marLeft w:val="0"/>
          <w:marRight w:val="0"/>
          <w:marTop w:val="40"/>
          <w:marBottom w:val="38"/>
          <w:divBdr>
            <w:top w:val="none" w:sz="0" w:space="0" w:color="auto"/>
            <w:left w:val="none" w:sz="0" w:space="0" w:color="auto"/>
            <w:bottom w:val="none" w:sz="0" w:space="0" w:color="auto"/>
            <w:right w:val="none" w:sz="0" w:space="0" w:color="auto"/>
          </w:divBdr>
        </w:div>
        <w:div w:id="1626279475">
          <w:marLeft w:val="0"/>
          <w:marRight w:val="0"/>
          <w:marTop w:val="40"/>
          <w:marBottom w:val="38"/>
          <w:divBdr>
            <w:top w:val="none" w:sz="0" w:space="0" w:color="auto"/>
            <w:left w:val="none" w:sz="0" w:space="0" w:color="auto"/>
            <w:bottom w:val="none" w:sz="0" w:space="0" w:color="auto"/>
            <w:right w:val="none" w:sz="0" w:space="0" w:color="auto"/>
          </w:divBdr>
        </w:div>
        <w:div w:id="1414665165">
          <w:marLeft w:val="0"/>
          <w:marRight w:val="0"/>
          <w:marTop w:val="40"/>
          <w:marBottom w:val="38"/>
          <w:divBdr>
            <w:top w:val="none" w:sz="0" w:space="0" w:color="auto"/>
            <w:left w:val="none" w:sz="0" w:space="0" w:color="auto"/>
            <w:bottom w:val="none" w:sz="0" w:space="0" w:color="auto"/>
            <w:right w:val="none" w:sz="0" w:space="0" w:color="auto"/>
          </w:divBdr>
        </w:div>
        <w:div w:id="789125841">
          <w:marLeft w:val="0"/>
          <w:marRight w:val="0"/>
          <w:marTop w:val="40"/>
          <w:marBottom w:val="38"/>
          <w:divBdr>
            <w:top w:val="none" w:sz="0" w:space="0" w:color="auto"/>
            <w:left w:val="none" w:sz="0" w:space="0" w:color="auto"/>
            <w:bottom w:val="none" w:sz="0" w:space="0" w:color="auto"/>
            <w:right w:val="none" w:sz="0" w:space="0" w:color="auto"/>
          </w:divBdr>
        </w:div>
        <w:div w:id="1521311699">
          <w:marLeft w:val="0"/>
          <w:marRight w:val="0"/>
          <w:marTop w:val="40"/>
          <w:marBottom w:val="38"/>
          <w:divBdr>
            <w:top w:val="none" w:sz="0" w:space="0" w:color="auto"/>
            <w:left w:val="none" w:sz="0" w:space="0" w:color="auto"/>
            <w:bottom w:val="none" w:sz="0" w:space="0" w:color="auto"/>
            <w:right w:val="none" w:sz="0" w:space="0" w:color="auto"/>
          </w:divBdr>
        </w:div>
        <w:div w:id="1003825350">
          <w:marLeft w:val="0"/>
          <w:marRight w:val="0"/>
          <w:marTop w:val="40"/>
          <w:marBottom w:val="38"/>
          <w:divBdr>
            <w:top w:val="none" w:sz="0" w:space="0" w:color="auto"/>
            <w:left w:val="none" w:sz="0" w:space="0" w:color="auto"/>
            <w:bottom w:val="none" w:sz="0" w:space="0" w:color="auto"/>
            <w:right w:val="none" w:sz="0" w:space="0" w:color="auto"/>
          </w:divBdr>
        </w:div>
        <w:div w:id="1131898099">
          <w:marLeft w:val="0"/>
          <w:marRight w:val="0"/>
          <w:marTop w:val="40"/>
          <w:marBottom w:val="38"/>
          <w:divBdr>
            <w:top w:val="none" w:sz="0" w:space="0" w:color="auto"/>
            <w:left w:val="none" w:sz="0" w:space="0" w:color="auto"/>
            <w:bottom w:val="none" w:sz="0" w:space="0" w:color="auto"/>
            <w:right w:val="none" w:sz="0" w:space="0" w:color="auto"/>
          </w:divBdr>
        </w:div>
        <w:div w:id="1989164251">
          <w:marLeft w:val="0"/>
          <w:marRight w:val="0"/>
          <w:marTop w:val="40"/>
          <w:marBottom w:val="38"/>
          <w:divBdr>
            <w:top w:val="none" w:sz="0" w:space="0" w:color="auto"/>
            <w:left w:val="none" w:sz="0" w:space="0" w:color="auto"/>
            <w:bottom w:val="none" w:sz="0" w:space="0" w:color="auto"/>
            <w:right w:val="none" w:sz="0" w:space="0" w:color="auto"/>
          </w:divBdr>
        </w:div>
        <w:div w:id="1031540115">
          <w:marLeft w:val="0"/>
          <w:marRight w:val="0"/>
          <w:marTop w:val="40"/>
          <w:marBottom w:val="38"/>
          <w:divBdr>
            <w:top w:val="none" w:sz="0" w:space="0" w:color="auto"/>
            <w:left w:val="none" w:sz="0" w:space="0" w:color="auto"/>
            <w:bottom w:val="none" w:sz="0" w:space="0" w:color="auto"/>
            <w:right w:val="none" w:sz="0" w:space="0" w:color="auto"/>
          </w:divBdr>
        </w:div>
        <w:div w:id="1347517744">
          <w:marLeft w:val="0"/>
          <w:marRight w:val="0"/>
          <w:marTop w:val="40"/>
          <w:marBottom w:val="38"/>
          <w:divBdr>
            <w:top w:val="none" w:sz="0" w:space="0" w:color="auto"/>
            <w:left w:val="none" w:sz="0" w:space="0" w:color="auto"/>
            <w:bottom w:val="none" w:sz="0" w:space="0" w:color="auto"/>
            <w:right w:val="none" w:sz="0" w:space="0" w:color="auto"/>
          </w:divBdr>
        </w:div>
        <w:div w:id="1266692264">
          <w:marLeft w:val="0"/>
          <w:marRight w:val="0"/>
          <w:marTop w:val="40"/>
          <w:marBottom w:val="38"/>
          <w:divBdr>
            <w:top w:val="none" w:sz="0" w:space="0" w:color="auto"/>
            <w:left w:val="none" w:sz="0" w:space="0" w:color="auto"/>
            <w:bottom w:val="none" w:sz="0" w:space="0" w:color="auto"/>
            <w:right w:val="none" w:sz="0" w:space="0" w:color="auto"/>
          </w:divBdr>
        </w:div>
        <w:div w:id="828400316">
          <w:marLeft w:val="0"/>
          <w:marRight w:val="0"/>
          <w:marTop w:val="40"/>
          <w:marBottom w:val="38"/>
          <w:divBdr>
            <w:top w:val="none" w:sz="0" w:space="0" w:color="auto"/>
            <w:left w:val="none" w:sz="0" w:space="0" w:color="auto"/>
            <w:bottom w:val="none" w:sz="0" w:space="0" w:color="auto"/>
            <w:right w:val="none" w:sz="0" w:space="0" w:color="auto"/>
          </w:divBdr>
        </w:div>
        <w:div w:id="1762294812">
          <w:marLeft w:val="0"/>
          <w:marRight w:val="0"/>
          <w:marTop w:val="40"/>
          <w:marBottom w:val="38"/>
          <w:divBdr>
            <w:top w:val="none" w:sz="0" w:space="0" w:color="auto"/>
            <w:left w:val="none" w:sz="0" w:space="0" w:color="auto"/>
            <w:bottom w:val="none" w:sz="0" w:space="0" w:color="auto"/>
            <w:right w:val="none" w:sz="0" w:space="0" w:color="auto"/>
          </w:divBdr>
        </w:div>
        <w:div w:id="1679893062">
          <w:marLeft w:val="0"/>
          <w:marRight w:val="0"/>
          <w:marTop w:val="40"/>
          <w:marBottom w:val="38"/>
          <w:divBdr>
            <w:top w:val="none" w:sz="0" w:space="0" w:color="auto"/>
            <w:left w:val="none" w:sz="0" w:space="0" w:color="auto"/>
            <w:bottom w:val="none" w:sz="0" w:space="0" w:color="auto"/>
            <w:right w:val="none" w:sz="0" w:space="0" w:color="auto"/>
          </w:divBdr>
        </w:div>
        <w:div w:id="1485971575">
          <w:marLeft w:val="0"/>
          <w:marRight w:val="0"/>
          <w:marTop w:val="40"/>
          <w:marBottom w:val="38"/>
          <w:divBdr>
            <w:top w:val="none" w:sz="0" w:space="0" w:color="auto"/>
            <w:left w:val="none" w:sz="0" w:space="0" w:color="auto"/>
            <w:bottom w:val="none" w:sz="0" w:space="0" w:color="auto"/>
            <w:right w:val="none" w:sz="0" w:space="0" w:color="auto"/>
          </w:divBdr>
        </w:div>
        <w:div w:id="1949703281">
          <w:marLeft w:val="0"/>
          <w:marRight w:val="0"/>
          <w:marTop w:val="40"/>
          <w:marBottom w:val="38"/>
          <w:divBdr>
            <w:top w:val="none" w:sz="0" w:space="0" w:color="auto"/>
            <w:left w:val="none" w:sz="0" w:space="0" w:color="auto"/>
            <w:bottom w:val="none" w:sz="0" w:space="0" w:color="auto"/>
            <w:right w:val="none" w:sz="0" w:space="0" w:color="auto"/>
          </w:divBdr>
        </w:div>
        <w:div w:id="490027993">
          <w:marLeft w:val="0"/>
          <w:marRight w:val="0"/>
          <w:marTop w:val="40"/>
          <w:marBottom w:val="38"/>
          <w:divBdr>
            <w:top w:val="none" w:sz="0" w:space="0" w:color="auto"/>
            <w:left w:val="none" w:sz="0" w:space="0" w:color="auto"/>
            <w:bottom w:val="none" w:sz="0" w:space="0" w:color="auto"/>
            <w:right w:val="none" w:sz="0" w:space="0" w:color="auto"/>
          </w:divBdr>
        </w:div>
        <w:div w:id="344215747">
          <w:marLeft w:val="0"/>
          <w:marRight w:val="0"/>
          <w:marTop w:val="40"/>
          <w:marBottom w:val="38"/>
          <w:divBdr>
            <w:top w:val="none" w:sz="0" w:space="0" w:color="auto"/>
            <w:left w:val="none" w:sz="0" w:space="0" w:color="auto"/>
            <w:bottom w:val="none" w:sz="0" w:space="0" w:color="auto"/>
            <w:right w:val="none" w:sz="0" w:space="0" w:color="auto"/>
          </w:divBdr>
        </w:div>
        <w:div w:id="1739476996">
          <w:marLeft w:val="0"/>
          <w:marRight w:val="0"/>
          <w:marTop w:val="40"/>
          <w:marBottom w:val="38"/>
          <w:divBdr>
            <w:top w:val="none" w:sz="0" w:space="0" w:color="auto"/>
            <w:left w:val="none" w:sz="0" w:space="0" w:color="auto"/>
            <w:bottom w:val="none" w:sz="0" w:space="0" w:color="auto"/>
            <w:right w:val="none" w:sz="0" w:space="0" w:color="auto"/>
          </w:divBdr>
        </w:div>
        <w:div w:id="1106774887">
          <w:marLeft w:val="0"/>
          <w:marRight w:val="0"/>
          <w:marTop w:val="40"/>
          <w:marBottom w:val="38"/>
          <w:divBdr>
            <w:top w:val="none" w:sz="0" w:space="0" w:color="auto"/>
            <w:left w:val="none" w:sz="0" w:space="0" w:color="auto"/>
            <w:bottom w:val="none" w:sz="0" w:space="0" w:color="auto"/>
            <w:right w:val="none" w:sz="0" w:space="0" w:color="auto"/>
          </w:divBdr>
        </w:div>
        <w:div w:id="2098823119">
          <w:marLeft w:val="0"/>
          <w:marRight w:val="0"/>
          <w:marTop w:val="40"/>
          <w:marBottom w:val="38"/>
          <w:divBdr>
            <w:top w:val="none" w:sz="0" w:space="0" w:color="auto"/>
            <w:left w:val="none" w:sz="0" w:space="0" w:color="auto"/>
            <w:bottom w:val="none" w:sz="0" w:space="0" w:color="auto"/>
            <w:right w:val="none" w:sz="0" w:space="0" w:color="auto"/>
          </w:divBdr>
        </w:div>
        <w:div w:id="1520923242">
          <w:marLeft w:val="0"/>
          <w:marRight w:val="0"/>
          <w:marTop w:val="40"/>
          <w:marBottom w:val="38"/>
          <w:divBdr>
            <w:top w:val="none" w:sz="0" w:space="0" w:color="auto"/>
            <w:left w:val="none" w:sz="0" w:space="0" w:color="auto"/>
            <w:bottom w:val="none" w:sz="0" w:space="0" w:color="auto"/>
            <w:right w:val="none" w:sz="0" w:space="0" w:color="auto"/>
          </w:divBdr>
        </w:div>
        <w:div w:id="101001801">
          <w:marLeft w:val="0"/>
          <w:marRight w:val="0"/>
          <w:marTop w:val="40"/>
          <w:marBottom w:val="38"/>
          <w:divBdr>
            <w:top w:val="none" w:sz="0" w:space="0" w:color="auto"/>
            <w:left w:val="none" w:sz="0" w:space="0" w:color="auto"/>
            <w:bottom w:val="none" w:sz="0" w:space="0" w:color="auto"/>
            <w:right w:val="none" w:sz="0" w:space="0" w:color="auto"/>
          </w:divBdr>
        </w:div>
        <w:div w:id="1252156595">
          <w:marLeft w:val="0"/>
          <w:marRight w:val="0"/>
          <w:marTop w:val="40"/>
          <w:marBottom w:val="38"/>
          <w:divBdr>
            <w:top w:val="none" w:sz="0" w:space="0" w:color="auto"/>
            <w:left w:val="none" w:sz="0" w:space="0" w:color="auto"/>
            <w:bottom w:val="none" w:sz="0" w:space="0" w:color="auto"/>
            <w:right w:val="none" w:sz="0" w:space="0" w:color="auto"/>
          </w:divBdr>
        </w:div>
        <w:div w:id="1565919163">
          <w:marLeft w:val="0"/>
          <w:marRight w:val="0"/>
          <w:marTop w:val="40"/>
          <w:marBottom w:val="38"/>
          <w:divBdr>
            <w:top w:val="none" w:sz="0" w:space="0" w:color="auto"/>
            <w:left w:val="none" w:sz="0" w:space="0" w:color="auto"/>
            <w:bottom w:val="none" w:sz="0" w:space="0" w:color="auto"/>
            <w:right w:val="none" w:sz="0" w:space="0" w:color="auto"/>
          </w:divBdr>
        </w:div>
        <w:div w:id="154538223">
          <w:marLeft w:val="0"/>
          <w:marRight w:val="0"/>
          <w:marTop w:val="40"/>
          <w:marBottom w:val="38"/>
          <w:divBdr>
            <w:top w:val="none" w:sz="0" w:space="0" w:color="auto"/>
            <w:left w:val="none" w:sz="0" w:space="0" w:color="auto"/>
            <w:bottom w:val="none" w:sz="0" w:space="0" w:color="auto"/>
            <w:right w:val="none" w:sz="0" w:space="0" w:color="auto"/>
          </w:divBdr>
        </w:div>
        <w:div w:id="625744749">
          <w:marLeft w:val="0"/>
          <w:marRight w:val="0"/>
          <w:marTop w:val="40"/>
          <w:marBottom w:val="38"/>
          <w:divBdr>
            <w:top w:val="none" w:sz="0" w:space="0" w:color="auto"/>
            <w:left w:val="none" w:sz="0" w:space="0" w:color="auto"/>
            <w:bottom w:val="none" w:sz="0" w:space="0" w:color="auto"/>
            <w:right w:val="none" w:sz="0" w:space="0" w:color="auto"/>
          </w:divBdr>
        </w:div>
        <w:div w:id="920914055">
          <w:marLeft w:val="0"/>
          <w:marRight w:val="0"/>
          <w:marTop w:val="40"/>
          <w:marBottom w:val="38"/>
          <w:divBdr>
            <w:top w:val="none" w:sz="0" w:space="0" w:color="auto"/>
            <w:left w:val="none" w:sz="0" w:space="0" w:color="auto"/>
            <w:bottom w:val="none" w:sz="0" w:space="0" w:color="auto"/>
            <w:right w:val="none" w:sz="0" w:space="0" w:color="auto"/>
          </w:divBdr>
        </w:div>
        <w:div w:id="1823808194">
          <w:marLeft w:val="0"/>
          <w:marRight w:val="0"/>
          <w:marTop w:val="40"/>
          <w:marBottom w:val="38"/>
          <w:divBdr>
            <w:top w:val="none" w:sz="0" w:space="0" w:color="auto"/>
            <w:left w:val="none" w:sz="0" w:space="0" w:color="auto"/>
            <w:bottom w:val="none" w:sz="0" w:space="0" w:color="auto"/>
            <w:right w:val="none" w:sz="0" w:space="0" w:color="auto"/>
          </w:divBdr>
        </w:div>
        <w:div w:id="397023071">
          <w:marLeft w:val="0"/>
          <w:marRight w:val="0"/>
          <w:marTop w:val="40"/>
          <w:marBottom w:val="38"/>
          <w:divBdr>
            <w:top w:val="none" w:sz="0" w:space="0" w:color="auto"/>
            <w:left w:val="none" w:sz="0" w:space="0" w:color="auto"/>
            <w:bottom w:val="none" w:sz="0" w:space="0" w:color="auto"/>
            <w:right w:val="none" w:sz="0" w:space="0" w:color="auto"/>
          </w:divBdr>
        </w:div>
        <w:div w:id="373042965">
          <w:marLeft w:val="0"/>
          <w:marRight w:val="0"/>
          <w:marTop w:val="40"/>
          <w:marBottom w:val="38"/>
          <w:divBdr>
            <w:top w:val="none" w:sz="0" w:space="0" w:color="auto"/>
            <w:left w:val="none" w:sz="0" w:space="0" w:color="auto"/>
            <w:bottom w:val="none" w:sz="0" w:space="0" w:color="auto"/>
            <w:right w:val="none" w:sz="0" w:space="0" w:color="auto"/>
          </w:divBdr>
        </w:div>
        <w:div w:id="1526484318">
          <w:marLeft w:val="0"/>
          <w:marRight w:val="0"/>
          <w:marTop w:val="40"/>
          <w:marBottom w:val="38"/>
          <w:divBdr>
            <w:top w:val="none" w:sz="0" w:space="0" w:color="auto"/>
            <w:left w:val="none" w:sz="0" w:space="0" w:color="auto"/>
            <w:bottom w:val="none" w:sz="0" w:space="0" w:color="auto"/>
            <w:right w:val="none" w:sz="0" w:space="0" w:color="auto"/>
          </w:divBdr>
        </w:div>
        <w:div w:id="558367243">
          <w:marLeft w:val="0"/>
          <w:marRight w:val="0"/>
          <w:marTop w:val="40"/>
          <w:marBottom w:val="38"/>
          <w:divBdr>
            <w:top w:val="none" w:sz="0" w:space="0" w:color="auto"/>
            <w:left w:val="none" w:sz="0" w:space="0" w:color="auto"/>
            <w:bottom w:val="none" w:sz="0" w:space="0" w:color="auto"/>
            <w:right w:val="none" w:sz="0" w:space="0" w:color="auto"/>
          </w:divBdr>
        </w:div>
        <w:div w:id="1985700499">
          <w:marLeft w:val="0"/>
          <w:marRight w:val="0"/>
          <w:marTop w:val="40"/>
          <w:marBottom w:val="38"/>
          <w:divBdr>
            <w:top w:val="none" w:sz="0" w:space="0" w:color="auto"/>
            <w:left w:val="none" w:sz="0" w:space="0" w:color="auto"/>
            <w:bottom w:val="none" w:sz="0" w:space="0" w:color="auto"/>
            <w:right w:val="none" w:sz="0" w:space="0" w:color="auto"/>
          </w:divBdr>
        </w:div>
        <w:div w:id="1247769097">
          <w:marLeft w:val="0"/>
          <w:marRight w:val="0"/>
          <w:marTop w:val="40"/>
          <w:marBottom w:val="38"/>
          <w:divBdr>
            <w:top w:val="none" w:sz="0" w:space="0" w:color="auto"/>
            <w:left w:val="none" w:sz="0" w:space="0" w:color="auto"/>
            <w:bottom w:val="none" w:sz="0" w:space="0" w:color="auto"/>
            <w:right w:val="none" w:sz="0" w:space="0" w:color="auto"/>
          </w:divBdr>
        </w:div>
        <w:div w:id="1968973850">
          <w:marLeft w:val="0"/>
          <w:marRight w:val="0"/>
          <w:marTop w:val="40"/>
          <w:marBottom w:val="38"/>
          <w:divBdr>
            <w:top w:val="none" w:sz="0" w:space="0" w:color="auto"/>
            <w:left w:val="none" w:sz="0" w:space="0" w:color="auto"/>
            <w:bottom w:val="none" w:sz="0" w:space="0" w:color="auto"/>
            <w:right w:val="none" w:sz="0" w:space="0" w:color="auto"/>
          </w:divBdr>
        </w:div>
        <w:div w:id="2093771893">
          <w:marLeft w:val="0"/>
          <w:marRight w:val="0"/>
          <w:marTop w:val="40"/>
          <w:marBottom w:val="38"/>
          <w:divBdr>
            <w:top w:val="none" w:sz="0" w:space="0" w:color="auto"/>
            <w:left w:val="none" w:sz="0" w:space="0" w:color="auto"/>
            <w:bottom w:val="none" w:sz="0" w:space="0" w:color="auto"/>
            <w:right w:val="none" w:sz="0" w:space="0" w:color="auto"/>
          </w:divBdr>
        </w:div>
        <w:div w:id="2028405732">
          <w:marLeft w:val="0"/>
          <w:marRight w:val="0"/>
          <w:marTop w:val="40"/>
          <w:marBottom w:val="38"/>
          <w:divBdr>
            <w:top w:val="none" w:sz="0" w:space="0" w:color="auto"/>
            <w:left w:val="none" w:sz="0" w:space="0" w:color="auto"/>
            <w:bottom w:val="none" w:sz="0" w:space="0" w:color="auto"/>
            <w:right w:val="none" w:sz="0" w:space="0" w:color="auto"/>
          </w:divBdr>
        </w:div>
        <w:div w:id="1454322166">
          <w:marLeft w:val="0"/>
          <w:marRight w:val="0"/>
          <w:marTop w:val="40"/>
          <w:marBottom w:val="38"/>
          <w:divBdr>
            <w:top w:val="none" w:sz="0" w:space="0" w:color="auto"/>
            <w:left w:val="none" w:sz="0" w:space="0" w:color="auto"/>
            <w:bottom w:val="none" w:sz="0" w:space="0" w:color="auto"/>
            <w:right w:val="none" w:sz="0" w:space="0" w:color="auto"/>
          </w:divBdr>
        </w:div>
        <w:div w:id="1249273956">
          <w:marLeft w:val="0"/>
          <w:marRight w:val="0"/>
          <w:marTop w:val="40"/>
          <w:marBottom w:val="38"/>
          <w:divBdr>
            <w:top w:val="none" w:sz="0" w:space="0" w:color="auto"/>
            <w:left w:val="none" w:sz="0" w:space="0" w:color="auto"/>
            <w:bottom w:val="none" w:sz="0" w:space="0" w:color="auto"/>
            <w:right w:val="none" w:sz="0" w:space="0" w:color="auto"/>
          </w:divBdr>
        </w:div>
        <w:div w:id="1524324957">
          <w:marLeft w:val="0"/>
          <w:marRight w:val="0"/>
          <w:marTop w:val="40"/>
          <w:marBottom w:val="38"/>
          <w:divBdr>
            <w:top w:val="none" w:sz="0" w:space="0" w:color="auto"/>
            <w:left w:val="none" w:sz="0" w:space="0" w:color="auto"/>
            <w:bottom w:val="none" w:sz="0" w:space="0" w:color="auto"/>
            <w:right w:val="none" w:sz="0" w:space="0" w:color="auto"/>
          </w:divBdr>
        </w:div>
        <w:div w:id="1424112317">
          <w:marLeft w:val="0"/>
          <w:marRight w:val="0"/>
          <w:marTop w:val="40"/>
          <w:marBottom w:val="38"/>
          <w:divBdr>
            <w:top w:val="none" w:sz="0" w:space="0" w:color="auto"/>
            <w:left w:val="none" w:sz="0" w:space="0" w:color="auto"/>
            <w:bottom w:val="none" w:sz="0" w:space="0" w:color="auto"/>
            <w:right w:val="none" w:sz="0" w:space="0" w:color="auto"/>
          </w:divBdr>
        </w:div>
        <w:div w:id="229998573">
          <w:marLeft w:val="0"/>
          <w:marRight w:val="0"/>
          <w:marTop w:val="40"/>
          <w:marBottom w:val="38"/>
          <w:divBdr>
            <w:top w:val="none" w:sz="0" w:space="0" w:color="auto"/>
            <w:left w:val="none" w:sz="0" w:space="0" w:color="auto"/>
            <w:bottom w:val="none" w:sz="0" w:space="0" w:color="auto"/>
            <w:right w:val="none" w:sz="0" w:space="0" w:color="auto"/>
          </w:divBdr>
        </w:div>
        <w:div w:id="1319729814">
          <w:marLeft w:val="0"/>
          <w:marRight w:val="0"/>
          <w:marTop w:val="40"/>
          <w:marBottom w:val="38"/>
          <w:divBdr>
            <w:top w:val="none" w:sz="0" w:space="0" w:color="auto"/>
            <w:left w:val="none" w:sz="0" w:space="0" w:color="auto"/>
            <w:bottom w:val="none" w:sz="0" w:space="0" w:color="auto"/>
            <w:right w:val="none" w:sz="0" w:space="0" w:color="auto"/>
          </w:divBdr>
        </w:div>
        <w:div w:id="1778519676">
          <w:marLeft w:val="0"/>
          <w:marRight w:val="0"/>
          <w:marTop w:val="40"/>
          <w:marBottom w:val="38"/>
          <w:divBdr>
            <w:top w:val="none" w:sz="0" w:space="0" w:color="auto"/>
            <w:left w:val="none" w:sz="0" w:space="0" w:color="auto"/>
            <w:bottom w:val="none" w:sz="0" w:space="0" w:color="auto"/>
            <w:right w:val="none" w:sz="0" w:space="0" w:color="auto"/>
          </w:divBdr>
        </w:div>
        <w:div w:id="682636095">
          <w:marLeft w:val="0"/>
          <w:marRight w:val="0"/>
          <w:marTop w:val="40"/>
          <w:marBottom w:val="38"/>
          <w:divBdr>
            <w:top w:val="none" w:sz="0" w:space="0" w:color="auto"/>
            <w:left w:val="none" w:sz="0" w:space="0" w:color="auto"/>
            <w:bottom w:val="none" w:sz="0" w:space="0" w:color="auto"/>
            <w:right w:val="none" w:sz="0" w:space="0" w:color="auto"/>
          </w:divBdr>
        </w:div>
        <w:div w:id="50930578">
          <w:marLeft w:val="0"/>
          <w:marRight w:val="0"/>
          <w:marTop w:val="40"/>
          <w:marBottom w:val="38"/>
          <w:divBdr>
            <w:top w:val="none" w:sz="0" w:space="0" w:color="auto"/>
            <w:left w:val="none" w:sz="0" w:space="0" w:color="auto"/>
            <w:bottom w:val="none" w:sz="0" w:space="0" w:color="auto"/>
            <w:right w:val="none" w:sz="0" w:space="0" w:color="auto"/>
          </w:divBdr>
        </w:div>
        <w:div w:id="808088492">
          <w:marLeft w:val="0"/>
          <w:marRight w:val="0"/>
          <w:marTop w:val="40"/>
          <w:marBottom w:val="38"/>
          <w:divBdr>
            <w:top w:val="none" w:sz="0" w:space="0" w:color="auto"/>
            <w:left w:val="none" w:sz="0" w:space="0" w:color="auto"/>
            <w:bottom w:val="none" w:sz="0" w:space="0" w:color="auto"/>
            <w:right w:val="none" w:sz="0" w:space="0" w:color="auto"/>
          </w:divBdr>
        </w:div>
        <w:div w:id="1180124687">
          <w:marLeft w:val="0"/>
          <w:marRight w:val="0"/>
          <w:marTop w:val="40"/>
          <w:marBottom w:val="38"/>
          <w:divBdr>
            <w:top w:val="none" w:sz="0" w:space="0" w:color="auto"/>
            <w:left w:val="none" w:sz="0" w:space="0" w:color="auto"/>
            <w:bottom w:val="none" w:sz="0" w:space="0" w:color="auto"/>
            <w:right w:val="none" w:sz="0" w:space="0" w:color="auto"/>
          </w:divBdr>
        </w:div>
        <w:div w:id="1509908079">
          <w:marLeft w:val="0"/>
          <w:marRight w:val="0"/>
          <w:marTop w:val="40"/>
          <w:marBottom w:val="38"/>
          <w:divBdr>
            <w:top w:val="none" w:sz="0" w:space="0" w:color="auto"/>
            <w:left w:val="none" w:sz="0" w:space="0" w:color="auto"/>
            <w:bottom w:val="none" w:sz="0" w:space="0" w:color="auto"/>
            <w:right w:val="none" w:sz="0" w:space="0" w:color="auto"/>
          </w:divBdr>
        </w:div>
        <w:div w:id="1665090494">
          <w:marLeft w:val="0"/>
          <w:marRight w:val="0"/>
          <w:marTop w:val="40"/>
          <w:marBottom w:val="38"/>
          <w:divBdr>
            <w:top w:val="none" w:sz="0" w:space="0" w:color="auto"/>
            <w:left w:val="none" w:sz="0" w:space="0" w:color="auto"/>
            <w:bottom w:val="none" w:sz="0" w:space="0" w:color="auto"/>
            <w:right w:val="none" w:sz="0" w:space="0" w:color="auto"/>
          </w:divBdr>
        </w:div>
        <w:div w:id="1815684802">
          <w:marLeft w:val="0"/>
          <w:marRight w:val="0"/>
          <w:marTop w:val="40"/>
          <w:marBottom w:val="38"/>
          <w:divBdr>
            <w:top w:val="none" w:sz="0" w:space="0" w:color="auto"/>
            <w:left w:val="none" w:sz="0" w:space="0" w:color="auto"/>
            <w:bottom w:val="none" w:sz="0" w:space="0" w:color="auto"/>
            <w:right w:val="none" w:sz="0" w:space="0" w:color="auto"/>
          </w:divBdr>
        </w:div>
        <w:div w:id="47804180">
          <w:marLeft w:val="0"/>
          <w:marRight w:val="0"/>
          <w:marTop w:val="40"/>
          <w:marBottom w:val="38"/>
          <w:divBdr>
            <w:top w:val="none" w:sz="0" w:space="0" w:color="auto"/>
            <w:left w:val="none" w:sz="0" w:space="0" w:color="auto"/>
            <w:bottom w:val="none" w:sz="0" w:space="0" w:color="auto"/>
            <w:right w:val="none" w:sz="0" w:space="0" w:color="auto"/>
          </w:divBdr>
        </w:div>
        <w:div w:id="1765833369">
          <w:marLeft w:val="0"/>
          <w:marRight w:val="0"/>
          <w:marTop w:val="40"/>
          <w:marBottom w:val="38"/>
          <w:divBdr>
            <w:top w:val="none" w:sz="0" w:space="0" w:color="auto"/>
            <w:left w:val="none" w:sz="0" w:space="0" w:color="auto"/>
            <w:bottom w:val="none" w:sz="0" w:space="0" w:color="auto"/>
            <w:right w:val="none" w:sz="0" w:space="0" w:color="auto"/>
          </w:divBdr>
        </w:div>
        <w:div w:id="1762337848">
          <w:marLeft w:val="0"/>
          <w:marRight w:val="0"/>
          <w:marTop w:val="40"/>
          <w:marBottom w:val="38"/>
          <w:divBdr>
            <w:top w:val="none" w:sz="0" w:space="0" w:color="auto"/>
            <w:left w:val="none" w:sz="0" w:space="0" w:color="auto"/>
            <w:bottom w:val="none" w:sz="0" w:space="0" w:color="auto"/>
            <w:right w:val="none" w:sz="0" w:space="0" w:color="auto"/>
          </w:divBdr>
        </w:div>
        <w:div w:id="321541192">
          <w:marLeft w:val="0"/>
          <w:marRight w:val="0"/>
          <w:marTop w:val="40"/>
          <w:marBottom w:val="38"/>
          <w:divBdr>
            <w:top w:val="none" w:sz="0" w:space="0" w:color="auto"/>
            <w:left w:val="none" w:sz="0" w:space="0" w:color="auto"/>
            <w:bottom w:val="none" w:sz="0" w:space="0" w:color="auto"/>
            <w:right w:val="none" w:sz="0" w:space="0" w:color="auto"/>
          </w:divBdr>
        </w:div>
        <w:div w:id="1930966255">
          <w:marLeft w:val="0"/>
          <w:marRight w:val="0"/>
          <w:marTop w:val="40"/>
          <w:marBottom w:val="38"/>
          <w:divBdr>
            <w:top w:val="none" w:sz="0" w:space="0" w:color="auto"/>
            <w:left w:val="none" w:sz="0" w:space="0" w:color="auto"/>
            <w:bottom w:val="none" w:sz="0" w:space="0" w:color="auto"/>
            <w:right w:val="none" w:sz="0" w:space="0" w:color="auto"/>
          </w:divBdr>
        </w:div>
        <w:div w:id="1582594510">
          <w:marLeft w:val="0"/>
          <w:marRight w:val="0"/>
          <w:marTop w:val="40"/>
          <w:marBottom w:val="38"/>
          <w:divBdr>
            <w:top w:val="none" w:sz="0" w:space="0" w:color="auto"/>
            <w:left w:val="none" w:sz="0" w:space="0" w:color="auto"/>
            <w:bottom w:val="none" w:sz="0" w:space="0" w:color="auto"/>
            <w:right w:val="none" w:sz="0" w:space="0" w:color="auto"/>
          </w:divBdr>
        </w:div>
        <w:div w:id="1210874857">
          <w:marLeft w:val="0"/>
          <w:marRight w:val="0"/>
          <w:marTop w:val="40"/>
          <w:marBottom w:val="38"/>
          <w:divBdr>
            <w:top w:val="none" w:sz="0" w:space="0" w:color="auto"/>
            <w:left w:val="none" w:sz="0" w:space="0" w:color="auto"/>
            <w:bottom w:val="none" w:sz="0" w:space="0" w:color="auto"/>
            <w:right w:val="none" w:sz="0" w:space="0" w:color="auto"/>
          </w:divBdr>
        </w:div>
        <w:div w:id="983317884">
          <w:marLeft w:val="0"/>
          <w:marRight w:val="0"/>
          <w:marTop w:val="40"/>
          <w:marBottom w:val="38"/>
          <w:divBdr>
            <w:top w:val="none" w:sz="0" w:space="0" w:color="auto"/>
            <w:left w:val="none" w:sz="0" w:space="0" w:color="auto"/>
            <w:bottom w:val="none" w:sz="0" w:space="0" w:color="auto"/>
            <w:right w:val="none" w:sz="0" w:space="0" w:color="auto"/>
          </w:divBdr>
        </w:div>
        <w:div w:id="1692603303">
          <w:marLeft w:val="0"/>
          <w:marRight w:val="0"/>
          <w:marTop w:val="40"/>
          <w:marBottom w:val="38"/>
          <w:divBdr>
            <w:top w:val="none" w:sz="0" w:space="0" w:color="auto"/>
            <w:left w:val="none" w:sz="0" w:space="0" w:color="auto"/>
            <w:bottom w:val="none" w:sz="0" w:space="0" w:color="auto"/>
            <w:right w:val="none" w:sz="0" w:space="0" w:color="auto"/>
          </w:divBdr>
        </w:div>
        <w:div w:id="1803424275">
          <w:marLeft w:val="0"/>
          <w:marRight w:val="0"/>
          <w:marTop w:val="40"/>
          <w:marBottom w:val="38"/>
          <w:divBdr>
            <w:top w:val="none" w:sz="0" w:space="0" w:color="auto"/>
            <w:left w:val="none" w:sz="0" w:space="0" w:color="auto"/>
            <w:bottom w:val="none" w:sz="0" w:space="0" w:color="auto"/>
            <w:right w:val="none" w:sz="0" w:space="0" w:color="auto"/>
          </w:divBdr>
        </w:div>
        <w:div w:id="2077119123">
          <w:marLeft w:val="0"/>
          <w:marRight w:val="0"/>
          <w:marTop w:val="40"/>
          <w:marBottom w:val="38"/>
          <w:divBdr>
            <w:top w:val="none" w:sz="0" w:space="0" w:color="auto"/>
            <w:left w:val="none" w:sz="0" w:space="0" w:color="auto"/>
            <w:bottom w:val="none" w:sz="0" w:space="0" w:color="auto"/>
            <w:right w:val="none" w:sz="0" w:space="0" w:color="auto"/>
          </w:divBdr>
        </w:div>
        <w:div w:id="16129674">
          <w:marLeft w:val="0"/>
          <w:marRight w:val="0"/>
          <w:marTop w:val="40"/>
          <w:marBottom w:val="38"/>
          <w:divBdr>
            <w:top w:val="none" w:sz="0" w:space="0" w:color="auto"/>
            <w:left w:val="none" w:sz="0" w:space="0" w:color="auto"/>
            <w:bottom w:val="none" w:sz="0" w:space="0" w:color="auto"/>
            <w:right w:val="none" w:sz="0" w:space="0" w:color="auto"/>
          </w:divBdr>
        </w:div>
        <w:div w:id="419907084">
          <w:marLeft w:val="0"/>
          <w:marRight w:val="0"/>
          <w:marTop w:val="40"/>
          <w:marBottom w:val="38"/>
          <w:divBdr>
            <w:top w:val="none" w:sz="0" w:space="0" w:color="auto"/>
            <w:left w:val="none" w:sz="0" w:space="0" w:color="auto"/>
            <w:bottom w:val="none" w:sz="0" w:space="0" w:color="auto"/>
            <w:right w:val="none" w:sz="0" w:space="0" w:color="auto"/>
          </w:divBdr>
        </w:div>
        <w:div w:id="279578642">
          <w:marLeft w:val="0"/>
          <w:marRight w:val="0"/>
          <w:marTop w:val="0"/>
          <w:marBottom w:val="101"/>
          <w:divBdr>
            <w:top w:val="none" w:sz="0" w:space="0" w:color="auto"/>
            <w:left w:val="none" w:sz="0" w:space="0" w:color="auto"/>
            <w:bottom w:val="none" w:sz="0" w:space="0" w:color="auto"/>
            <w:right w:val="none" w:sz="0" w:space="0" w:color="auto"/>
          </w:divBdr>
        </w:div>
        <w:div w:id="397827735">
          <w:marLeft w:val="0"/>
          <w:marRight w:val="0"/>
          <w:marTop w:val="0"/>
          <w:marBottom w:val="101"/>
          <w:divBdr>
            <w:top w:val="none" w:sz="0" w:space="0" w:color="auto"/>
            <w:left w:val="none" w:sz="0" w:space="0" w:color="auto"/>
            <w:bottom w:val="none" w:sz="0" w:space="0" w:color="auto"/>
            <w:right w:val="none" w:sz="0" w:space="0" w:color="auto"/>
          </w:divBdr>
        </w:div>
        <w:div w:id="1853185958">
          <w:marLeft w:val="0"/>
          <w:marRight w:val="0"/>
          <w:marTop w:val="0"/>
          <w:marBottom w:val="101"/>
          <w:divBdr>
            <w:top w:val="none" w:sz="0" w:space="0" w:color="auto"/>
            <w:left w:val="none" w:sz="0" w:space="0" w:color="auto"/>
            <w:bottom w:val="none" w:sz="0" w:space="0" w:color="auto"/>
            <w:right w:val="none" w:sz="0" w:space="0" w:color="auto"/>
          </w:divBdr>
        </w:div>
        <w:div w:id="430131315">
          <w:marLeft w:val="0"/>
          <w:marRight w:val="0"/>
          <w:marTop w:val="0"/>
          <w:marBottom w:val="101"/>
          <w:divBdr>
            <w:top w:val="none" w:sz="0" w:space="0" w:color="auto"/>
            <w:left w:val="none" w:sz="0" w:space="0" w:color="auto"/>
            <w:bottom w:val="none" w:sz="0" w:space="0" w:color="auto"/>
            <w:right w:val="none" w:sz="0" w:space="0" w:color="auto"/>
          </w:divBdr>
        </w:div>
        <w:div w:id="2011131402">
          <w:marLeft w:val="0"/>
          <w:marRight w:val="0"/>
          <w:marTop w:val="0"/>
          <w:marBottom w:val="101"/>
          <w:divBdr>
            <w:top w:val="none" w:sz="0" w:space="0" w:color="auto"/>
            <w:left w:val="none" w:sz="0" w:space="0" w:color="auto"/>
            <w:bottom w:val="none" w:sz="0" w:space="0" w:color="auto"/>
            <w:right w:val="none" w:sz="0" w:space="0" w:color="auto"/>
          </w:divBdr>
        </w:div>
        <w:div w:id="818499041">
          <w:marLeft w:val="0"/>
          <w:marRight w:val="0"/>
          <w:marTop w:val="0"/>
          <w:marBottom w:val="101"/>
          <w:divBdr>
            <w:top w:val="none" w:sz="0" w:space="0" w:color="auto"/>
            <w:left w:val="none" w:sz="0" w:space="0" w:color="auto"/>
            <w:bottom w:val="none" w:sz="0" w:space="0" w:color="auto"/>
            <w:right w:val="none" w:sz="0" w:space="0" w:color="auto"/>
          </w:divBdr>
        </w:div>
        <w:div w:id="1125124602">
          <w:marLeft w:val="0"/>
          <w:marRight w:val="0"/>
          <w:marTop w:val="0"/>
          <w:marBottom w:val="101"/>
          <w:divBdr>
            <w:top w:val="none" w:sz="0" w:space="0" w:color="auto"/>
            <w:left w:val="none" w:sz="0" w:space="0" w:color="auto"/>
            <w:bottom w:val="none" w:sz="0" w:space="0" w:color="auto"/>
            <w:right w:val="none" w:sz="0" w:space="0" w:color="auto"/>
          </w:divBdr>
        </w:div>
        <w:div w:id="1043483761">
          <w:marLeft w:val="0"/>
          <w:marRight w:val="0"/>
          <w:marTop w:val="0"/>
          <w:marBottom w:val="101"/>
          <w:divBdr>
            <w:top w:val="none" w:sz="0" w:space="0" w:color="auto"/>
            <w:left w:val="none" w:sz="0" w:space="0" w:color="auto"/>
            <w:bottom w:val="none" w:sz="0" w:space="0" w:color="auto"/>
            <w:right w:val="none" w:sz="0" w:space="0" w:color="auto"/>
          </w:divBdr>
        </w:div>
        <w:div w:id="1003124792">
          <w:marLeft w:val="0"/>
          <w:marRight w:val="0"/>
          <w:marTop w:val="0"/>
          <w:marBottom w:val="101"/>
          <w:divBdr>
            <w:top w:val="none" w:sz="0" w:space="0" w:color="auto"/>
            <w:left w:val="none" w:sz="0" w:space="0" w:color="auto"/>
            <w:bottom w:val="none" w:sz="0" w:space="0" w:color="auto"/>
            <w:right w:val="none" w:sz="0" w:space="0" w:color="auto"/>
          </w:divBdr>
        </w:div>
        <w:div w:id="828060787">
          <w:marLeft w:val="0"/>
          <w:marRight w:val="0"/>
          <w:marTop w:val="0"/>
          <w:marBottom w:val="101"/>
          <w:divBdr>
            <w:top w:val="none" w:sz="0" w:space="0" w:color="auto"/>
            <w:left w:val="none" w:sz="0" w:space="0" w:color="auto"/>
            <w:bottom w:val="none" w:sz="0" w:space="0" w:color="auto"/>
            <w:right w:val="none" w:sz="0" w:space="0" w:color="auto"/>
          </w:divBdr>
        </w:div>
        <w:div w:id="1091925396">
          <w:marLeft w:val="0"/>
          <w:marRight w:val="0"/>
          <w:marTop w:val="0"/>
          <w:marBottom w:val="101"/>
          <w:divBdr>
            <w:top w:val="none" w:sz="0" w:space="0" w:color="auto"/>
            <w:left w:val="none" w:sz="0" w:space="0" w:color="auto"/>
            <w:bottom w:val="none" w:sz="0" w:space="0" w:color="auto"/>
            <w:right w:val="none" w:sz="0" w:space="0" w:color="auto"/>
          </w:divBdr>
        </w:div>
        <w:div w:id="1459840936">
          <w:marLeft w:val="0"/>
          <w:marRight w:val="0"/>
          <w:marTop w:val="0"/>
          <w:marBottom w:val="101"/>
          <w:divBdr>
            <w:top w:val="none" w:sz="0" w:space="0" w:color="auto"/>
            <w:left w:val="none" w:sz="0" w:space="0" w:color="auto"/>
            <w:bottom w:val="none" w:sz="0" w:space="0" w:color="auto"/>
            <w:right w:val="none" w:sz="0" w:space="0" w:color="auto"/>
          </w:divBdr>
        </w:div>
        <w:div w:id="1026255024">
          <w:marLeft w:val="0"/>
          <w:marRight w:val="0"/>
          <w:marTop w:val="0"/>
          <w:marBottom w:val="101"/>
          <w:divBdr>
            <w:top w:val="none" w:sz="0" w:space="0" w:color="auto"/>
            <w:left w:val="none" w:sz="0" w:space="0" w:color="auto"/>
            <w:bottom w:val="none" w:sz="0" w:space="0" w:color="auto"/>
            <w:right w:val="none" w:sz="0" w:space="0" w:color="auto"/>
          </w:divBdr>
        </w:div>
        <w:div w:id="1395855899">
          <w:marLeft w:val="0"/>
          <w:marRight w:val="0"/>
          <w:marTop w:val="0"/>
          <w:marBottom w:val="101"/>
          <w:divBdr>
            <w:top w:val="none" w:sz="0" w:space="0" w:color="auto"/>
            <w:left w:val="none" w:sz="0" w:space="0" w:color="auto"/>
            <w:bottom w:val="none" w:sz="0" w:space="0" w:color="auto"/>
            <w:right w:val="none" w:sz="0" w:space="0" w:color="auto"/>
          </w:divBdr>
        </w:div>
        <w:div w:id="272058450">
          <w:marLeft w:val="0"/>
          <w:marRight w:val="0"/>
          <w:marTop w:val="0"/>
          <w:marBottom w:val="101"/>
          <w:divBdr>
            <w:top w:val="none" w:sz="0" w:space="0" w:color="auto"/>
            <w:left w:val="none" w:sz="0" w:space="0" w:color="auto"/>
            <w:bottom w:val="none" w:sz="0" w:space="0" w:color="auto"/>
            <w:right w:val="none" w:sz="0" w:space="0" w:color="auto"/>
          </w:divBdr>
        </w:div>
        <w:div w:id="519781850">
          <w:marLeft w:val="0"/>
          <w:marRight w:val="0"/>
          <w:marTop w:val="0"/>
          <w:marBottom w:val="101"/>
          <w:divBdr>
            <w:top w:val="none" w:sz="0" w:space="0" w:color="auto"/>
            <w:left w:val="none" w:sz="0" w:space="0" w:color="auto"/>
            <w:bottom w:val="none" w:sz="0" w:space="0" w:color="auto"/>
            <w:right w:val="none" w:sz="0" w:space="0" w:color="auto"/>
          </w:divBdr>
        </w:div>
        <w:div w:id="1572349119">
          <w:marLeft w:val="0"/>
          <w:marRight w:val="0"/>
          <w:marTop w:val="0"/>
          <w:marBottom w:val="101"/>
          <w:divBdr>
            <w:top w:val="none" w:sz="0" w:space="0" w:color="auto"/>
            <w:left w:val="none" w:sz="0" w:space="0" w:color="auto"/>
            <w:bottom w:val="none" w:sz="0" w:space="0" w:color="auto"/>
            <w:right w:val="none" w:sz="0" w:space="0" w:color="auto"/>
          </w:divBdr>
        </w:div>
        <w:div w:id="1133136678">
          <w:marLeft w:val="0"/>
          <w:marRight w:val="0"/>
          <w:marTop w:val="0"/>
          <w:marBottom w:val="101"/>
          <w:divBdr>
            <w:top w:val="none" w:sz="0" w:space="0" w:color="auto"/>
            <w:left w:val="none" w:sz="0" w:space="0" w:color="auto"/>
            <w:bottom w:val="none" w:sz="0" w:space="0" w:color="auto"/>
            <w:right w:val="none" w:sz="0" w:space="0" w:color="auto"/>
          </w:divBdr>
        </w:div>
        <w:div w:id="573245614">
          <w:marLeft w:val="0"/>
          <w:marRight w:val="0"/>
          <w:marTop w:val="0"/>
          <w:marBottom w:val="101"/>
          <w:divBdr>
            <w:top w:val="none" w:sz="0" w:space="0" w:color="auto"/>
            <w:left w:val="none" w:sz="0" w:space="0" w:color="auto"/>
            <w:bottom w:val="none" w:sz="0" w:space="0" w:color="auto"/>
            <w:right w:val="none" w:sz="0" w:space="0" w:color="auto"/>
          </w:divBdr>
        </w:div>
        <w:div w:id="2084986538">
          <w:marLeft w:val="0"/>
          <w:marRight w:val="0"/>
          <w:marTop w:val="0"/>
          <w:marBottom w:val="101"/>
          <w:divBdr>
            <w:top w:val="none" w:sz="0" w:space="0" w:color="auto"/>
            <w:left w:val="none" w:sz="0" w:space="0" w:color="auto"/>
            <w:bottom w:val="none" w:sz="0" w:space="0" w:color="auto"/>
            <w:right w:val="none" w:sz="0" w:space="0" w:color="auto"/>
          </w:divBdr>
        </w:div>
        <w:div w:id="933171797">
          <w:marLeft w:val="0"/>
          <w:marRight w:val="0"/>
          <w:marTop w:val="0"/>
          <w:marBottom w:val="101"/>
          <w:divBdr>
            <w:top w:val="none" w:sz="0" w:space="0" w:color="auto"/>
            <w:left w:val="none" w:sz="0" w:space="0" w:color="auto"/>
            <w:bottom w:val="none" w:sz="0" w:space="0" w:color="auto"/>
            <w:right w:val="none" w:sz="0" w:space="0" w:color="auto"/>
          </w:divBdr>
        </w:div>
        <w:div w:id="1451170518">
          <w:marLeft w:val="0"/>
          <w:marRight w:val="0"/>
          <w:marTop w:val="0"/>
          <w:marBottom w:val="101"/>
          <w:divBdr>
            <w:top w:val="none" w:sz="0" w:space="0" w:color="auto"/>
            <w:left w:val="none" w:sz="0" w:space="0" w:color="auto"/>
            <w:bottom w:val="none" w:sz="0" w:space="0" w:color="auto"/>
            <w:right w:val="none" w:sz="0" w:space="0" w:color="auto"/>
          </w:divBdr>
        </w:div>
        <w:div w:id="38823541">
          <w:marLeft w:val="0"/>
          <w:marRight w:val="0"/>
          <w:marTop w:val="0"/>
          <w:marBottom w:val="101"/>
          <w:divBdr>
            <w:top w:val="none" w:sz="0" w:space="0" w:color="auto"/>
            <w:left w:val="none" w:sz="0" w:space="0" w:color="auto"/>
            <w:bottom w:val="none" w:sz="0" w:space="0" w:color="auto"/>
            <w:right w:val="none" w:sz="0" w:space="0" w:color="auto"/>
          </w:divBdr>
        </w:div>
        <w:div w:id="785998927">
          <w:marLeft w:val="0"/>
          <w:marRight w:val="0"/>
          <w:marTop w:val="0"/>
          <w:marBottom w:val="101"/>
          <w:divBdr>
            <w:top w:val="none" w:sz="0" w:space="0" w:color="auto"/>
            <w:left w:val="none" w:sz="0" w:space="0" w:color="auto"/>
            <w:bottom w:val="none" w:sz="0" w:space="0" w:color="auto"/>
            <w:right w:val="none" w:sz="0" w:space="0" w:color="auto"/>
          </w:divBdr>
        </w:div>
        <w:div w:id="1117716956">
          <w:marLeft w:val="0"/>
          <w:marRight w:val="0"/>
          <w:marTop w:val="0"/>
          <w:marBottom w:val="101"/>
          <w:divBdr>
            <w:top w:val="none" w:sz="0" w:space="0" w:color="auto"/>
            <w:left w:val="none" w:sz="0" w:space="0" w:color="auto"/>
            <w:bottom w:val="none" w:sz="0" w:space="0" w:color="auto"/>
            <w:right w:val="none" w:sz="0" w:space="0" w:color="auto"/>
          </w:divBdr>
        </w:div>
        <w:div w:id="1642535175">
          <w:marLeft w:val="0"/>
          <w:marRight w:val="0"/>
          <w:marTop w:val="0"/>
          <w:marBottom w:val="101"/>
          <w:divBdr>
            <w:top w:val="none" w:sz="0" w:space="0" w:color="auto"/>
            <w:left w:val="none" w:sz="0" w:space="0" w:color="auto"/>
            <w:bottom w:val="none" w:sz="0" w:space="0" w:color="auto"/>
            <w:right w:val="none" w:sz="0" w:space="0" w:color="auto"/>
          </w:divBdr>
        </w:div>
        <w:div w:id="659886185">
          <w:marLeft w:val="0"/>
          <w:marRight w:val="0"/>
          <w:marTop w:val="0"/>
          <w:marBottom w:val="101"/>
          <w:divBdr>
            <w:top w:val="none" w:sz="0" w:space="0" w:color="auto"/>
            <w:left w:val="none" w:sz="0" w:space="0" w:color="auto"/>
            <w:bottom w:val="none" w:sz="0" w:space="0" w:color="auto"/>
            <w:right w:val="none" w:sz="0" w:space="0" w:color="auto"/>
          </w:divBdr>
        </w:div>
        <w:div w:id="238563408">
          <w:marLeft w:val="0"/>
          <w:marRight w:val="0"/>
          <w:marTop w:val="0"/>
          <w:marBottom w:val="101"/>
          <w:divBdr>
            <w:top w:val="none" w:sz="0" w:space="0" w:color="auto"/>
            <w:left w:val="none" w:sz="0" w:space="0" w:color="auto"/>
            <w:bottom w:val="none" w:sz="0" w:space="0" w:color="auto"/>
            <w:right w:val="none" w:sz="0" w:space="0" w:color="auto"/>
          </w:divBdr>
        </w:div>
        <w:div w:id="81991017">
          <w:marLeft w:val="0"/>
          <w:marRight w:val="0"/>
          <w:marTop w:val="0"/>
          <w:marBottom w:val="101"/>
          <w:divBdr>
            <w:top w:val="none" w:sz="0" w:space="0" w:color="auto"/>
            <w:left w:val="none" w:sz="0" w:space="0" w:color="auto"/>
            <w:bottom w:val="none" w:sz="0" w:space="0" w:color="auto"/>
            <w:right w:val="none" w:sz="0" w:space="0" w:color="auto"/>
          </w:divBdr>
        </w:div>
        <w:div w:id="1662390542">
          <w:marLeft w:val="0"/>
          <w:marRight w:val="0"/>
          <w:marTop w:val="0"/>
          <w:marBottom w:val="101"/>
          <w:divBdr>
            <w:top w:val="none" w:sz="0" w:space="0" w:color="auto"/>
            <w:left w:val="none" w:sz="0" w:space="0" w:color="auto"/>
            <w:bottom w:val="none" w:sz="0" w:space="0" w:color="auto"/>
            <w:right w:val="none" w:sz="0" w:space="0" w:color="auto"/>
          </w:divBdr>
        </w:div>
        <w:div w:id="1369989538">
          <w:marLeft w:val="0"/>
          <w:marRight w:val="0"/>
          <w:marTop w:val="0"/>
          <w:marBottom w:val="101"/>
          <w:divBdr>
            <w:top w:val="none" w:sz="0" w:space="0" w:color="auto"/>
            <w:left w:val="none" w:sz="0" w:space="0" w:color="auto"/>
            <w:bottom w:val="none" w:sz="0" w:space="0" w:color="auto"/>
            <w:right w:val="none" w:sz="0" w:space="0" w:color="auto"/>
          </w:divBdr>
        </w:div>
        <w:div w:id="825978112">
          <w:marLeft w:val="0"/>
          <w:marRight w:val="0"/>
          <w:marTop w:val="0"/>
          <w:marBottom w:val="101"/>
          <w:divBdr>
            <w:top w:val="none" w:sz="0" w:space="0" w:color="auto"/>
            <w:left w:val="none" w:sz="0" w:space="0" w:color="auto"/>
            <w:bottom w:val="none" w:sz="0" w:space="0" w:color="auto"/>
            <w:right w:val="none" w:sz="0" w:space="0" w:color="auto"/>
          </w:divBdr>
        </w:div>
        <w:div w:id="1320501354">
          <w:marLeft w:val="0"/>
          <w:marRight w:val="0"/>
          <w:marTop w:val="0"/>
          <w:marBottom w:val="101"/>
          <w:divBdr>
            <w:top w:val="none" w:sz="0" w:space="0" w:color="auto"/>
            <w:left w:val="none" w:sz="0" w:space="0" w:color="auto"/>
            <w:bottom w:val="none" w:sz="0" w:space="0" w:color="auto"/>
            <w:right w:val="none" w:sz="0" w:space="0" w:color="auto"/>
          </w:divBdr>
        </w:div>
        <w:div w:id="729767615">
          <w:marLeft w:val="0"/>
          <w:marRight w:val="0"/>
          <w:marTop w:val="0"/>
          <w:marBottom w:val="101"/>
          <w:divBdr>
            <w:top w:val="none" w:sz="0" w:space="0" w:color="auto"/>
            <w:left w:val="none" w:sz="0" w:space="0" w:color="auto"/>
            <w:bottom w:val="none" w:sz="0" w:space="0" w:color="auto"/>
            <w:right w:val="none" w:sz="0" w:space="0" w:color="auto"/>
          </w:divBdr>
        </w:div>
        <w:div w:id="2071802200">
          <w:marLeft w:val="0"/>
          <w:marRight w:val="0"/>
          <w:marTop w:val="0"/>
          <w:marBottom w:val="101"/>
          <w:divBdr>
            <w:top w:val="none" w:sz="0" w:space="0" w:color="auto"/>
            <w:left w:val="none" w:sz="0" w:space="0" w:color="auto"/>
            <w:bottom w:val="none" w:sz="0" w:space="0" w:color="auto"/>
            <w:right w:val="none" w:sz="0" w:space="0" w:color="auto"/>
          </w:divBdr>
        </w:div>
        <w:div w:id="561254781">
          <w:marLeft w:val="0"/>
          <w:marRight w:val="0"/>
          <w:marTop w:val="0"/>
          <w:marBottom w:val="101"/>
          <w:divBdr>
            <w:top w:val="none" w:sz="0" w:space="0" w:color="auto"/>
            <w:left w:val="none" w:sz="0" w:space="0" w:color="auto"/>
            <w:bottom w:val="none" w:sz="0" w:space="0" w:color="auto"/>
            <w:right w:val="none" w:sz="0" w:space="0" w:color="auto"/>
          </w:divBdr>
        </w:div>
        <w:div w:id="2083209728">
          <w:marLeft w:val="0"/>
          <w:marRight w:val="0"/>
          <w:marTop w:val="0"/>
          <w:marBottom w:val="101"/>
          <w:divBdr>
            <w:top w:val="none" w:sz="0" w:space="0" w:color="auto"/>
            <w:left w:val="none" w:sz="0" w:space="0" w:color="auto"/>
            <w:bottom w:val="none" w:sz="0" w:space="0" w:color="auto"/>
            <w:right w:val="none" w:sz="0" w:space="0" w:color="auto"/>
          </w:divBdr>
        </w:div>
        <w:div w:id="269703502">
          <w:marLeft w:val="0"/>
          <w:marRight w:val="0"/>
          <w:marTop w:val="0"/>
          <w:marBottom w:val="101"/>
          <w:divBdr>
            <w:top w:val="none" w:sz="0" w:space="0" w:color="auto"/>
            <w:left w:val="none" w:sz="0" w:space="0" w:color="auto"/>
            <w:bottom w:val="none" w:sz="0" w:space="0" w:color="auto"/>
            <w:right w:val="none" w:sz="0" w:space="0" w:color="auto"/>
          </w:divBdr>
        </w:div>
        <w:div w:id="427697484">
          <w:marLeft w:val="0"/>
          <w:marRight w:val="0"/>
          <w:marTop w:val="0"/>
          <w:marBottom w:val="101"/>
          <w:divBdr>
            <w:top w:val="none" w:sz="0" w:space="0" w:color="auto"/>
            <w:left w:val="none" w:sz="0" w:space="0" w:color="auto"/>
            <w:bottom w:val="none" w:sz="0" w:space="0" w:color="auto"/>
            <w:right w:val="none" w:sz="0" w:space="0" w:color="auto"/>
          </w:divBdr>
        </w:div>
        <w:div w:id="1949576771">
          <w:marLeft w:val="0"/>
          <w:marRight w:val="0"/>
          <w:marTop w:val="0"/>
          <w:marBottom w:val="101"/>
          <w:divBdr>
            <w:top w:val="none" w:sz="0" w:space="0" w:color="auto"/>
            <w:left w:val="none" w:sz="0" w:space="0" w:color="auto"/>
            <w:bottom w:val="none" w:sz="0" w:space="0" w:color="auto"/>
            <w:right w:val="none" w:sz="0" w:space="0" w:color="auto"/>
          </w:divBdr>
        </w:div>
        <w:div w:id="1144734287">
          <w:marLeft w:val="0"/>
          <w:marRight w:val="0"/>
          <w:marTop w:val="0"/>
          <w:marBottom w:val="101"/>
          <w:divBdr>
            <w:top w:val="none" w:sz="0" w:space="0" w:color="auto"/>
            <w:left w:val="none" w:sz="0" w:space="0" w:color="auto"/>
            <w:bottom w:val="none" w:sz="0" w:space="0" w:color="auto"/>
            <w:right w:val="none" w:sz="0" w:space="0" w:color="auto"/>
          </w:divBdr>
        </w:div>
        <w:div w:id="1992588736">
          <w:marLeft w:val="0"/>
          <w:marRight w:val="0"/>
          <w:marTop w:val="0"/>
          <w:marBottom w:val="101"/>
          <w:divBdr>
            <w:top w:val="none" w:sz="0" w:space="0" w:color="auto"/>
            <w:left w:val="none" w:sz="0" w:space="0" w:color="auto"/>
            <w:bottom w:val="none" w:sz="0" w:space="0" w:color="auto"/>
            <w:right w:val="none" w:sz="0" w:space="0" w:color="auto"/>
          </w:divBdr>
        </w:div>
        <w:div w:id="1797406430">
          <w:marLeft w:val="0"/>
          <w:marRight w:val="0"/>
          <w:marTop w:val="0"/>
          <w:marBottom w:val="101"/>
          <w:divBdr>
            <w:top w:val="none" w:sz="0" w:space="0" w:color="auto"/>
            <w:left w:val="none" w:sz="0" w:space="0" w:color="auto"/>
            <w:bottom w:val="none" w:sz="0" w:space="0" w:color="auto"/>
            <w:right w:val="none" w:sz="0" w:space="0" w:color="auto"/>
          </w:divBdr>
        </w:div>
        <w:div w:id="1509641210">
          <w:marLeft w:val="0"/>
          <w:marRight w:val="0"/>
          <w:marTop w:val="0"/>
          <w:marBottom w:val="101"/>
          <w:divBdr>
            <w:top w:val="none" w:sz="0" w:space="0" w:color="auto"/>
            <w:left w:val="none" w:sz="0" w:space="0" w:color="auto"/>
            <w:bottom w:val="none" w:sz="0" w:space="0" w:color="auto"/>
            <w:right w:val="none" w:sz="0" w:space="0" w:color="auto"/>
          </w:divBdr>
        </w:div>
        <w:div w:id="1212612922">
          <w:marLeft w:val="0"/>
          <w:marRight w:val="0"/>
          <w:marTop w:val="0"/>
          <w:marBottom w:val="101"/>
          <w:divBdr>
            <w:top w:val="none" w:sz="0" w:space="0" w:color="auto"/>
            <w:left w:val="none" w:sz="0" w:space="0" w:color="auto"/>
            <w:bottom w:val="none" w:sz="0" w:space="0" w:color="auto"/>
            <w:right w:val="none" w:sz="0" w:space="0" w:color="auto"/>
          </w:divBdr>
        </w:div>
        <w:div w:id="281617746">
          <w:marLeft w:val="0"/>
          <w:marRight w:val="0"/>
          <w:marTop w:val="0"/>
          <w:marBottom w:val="101"/>
          <w:divBdr>
            <w:top w:val="none" w:sz="0" w:space="0" w:color="auto"/>
            <w:left w:val="none" w:sz="0" w:space="0" w:color="auto"/>
            <w:bottom w:val="none" w:sz="0" w:space="0" w:color="auto"/>
            <w:right w:val="none" w:sz="0" w:space="0" w:color="auto"/>
          </w:divBdr>
        </w:div>
        <w:div w:id="1335650564">
          <w:marLeft w:val="0"/>
          <w:marRight w:val="0"/>
          <w:marTop w:val="0"/>
          <w:marBottom w:val="101"/>
          <w:divBdr>
            <w:top w:val="none" w:sz="0" w:space="0" w:color="auto"/>
            <w:left w:val="none" w:sz="0" w:space="0" w:color="auto"/>
            <w:bottom w:val="none" w:sz="0" w:space="0" w:color="auto"/>
            <w:right w:val="none" w:sz="0" w:space="0" w:color="auto"/>
          </w:divBdr>
        </w:div>
        <w:div w:id="1833139465">
          <w:marLeft w:val="0"/>
          <w:marRight w:val="0"/>
          <w:marTop w:val="0"/>
          <w:marBottom w:val="101"/>
          <w:divBdr>
            <w:top w:val="none" w:sz="0" w:space="0" w:color="auto"/>
            <w:left w:val="none" w:sz="0" w:space="0" w:color="auto"/>
            <w:bottom w:val="none" w:sz="0" w:space="0" w:color="auto"/>
            <w:right w:val="none" w:sz="0" w:space="0" w:color="auto"/>
          </w:divBdr>
        </w:div>
        <w:div w:id="1620409452">
          <w:marLeft w:val="0"/>
          <w:marRight w:val="0"/>
          <w:marTop w:val="0"/>
          <w:marBottom w:val="101"/>
          <w:divBdr>
            <w:top w:val="none" w:sz="0" w:space="0" w:color="auto"/>
            <w:left w:val="none" w:sz="0" w:space="0" w:color="auto"/>
            <w:bottom w:val="none" w:sz="0" w:space="0" w:color="auto"/>
            <w:right w:val="none" w:sz="0" w:space="0" w:color="auto"/>
          </w:divBdr>
        </w:div>
        <w:div w:id="1686707443">
          <w:marLeft w:val="0"/>
          <w:marRight w:val="0"/>
          <w:marTop w:val="0"/>
          <w:marBottom w:val="101"/>
          <w:divBdr>
            <w:top w:val="none" w:sz="0" w:space="0" w:color="auto"/>
            <w:left w:val="none" w:sz="0" w:space="0" w:color="auto"/>
            <w:bottom w:val="none" w:sz="0" w:space="0" w:color="auto"/>
            <w:right w:val="none" w:sz="0" w:space="0" w:color="auto"/>
          </w:divBdr>
        </w:div>
        <w:div w:id="565071075">
          <w:marLeft w:val="0"/>
          <w:marRight w:val="0"/>
          <w:marTop w:val="0"/>
          <w:marBottom w:val="101"/>
          <w:divBdr>
            <w:top w:val="none" w:sz="0" w:space="0" w:color="auto"/>
            <w:left w:val="none" w:sz="0" w:space="0" w:color="auto"/>
            <w:bottom w:val="none" w:sz="0" w:space="0" w:color="auto"/>
            <w:right w:val="none" w:sz="0" w:space="0" w:color="auto"/>
          </w:divBdr>
        </w:div>
        <w:div w:id="1038550022">
          <w:marLeft w:val="0"/>
          <w:marRight w:val="0"/>
          <w:marTop w:val="0"/>
          <w:marBottom w:val="101"/>
          <w:divBdr>
            <w:top w:val="none" w:sz="0" w:space="0" w:color="auto"/>
            <w:left w:val="none" w:sz="0" w:space="0" w:color="auto"/>
            <w:bottom w:val="none" w:sz="0" w:space="0" w:color="auto"/>
            <w:right w:val="none" w:sz="0" w:space="0" w:color="auto"/>
          </w:divBdr>
        </w:div>
        <w:div w:id="1884782353">
          <w:marLeft w:val="0"/>
          <w:marRight w:val="0"/>
          <w:marTop w:val="0"/>
          <w:marBottom w:val="101"/>
          <w:divBdr>
            <w:top w:val="none" w:sz="0" w:space="0" w:color="auto"/>
            <w:left w:val="none" w:sz="0" w:space="0" w:color="auto"/>
            <w:bottom w:val="none" w:sz="0" w:space="0" w:color="auto"/>
            <w:right w:val="none" w:sz="0" w:space="0" w:color="auto"/>
          </w:divBdr>
        </w:div>
        <w:div w:id="1744600841">
          <w:marLeft w:val="0"/>
          <w:marRight w:val="0"/>
          <w:marTop w:val="0"/>
          <w:marBottom w:val="101"/>
          <w:divBdr>
            <w:top w:val="none" w:sz="0" w:space="0" w:color="auto"/>
            <w:left w:val="none" w:sz="0" w:space="0" w:color="auto"/>
            <w:bottom w:val="none" w:sz="0" w:space="0" w:color="auto"/>
            <w:right w:val="none" w:sz="0" w:space="0" w:color="auto"/>
          </w:divBdr>
        </w:div>
        <w:div w:id="601452824">
          <w:marLeft w:val="0"/>
          <w:marRight w:val="0"/>
          <w:marTop w:val="0"/>
          <w:marBottom w:val="101"/>
          <w:divBdr>
            <w:top w:val="none" w:sz="0" w:space="0" w:color="auto"/>
            <w:left w:val="none" w:sz="0" w:space="0" w:color="auto"/>
            <w:bottom w:val="none" w:sz="0" w:space="0" w:color="auto"/>
            <w:right w:val="none" w:sz="0" w:space="0" w:color="auto"/>
          </w:divBdr>
        </w:div>
        <w:div w:id="1113403267">
          <w:marLeft w:val="0"/>
          <w:marRight w:val="0"/>
          <w:marTop w:val="0"/>
          <w:marBottom w:val="101"/>
          <w:divBdr>
            <w:top w:val="none" w:sz="0" w:space="0" w:color="auto"/>
            <w:left w:val="none" w:sz="0" w:space="0" w:color="auto"/>
            <w:bottom w:val="none" w:sz="0" w:space="0" w:color="auto"/>
            <w:right w:val="none" w:sz="0" w:space="0" w:color="auto"/>
          </w:divBdr>
        </w:div>
        <w:div w:id="1408384114">
          <w:marLeft w:val="0"/>
          <w:marRight w:val="0"/>
          <w:marTop w:val="0"/>
          <w:marBottom w:val="101"/>
          <w:divBdr>
            <w:top w:val="none" w:sz="0" w:space="0" w:color="auto"/>
            <w:left w:val="none" w:sz="0" w:space="0" w:color="auto"/>
            <w:bottom w:val="none" w:sz="0" w:space="0" w:color="auto"/>
            <w:right w:val="none" w:sz="0" w:space="0" w:color="auto"/>
          </w:divBdr>
        </w:div>
        <w:div w:id="95030239">
          <w:marLeft w:val="0"/>
          <w:marRight w:val="0"/>
          <w:marTop w:val="0"/>
          <w:marBottom w:val="101"/>
          <w:divBdr>
            <w:top w:val="none" w:sz="0" w:space="0" w:color="auto"/>
            <w:left w:val="none" w:sz="0" w:space="0" w:color="auto"/>
            <w:bottom w:val="none" w:sz="0" w:space="0" w:color="auto"/>
            <w:right w:val="none" w:sz="0" w:space="0" w:color="auto"/>
          </w:divBdr>
        </w:div>
        <w:div w:id="121267999">
          <w:marLeft w:val="0"/>
          <w:marRight w:val="0"/>
          <w:marTop w:val="0"/>
          <w:marBottom w:val="101"/>
          <w:divBdr>
            <w:top w:val="none" w:sz="0" w:space="0" w:color="auto"/>
            <w:left w:val="none" w:sz="0" w:space="0" w:color="auto"/>
            <w:bottom w:val="none" w:sz="0" w:space="0" w:color="auto"/>
            <w:right w:val="none" w:sz="0" w:space="0" w:color="auto"/>
          </w:divBdr>
        </w:div>
        <w:div w:id="930358250">
          <w:marLeft w:val="0"/>
          <w:marRight w:val="0"/>
          <w:marTop w:val="0"/>
          <w:marBottom w:val="101"/>
          <w:divBdr>
            <w:top w:val="none" w:sz="0" w:space="0" w:color="auto"/>
            <w:left w:val="none" w:sz="0" w:space="0" w:color="auto"/>
            <w:bottom w:val="none" w:sz="0" w:space="0" w:color="auto"/>
            <w:right w:val="none" w:sz="0" w:space="0" w:color="auto"/>
          </w:divBdr>
        </w:div>
        <w:div w:id="1422094944">
          <w:marLeft w:val="0"/>
          <w:marRight w:val="0"/>
          <w:marTop w:val="0"/>
          <w:marBottom w:val="101"/>
          <w:divBdr>
            <w:top w:val="none" w:sz="0" w:space="0" w:color="auto"/>
            <w:left w:val="none" w:sz="0" w:space="0" w:color="auto"/>
            <w:bottom w:val="none" w:sz="0" w:space="0" w:color="auto"/>
            <w:right w:val="none" w:sz="0" w:space="0" w:color="auto"/>
          </w:divBdr>
        </w:div>
        <w:div w:id="39595722">
          <w:marLeft w:val="0"/>
          <w:marRight w:val="0"/>
          <w:marTop w:val="0"/>
          <w:marBottom w:val="101"/>
          <w:divBdr>
            <w:top w:val="none" w:sz="0" w:space="0" w:color="auto"/>
            <w:left w:val="none" w:sz="0" w:space="0" w:color="auto"/>
            <w:bottom w:val="none" w:sz="0" w:space="0" w:color="auto"/>
            <w:right w:val="none" w:sz="0" w:space="0" w:color="auto"/>
          </w:divBdr>
        </w:div>
        <w:div w:id="340007040">
          <w:marLeft w:val="0"/>
          <w:marRight w:val="0"/>
          <w:marTop w:val="0"/>
          <w:marBottom w:val="101"/>
          <w:divBdr>
            <w:top w:val="none" w:sz="0" w:space="0" w:color="auto"/>
            <w:left w:val="none" w:sz="0" w:space="0" w:color="auto"/>
            <w:bottom w:val="none" w:sz="0" w:space="0" w:color="auto"/>
            <w:right w:val="none" w:sz="0" w:space="0" w:color="auto"/>
          </w:divBdr>
        </w:div>
        <w:div w:id="2084375889">
          <w:marLeft w:val="0"/>
          <w:marRight w:val="0"/>
          <w:marTop w:val="0"/>
          <w:marBottom w:val="101"/>
          <w:divBdr>
            <w:top w:val="none" w:sz="0" w:space="0" w:color="auto"/>
            <w:left w:val="none" w:sz="0" w:space="0" w:color="auto"/>
            <w:bottom w:val="none" w:sz="0" w:space="0" w:color="auto"/>
            <w:right w:val="none" w:sz="0" w:space="0" w:color="auto"/>
          </w:divBdr>
        </w:div>
        <w:div w:id="1677732933">
          <w:marLeft w:val="0"/>
          <w:marRight w:val="0"/>
          <w:marTop w:val="0"/>
          <w:marBottom w:val="101"/>
          <w:divBdr>
            <w:top w:val="none" w:sz="0" w:space="0" w:color="auto"/>
            <w:left w:val="none" w:sz="0" w:space="0" w:color="auto"/>
            <w:bottom w:val="none" w:sz="0" w:space="0" w:color="auto"/>
            <w:right w:val="none" w:sz="0" w:space="0" w:color="auto"/>
          </w:divBdr>
        </w:div>
        <w:div w:id="1635865480">
          <w:marLeft w:val="0"/>
          <w:marRight w:val="0"/>
          <w:marTop w:val="0"/>
          <w:marBottom w:val="101"/>
          <w:divBdr>
            <w:top w:val="none" w:sz="0" w:space="0" w:color="auto"/>
            <w:left w:val="none" w:sz="0" w:space="0" w:color="auto"/>
            <w:bottom w:val="none" w:sz="0" w:space="0" w:color="auto"/>
            <w:right w:val="none" w:sz="0" w:space="0" w:color="auto"/>
          </w:divBdr>
        </w:div>
        <w:div w:id="507527143">
          <w:marLeft w:val="0"/>
          <w:marRight w:val="0"/>
          <w:marTop w:val="0"/>
          <w:marBottom w:val="101"/>
          <w:divBdr>
            <w:top w:val="none" w:sz="0" w:space="0" w:color="auto"/>
            <w:left w:val="none" w:sz="0" w:space="0" w:color="auto"/>
            <w:bottom w:val="none" w:sz="0" w:space="0" w:color="auto"/>
            <w:right w:val="none" w:sz="0" w:space="0" w:color="auto"/>
          </w:divBdr>
        </w:div>
        <w:div w:id="522592584">
          <w:marLeft w:val="0"/>
          <w:marRight w:val="0"/>
          <w:marTop w:val="0"/>
          <w:marBottom w:val="101"/>
          <w:divBdr>
            <w:top w:val="none" w:sz="0" w:space="0" w:color="auto"/>
            <w:left w:val="none" w:sz="0" w:space="0" w:color="auto"/>
            <w:bottom w:val="none" w:sz="0" w:space="0" w:color="auto"/>
            <w:right w:val="none" w:sz="0" w:space="0" w:color="auto"/>
          </w:divBdr>
        </w:div>
        <w:div w:id="1723945788">
          <w:marLeft w:val="0"/>
          <w:marRight w:val="0"/>
          <w:marTop w:val="0"/>
          <w:marBottom w:val="101"/>
          <w:divBdr>
            <w:top w:val="none" w:sz="0" w:space="0" w:color="auto"/>
            <w:left w:val="none" w:sz="0" w:space="0" w:color="auto"/>
            <w:bottom w:val="none" w:sz="0" w:space="0" w:color="auto"/>
            <w:right w:val="none" w:sz="0" w:space="0" w:color="auto"/>
          </w:divBdr>
        </w:div>
        <w:div w:id="917860144">
          <w:marLeft w:val="0"/>
          <w:marRight w:val="0"/>
          <w:marTop w:val="0"/>
          <w:marBottom w:val="101"/>
          <w:divBdr>
            <w:top w:val="none" w:sz="0" w:space="0" w:color="auto"/>
            <w:left w:val="none" w:sz="0" w:space="0" w:color="auto"/>
            <w:bottom w:val="none" w:sz="0" w:space="0" w:color="auto"/>
            <w:right w:val="none" w:sz="0" w:space="0" w:color="auto"/>
          </w:divBdr>
        </w:div>
        <w:div w:id="647246405">
          <w:marLeft w:val="0"/>
          <w:marRight w:val="0"/>
          <w:marTop w:val="0"/>
          <w:marBottom w:val="101"/>
          <w:divBdr>
            <w:top w:val="none" w:sz="0" w:space="0" w:color="auto"/>
            <w:left w:val="none" w:sz="0" w:space="0" w:color="auto"/>
            <w:bottom w:val="none" w:sz="0" w:space="0" w:color="auto"/>
            <w:right w:val="none" w:sz="0" w:space="0" w:color="auto"/>
          </w:divBdr>
        </w:div>
        <w:div w:id="598179395">
          <w:marLeft w:val="0"/>
          <w:marRight w:val="0"/>
          <w:marTop w:val="0"/>
          <w:marBottom w:val="101"/>
          <w:divBdr>
            <w:top w:val="none" w:sz="0" w:space="0" w:color="auto"/>
            <w:left w:val="none" w:sz="0" w:space="0" w:color="auto"/>
            <w:bottom w:val="none" w:sz="0" w:space="0" w:color="auto"/>
            <w:right w:val="none" w:sz="0" w:space="0" w:color="auto"/>
          </w:divBdr>
        </w:div>
        <w:div w:id="1418677391">
          <w:marLeft w:val="0"/>
          <w:marRight w:val="0"/>
          <w:marTop w:val="0"/>
          <w:marBottom w:val="101"/>
          <w:divBdr>
            <w:top w:val="none" w:sz="0" w:space="0" w:color="auto"/>
            <w:left w:val="none" w:sz="0" w:space="0" w:color="auto"/>
            <w:bottom w:val="none" w:sz="0" w:space="0" w:color="auto"/>
            <w:right w:val="none" w:sz="0" w:space="0" w:color="auto"/>
          </w:divBdr>
        </w:div>
        <w:div w:id="434324867">
          <w:marLeft w:val="0"/>
          <w:marRight w:val="0"/>
          <w:marTop w:val="0"/>
          <w:marBottom w:val="90"/>
          <w:divBdr>
            <w:top w:val="none" w:sz="0" w:space="0" w:color="auto"/>
            <w:left w:val="none" w:sz="0" w:space="0" w:color="auto"/>
            <w:bottom w:val="none" w:sz="0" w:space="0" w:color="auto"/>
            <w:right w:val="none" w:sz="0" w:space="0" w:color="auto"/>
          </w:divBdr>
        </w:div>
        <w:div w:id="1257439578">
          <w:marLeft w:val="0"/>
          <w:marRight w:val="0"/>
          <w:marTop w:val="0"/>
          <w:marBottom w:val="90"/>
          <w:divBdr>
            <w:top w:val="none" w:sz="0" w:space="0" w:color="auto"/>
            <w:left w:val="none" w:sz="0" w:space="0" w:color="auto"/>
            <w:bottom w:val="none" w:sz="0" w:space="0" w:color="auto"/>
            <w:right w:val="none" w:sz="0" w:space="0" w:color="auto"/>
          </w:divBdr>
        </w:div>
        <w:div w:id="1333026457">
          <w:marLeft w:val="0"/>
          <w:marRight w:val="0"/>
          <w:marTop w:val="0"/>
          <w:marBottom w:val="90"/>
          <w:divBdr>
            <w:top w:val="none" w:sz="0" w:space="0" w:color="auto"/>
            <w:left w:val="none" w:sz="0" w:space="0" w:color="auto"/>
            <w:bottom w:val="none" w:sz="0" w:space="0" w:color="auto"/>
            <w:right w:val="none" w:sz="0" w:space="0" w:color="auto"/>
          </w:divBdr>
        </w:div>
        <w:div w:id="1250383837">
          <w:marLeft w:val="0"/>
          <w:marRight w:val="0"/>
          <w:marTop w:val="0"/>
          <w:marBottom w:val="90"/>
          <w:divBdr>
            <w:top w:val="none" w:sz="0" w:space="0" w:color="auto"/>
            <w:left w:val="none" w:sz="0" w:space="0" w:color="auto"/>
            <w:bottom w:val="none" w:sz="0" w:space="0" w:color="auto"/>
            <w:right w:val="none" w:sz="0" w:space="0" w:color="auto"/>
          </w:divBdr>
        </w:div>
        <w:div w:id="1801609355">
          <w:marLeft w:val="0"/>
          <w:marRight w:val="0"/>
          <w:marTop w:val="0"/>
          <w:marBottom w:val="90"/>
          <w:divBdr>
            <w:top w:val="none" w:sz="0" w:space="0" w:color="auto"/>
            <w:left w:val="none" w:sz="0" w:space="0" w:color="auto"/>
            <w:bottom w:val="none" w:sz="0" w:space="0" w:color="auto"/>
            <w:right w:val="none" w:sz="0" w:space="0" w:color="auto"/>
          </w:divBdr>
        </w:div>
        <w:div w:id="1508867499">
          <w:marLeft w:val="0"/>
          <w:marRight w:val="0"/>
          <w:marTop w:val="0"/>
          <w:marBottom w:val="90"/>
          <w:divBdr>
            <w:top w:val="none" w:sz="0" w:space="0" w:color="auto"/>
            <w:left w:val="none" w:sz="0" w:space="0" w:color="auto"/>
            <w:bottom w:val="none" w:sz="0" w:space="0" w:color="auto"/>
            <w:right w:val="none" w:sz="0" w:space="0" w:color="auto"/>
          </w:divBdr>
        </w:div>
        <w:div w:id="900405839">
          <w:marLeft w:val="0"/>
          <w:marRight w:val="0"/>
          <w:marTop w:val="0"/>
          <w:marBottom w:val="90"/>
          <w:divBdr>
            <w:top w:val="none" w:sz="0" w:space="0" w:color="auto"/>
            <w:left w:val="none" w:sz="0" w:space="0" w:color="auto"/>
            <w:bottom w:val="none" w:sz="0" w:space="0" w:color="auto"/>
            <w:right w:val="none" w:sz="0" w:space="0" w:color="auto"/>
          </w:divBdr>
        </w:div>
        <w:div w:id="1206483305">
          <w:marLeft w:val="0"/>
          <w:marRight w:val="0"/>
          <w:marTop w:val="0"/>
          <w:marBottom w:val="90"/>
          <w:divBdr>
            <w:top w:val="none" w:sz="0" w:space="0" w:color="auto"/>
            <w:left w:val="none" w:sz="0" w:space="0" w:color="auto"/>
            <w:bottom w:val="none" w:sz="0" w:space="0" w:color="auto"/>
            <w:right w:val="none" w:sz="0" w:space="0" w:color="auto"/>
          </w:divBdr>
        </w:div>
        <w:div w:id="1809007733">
          <w:marLeft w:val="0"/>
          <w:marRight w:val="0"/>
          <w:marTop w:val="0"/>
          <w:marBottom w:val="90"/>
          <w:divBdr>
            <w:top w:val="none" w:sz="0" w:space="0" w:color="auto"/>
            <w:left w:val="none" w:sz="0" w:space="0" w:color="auto"/>
            <w:bottom w:val="none" w:sz="0" w:space="0" w:color="auto"/>
            <w:right w:val="none" w:sz="0" w:space="0" w:color="auto"/>
          </w:divBdr>
        </w:div>
        <w:div w:id="1395396902">
          <w:marLeft w:val="0"/>
          <w:marRight w:val="0"/>
          <w:marTop w:val="0"/>
          <w:marBottom w:val="90"/>
          <w:divBdr>
            <w:top w:val="none" w:sz="0" w:space="0" w:color="auto"/>
            <w:left w:val="none" w:sz="0" w:space="0" w:color="auto"/>
            <w:bottom w:val="none" w:sz="0" w:space="0" w:color="auto"/>
            <w:right w:val="none" w:sz="0" w:space="0" w:color="auto"/>
          </w:divBdr>
        </w:div>
        <w:div w:id="1851261379">
          <w:marLeft w:val="0"/>
          <w:marRight w:val="0"/>
          <w:marTop w:val="0"/>
          <w:marBottom w:val="90"/>
          <w:divBdr>
            <w:top w:val="none" w:sz="0" w:space="0" w:color="auto"/>
            <w:left w:val="none" w:sz="0" w:space="0" w:color="auto"/>
            <w:bottom w:val="none" w:sz="0" w:space="0" w:color="auto"/>
            <w:right w:val="none" w:sz="0" w:space="0" w:color="auto"/>
          </w:divBdr>
        </w:div>
        <w:div w:id="793400524">
          <w:marLeft w:val="0"/>
          <w:marRight w:val="0"/>
          <w:marTop w:val="0"/>
          <w:marBottom w:val="90"/>
          <w:divBdr>
            <w:top w:val="none" w:sz="0" w:space="0" w:color="auto"/>
            <w:left w:val="none" w:sz="0" w:space="0" w:color="auto"/>
            <w:bottom w:val="none" w:sz="0" w:space="0" w:color="auto"/>
            <w:right w:val="none" w:sz="0" w:space="0" w:color="auto"/>
          </w:divBdr>
        </w:div>
        <w:div w:id="861624021">
          <w:marLeft w:val="0"/>
          <w:marRight w:val="0"/>
          <w:marTop w:val="0"/>
          <w:marBottom w:val="90"/>
          <w:divBdr>
            <w:top w:val="none" w:sz="0" w:space="0" w:color="auto"/>
            <w:left w:val="none" w:sz="0" w:space="0" w:color="auto"/>
            <w:bottom w:val="none" w:sz="0" w:space="0" w:color="auto"/>
            <w:right w:val="none" w:sz="0" w:space="0" w:color="auto"/>
          </w:divBdr>
        </w:div>
        <w:div w:id="942810098">
          <w:marLeft w:val="0"/>
          <w:marRight w:val="0"/>
          <w:marTop w:val="0"/>
          <w:marBottom w:val="90"/>
          <w:divBdr>
            <w:top w:val="none" w:sz="0" w:space="0" w:color="auto"/>
            <w:left w:val="none" w:sz="0" w:space="0" w:color="auto"/>
            <w:bottom w:val="none" w:sz="0" w:space="0" w:color="auto"/>
            <w:right w:val="none" w:sz="0" w:space="0" w:color="auto"/>
          </w:divBdr>
        </w:div>
        <w:div w:id="222328073">
          <w:marLeft w:val="0"/>
          <w:marRight w:val="0"/>
          <w:marTop w:val="0"/>
          <w:marBottom w:val="90"/>
          <w:divBdr>
            <w:top w:val="none" w:sz="0" w:space="0" w:color="auto"/>
            <w:left w:val="none" w:sz="0" w:space="0" w:color="auto"/>
            <w:bottom w:val="none" w:sz="0" w:space="0" w:color="auto"/>
            <w:right w:val="none" w:sz="0" w:space="0" w:color="auto"/>
          </w:divBdr>
        </w:div>
        <w:div w:id="2126192863">
          <w:marLeft w:val="0"/>
          <w:marRight w:val="0"/>
          <w:marTop w:val="0"/>
          <w:marBottom w:val="90"/>
          <w:divBdr>
            <w:top w:val="none" w:sz="0" w:space="0" w:color="auto"/>
            <w:left w:val="none" w:sz="0" w:space="0" w:color="auto"/>
            <w:bottom w:val="none" w:sz="0" w:space="0" w:color="auto"/>
            <w:right w:val="none" w:sz="0" w:space="0" w:color="auto"/>
          </w:divBdr>
        </w:div>
        <w:div w:id="774594160">
          <w:marLeft w:val="0"/>
          <w:marRight w:val="0"/>
          <w:marTop w:val="0"/>
          <w:marBottom w:val="90"/>
          <w:divBdr>
            <w:top w:val="none" w:sz="0" w:space="0" w:color="auto"/>
            <w:left w:val="none" w:sz="0" w:space="0" w:color="auto"/>
            <w:bottom w:val="none" w:sz="0" w:space="0" w:color="auto"/>
            <w:right w:val="none" w:sz="0" w:space="0" w:color="auto"/>
          </w:divBdr>
        </w:div>
        <w:div w:id="435830563">
          <w:marLeft w:val="0"/>
          <w:marRight w:val="0"/>
          <w:marTop w:val="0"/>
          <w:marBottom w:val="90"/>
          <w:divBdr>
            <w:top w:val="none" w:sz="0" w:space="0" w:color="auto"/>
            <w:left w:val="none" w:sz="0" w:space="0" w:color="auto"/>
            <w:bottom w:val="none" w:sz="0" w:space="0" w:color="auto"/>
            <w:right w:val="none" w:sz="0" w:space="0" w:color="auto"/>
          </w:divBdr>
        </w:div>
        <w:div w:id="896282410">
          <w:marLeft w:val="0"/>
          <w:marRight w:val="0"/>
          <w:marTop w:val="0"/>
          <w:marBottom w:val="90"/>
          <w:divBdr>
            <w:top w:val="none" w:sz="0" w:space="0" w:color="auto"/>
            <w:left w:val="none" w:sz="0" w:space="0" w:color="auto"/>
            <w:bottom w:val="none" w:sz="0" w:space="0" w:color="auto"/>
            <w:right w:val="none" w:sz="0" w:space="0" w:color="auto"/>
          </w:divBdr>
        </w:div>
        <w:div w:id="1951427066">
          <w:marLeft w:val="0"/>
          <w:marRight w:val="0"/>
          <w:marTop w:val="0"/>
          <w:marBottom w:val="90"/>
          <w:divBdr>
            <w:top w:val="none" w:sz="0" w:space="0" w:color="auto"/>
            <w:left w:val="none" w:sz="0" w:space="0" w:color="auto"/>
            <w:bottom w:val="none" w:sz="0" w:space="0" w:color="auto"/>
            <w:right w:val="none" w:sz="0" w:space="0" w:color="auto"/>
          </w:divBdr>
        </w:div>
        <w:div w:id="822359274">
          <w:marLeft w:val="0"/>
          <w:marRight w:val="0"/>
          <w:marTop w:val="0"/>
          <w:marBottom w:val="90"/>
          <w:divBdr>
            <w:top w:val="none" w:sz="0" w:space="0" w:color="auto"/>
            <w:left w:val="none" w:sz="0" w:space="0" w:color="auto"/>
            <w:bottom w:val="none" w:sz="0" w:space="0" w:color="auto"/>
            <w:right w:val="none" w:sz="0" w:space="0" w:color="auto"/>
          </w:divBdr>
        </w:div>
        <w:div w:id="312416111">
          <w:marLeft w:val="0"/>
          <w:marRight w:val="0"/>
          <w:marTop w:val="0"/>
          <w:marBottom w:val="90"/>
          <w:divBdr>
            <w:top w:val="none" w:sz="0" w:space="0" w:color="auto"/>
            <w:left w:val="none" w:sz="0" w:space="0" w:color="auto"/>
            <w:bottom w:val="none" w:sz="0" w:space="0" w:color="auto"/>
            <w:right w:val="none" w:sz="0" w:space="0" w:color="auto"/>
          </w:divBdr>
        </w:div>
        <w:div w:id="2062290269">
          <w:marLeft w:val="0"/>
          <w:marRight w:val="0"/>
          <w:marTop w:val="0"/>
          <w:marBottom w:val="90"/>
          <w:divBdr>
            <w:top w:val="none" w:sz="0" w:space="0" w:color="auto"/>
            <w:left w:val="none" w:sz="0" w:space="0" w:color="auto"/>
            <w:bottom w:val="none" w:sz="0" w:space="0" w:color="auto"/>
            <w:right w:val="none" w:sz="0" w:space="0" w:color="auto"/>
          </w:divBdr>
        </w:div>
        <w:div w:id="894897416">
          <w:marLeft w:val="0"/>
          <w:marRight w:val="0"/>
          <w:marTop w:val="0"/>
          <w:marBottom w:val="90"/>
          <w:divBdr>
            <w:top w:val="none" w:sz="0" w:space="0" w:color="auto"/>
            <w:left w:val="none" w:sz="0" w:space="0" w:color="auto"/>
            <w:bottom w:val="none" w:sz="0" w:space="0" w:color="auto"/>
            <w:right w:val="none" w:sz="0" w:space="0" w:color="auto"/>
          </w:divBdr>
        </w:div>
        <w:div w:id="1948809490">
          <w:marLeft w:val="0"/>
          <w:marRight w:val="0"/>
          <w:marTop w:val="0"/>
          <w:marBottom w:val="90"/>
          <w:divBdr>
            <w:top w:val="none" w:sz="0" w:space="0" w:color="auto"/>
            <w:left w:val="none" w:sz="0" w:space="0" w:color="auto"/>
            <w:bottom w:val="none" w:sz="0" w:space="0" w:color="auto"/>
            <w:right w:val="none" w:sz="0" w:space="0" w:color="auto"/>
          </w:divBdr>
        </w:div>
        <w:div w:id="1375740641">
          <w:marLeft w:val="0"/>
          <w:marRight w:val="0"/>
          <w:marTop w:val="0"/>
          <w:marBottom w:val="90"/>
          <w:divBdr>
            <w:top w:val="none" w:sz="0" w:space="0" w:color="auto"/>
            <w:left w:val="none" w:sz="0" w:space="0" w:color="auto"/>
            <w:bottom w:val="none" w:sz="0" w:space="0" w:color="auto"/>
            <w:right w:val="none" w:sz="0" w:space="0" w:color="auto"/>
          </w:divBdr>
        </w:div>
        <w:div w:id="609818167">
          <w:marLeft w:val="0"/>
          <w:marRight w:val="0"/>
          <w:marTop w:val="0"/>
          <w:marBottom w:val="90"/>
          <w:divBdr>
            <w:top w:val="none" w:sz="0" w:space="0" w:color="auto"/>
            <w:left w:val="none" w:sz="0" w:space="0" w:color="auto"/>
            <w:bottom w:val="none" w:sz="0" w:space="0" w:color="auto"/>
            <w:right w:val="none" w:sz="0" w:space="0" w:color="auto"/>
          </w:divBdr>
        </w:div>
        <w:div w:id="1367751500">
          <w:marLeft w:val="0"/>
          <w:marRight w:val="0"/>
          <w:marTop w:val="0"/>
          <w:marBottom w:val="90"/>
          <w:divBdr>
            <w:top w:val="none" w:sz="0" w:space="0" w:color="auto"/>
            <w:left w:val="none" w:sz="0" w:space="0" w:color="auto"/>
            <w:bottom w:val="none" w:sz="0" w:space="0" w:color="auto"/>
            <w:right w:val="none" w:sz="0" w:space="0" w:color="auto"/>
          </w:divBdr>
        </w:div>
        <w:div w:id="1689211635">
          <w:marLeft w:val="0"/>
          <w:marRight w:val="0"/>
          <w:marTop w:val="0"/>
          <w:marBottom w:val="90"/>
          <w:divBdr>
            <w:top w:val="none" w:sz="0" w:space="0" w:color="auto"/>
            <w:left w:val="none" w:sz="0" w:space="0" w:color="auto"/>
            <w:bottom w:val="none" w:sz="0" w:space="0" w:color="auto"/>
            <w:right w:val="none" w:sz="0" w:space="0" w:color="auto"/>
          </w:divBdr>
        </w:div>
        <w:div w:id="1119104010">
          <w:marLeft w:val="0"/>
          <w:marRight w:val="0"/>
          <w:marTop w:val="0"/>
          <w:marBottom w:val="90"/>
          <w:divBdr>
            <w:top w:val="none" w:sz="0" w:space="0" w:color="auto"/>
            <w:left w:val="none" w:sz="0" w:space="0" w:color="auto"/>
            <w:bottom w:val="none" w:sz="0" w:space="0" w:color="auto"/>
            <w:right w:val="none" w:sz="0" w:space="0" w:color="auto"/>
          </w:divBdr>
        </w:div>
        <w:div w:id="427585554">
          <w:marLeft w:val="0"/>
          <w:marRight w:val="0"/>
          <w:marTop w:val="0"/>
          <w:marBottom w:val="90"/>
          <w:divBdr>
            <w:top w:val="none" w:sz="0" w:space="0" w:color="auto"/>
            <w:left w:val="none" w:sz="0" w:space="0" w:color="auto"/>
            <w:bottom w:val="none" w:sz="0" w:space="0" w:color="auto"/>
            <w:right w:val="none" w:sz="0" w:space="0" w:color="auto"/>
          </w:divBdr>
        </w:div>
        <w:div w:id="130638095">
          <w:marLeft w:val="0"/>
          <w:marRight w:val="0"/>
          <w:marTop w:val="0"/>
          <w:marBottom w:val="90"/>
          <w:divBdr>
            <w:top w:val="none" w:sz="0" w:space="0" w:color="auto"/>
            <w:left w:val="none" w:sz="0" w:space="0" w:color="auto"/>
            <w:bottom w:val="none" w:sz="0" w:space="0" w:color="auto"/>
            <w:right w:val="none" w:sz="0" w:space="0" w:color="auto"/>
          </w:divBdr>
        </w:div>
        <w:div w:id="639312605">
          <w:marLeft w:val="0"/>
          <w:marRight w:val="0"/>
          <w:marTop w:val="0"/>
          <w:marBottom w:val="90"/>
          <w:divBdr>
            <w:top w:val="none" w:sz="0" w:space="0" w:color="auto"/>
            <w:left w:val="none" w:sz="0" w:space="0" w:color="auto"/>
            <w:bottom w:val="none" w:sz="0" w:space="0" w:color="auto"/>
            <w:right w:val="none" w:sz="0" w:space="0" w:color="auto"/>
          </w:divBdr>
        </w:div>
        <w:div w:id="113065363">
          <w:marLeft w:val="0"/>
          <w:marRight w:val="0"/>
          <w:marTop w:val="0"/>
          <w:marBottom w:val="90"/>
          <w:divBdr>
            <w:top w:val="none" w:sz="0" w:space="0" w:color="auto"/>
            <w:left w:val="none" w:sz="0" w:space="0" w:color="auto"/>
            <w:bottom w:val="none" w:sz="0" w:space="0" w:color="auto"/>
            <w:right w:val="none" w:sz="0" w:space="0" w:color="auto"/>
          </w:divBdr>
        </w:div>
        <w:div w:id="1136678584">
          <w:marLeft w:val="0"/>
          <w:marRight w:val="0"/>
          <w:marTop w:val="0"/>
          <w:marBottom w:val="90"/>
          <w:divBdr>
            <w:top w:val="none" w:sz="0" w:space="0" w:color="auto"/>
            <w:left w:val="none" w:sz="0" w:space="0" w:color="auto"/>
            <w:bottom w:val="none" w:sz="0" w:space="0" w:color="auto"/>
            <w:right w:val="none" w:sz="0" w:space="0" w:color="auto"/>
          </w:divBdr>
        </w:div>
        <w:div w:id="1816295463">
          <w:marLeft w:val="0"/>
          <w:marRight w:val="0"/>
          <w:marTop w:val="0"/>
          <w:marBottom w:val="90"/>
          <w:divBdr>
            <w:top w:val="none" w:sz="0" w:space="0" w:color="auto"/>
            <w:left w:val="none" w:sz="0" w:space="0" w:color="auto"/>
            <w:bottom w:val="none" w:sz="0" w:space="0" w:color="auto"/>
            <w:right w:val="none" w:sz="0" w:space="0" w:color="auto"/>
          </w:divBdr>
        </w:div>
        <w:div w:id="130294381">
          <w:marLeft w:val="0"/>
          <w:marRight w:val="0"/>
          <w:marTop w:val="0"/>
          <w:marBottom w:val="101"/>
          <w:divBdr>
            <w:top w:val="none" w:sz="0" w:space="0" w:color="auto"/>
            <w:left w:val="none" w:sz="0" w:space="0" w:color="auto"/>
            <w:bottom w:val="none" w:sz="0" w:space="0" w:color="auto"/>
            <w:right w:val="none" w:sz="0" w:space="0" w:color="auto"/>
          </w:divBdr>
        </w:div>
        <w:div w:id="1259174966">
          <w:marLeft w:val="0"/>
          <w:marRight w:val="0"/>
          <w:marTop w:val="0"/>
          <w:marBottom w:val="101"/>
          <w:divBdr>
            <w:top w:val="none" w:sz="0" w:space="0" w:color="auto"/>
            <w:left w:val="none" w:sz="0" w:space="0" w:color="auto"/>
            <w:bottom w:val="none" w:sz="0" w:space="0" w:color="auto"/>
            <w:right w:val="none" w:sz="0" w:space="0" w:color="auto"/>
          </w:divBdr>
        </w:div>
        <w:div w:id="1180775669">
          <w:marLeft w:val="0"/>
          <w:marRight w:val="0"/>
          <w:marTop w:val="0"/>
          <w:marBottom w:val="101"/>
          <w:divBdr>
            <w:top w:val="none" w:sz="0" w:space="0" w:color="auto"/>
            <w:left w:val="none" w:sz="0" w:space="0" w:color="auto"/>
            <w:bottom w:val="none" w:sz="0" w:space="0" w:color="auto"/>
            <w:right w:val="none" w:sz="0" w:space="0" w:color="auto"/>
          </w:divBdr>
        </w:div>
        <w:div w:id="1028291259">
          <w:marLeft w:val="0"/>
          <w:marRight w:val="0"/>
          <w:marTop w:val="0"/>
          <w:marBottom w:val="101"/>
          <w:divBdr>
            <w:top w:val="none" w:sz="0" w:space="0" w:color="auto"/>
            <w:left w:val="none" w:sz="0" w:space="0" w:color="auto"/>
            <w:bottom w:val="none" w:sz="0" w:space="0" w:color="auto"/>
            <w:right w:val="none" w:sz="0" w:space="0" w:color="auto"/>
          </w:divBdr>
        </w:div>
        <w:div w:id="1938055947">
          <w:marLeft w:val="0"/>
          <w:marRight w:val="0"/>
          <w:marTop w:val="0"/>
          <w:marBottom w:val="101"/>
          <w:divBdr>
            <w:top w:val="none" w:sz="0" w:space="0" w:color="auto"/>
            <w:left w:val="none" w:sz="0" w:space="0" w:color="auto"/>
            <w:bottom w:val="none" w:sz="0" w:space="0" w:color="auto"/>
            <w:right w:val="none" w:sz="0" w:space="0" w:color="auto"/>
          </w:divBdr>
        </w:div>
        <w:div w:id="1221401886">
          <w:marLeft w:val="0"/>
          <w:marRight w:val="0"/>
          <w:marTop w:val="0"/>
          <w:marBottom w:val="101"/>
          <w:divBdr>
            <w:top w:val="none" w:sz="0" w:space="0" w:color="auto"/>
            <w:left w:val="none" w:sz="0" w:space="0" w:color="auto"/>
            <w:bottom w:val="none" w:sz="0" w:space="0" w:color="auto"/>
            <w:right w:val="none" w:sz="0" w:space="0" w:color="auto"/>
          </w:divBdr>
        </w:div>
        <w:div w:id="462501965">
          <w:marLeft w:val="0"/>
          <w:marRight w:val="0"/>
          <w:marTop w:val="0"/>
          <w:marBottom w:val="101"/>
          <w:divBdr>
            <w:top w:val="none" w:sz="0" w:space="0" w:color="auto"/>
            <w:left w:val="none" w:sz="0" w:space="0" w:color="auto"/>
            <w:bottom w:val="none" w:sz="0" w:space="0" w:color="auto"/>
            <w:right w:val="none" w:sz="0" w:space="0" w:color="auto"/>
          </w:divBdr>
        </w:div>
        <w:div w:id="23019830">
          <w:marLeft w:val="0"/>
          <w:marRight w:val="0"/>
          <w:marTop w:val="0"/>
          <w:marBottom w:val="101"/>
          <w:divBdr>
            <w:top w:val="none" w:sz="0" w:space="0" w:color="auto"/>
            <w:left w:val="none" w:sz="0" w:space="0" w:color="auto"/>
            <w:bottom w:val="none" w:sz="0" w:space="0" w:color="auto"/>
            <w:right w:val="none" w:sz="0" w:space="0" w:color="auto"/>
          </w:divBdr>
        </w:div>
        <w:div w:id="1343630980">
          <w:marLeft w:val="0"/>
          <w:marRight w:val="0"/>
          <w:marTop w:val="0"/>
          <w:marBottom w:val="101"/>
          <w:divBdr>
            <w:top w:val="none" w:sz="0" w:space="0" w:color="auto"/>
            <w:left w:val="none" w:sz="0" w:space="0" w:color="auto"/>
            <w:bottom w:val="none" w:sz="0" w:space="0" w:color="auto"/>
            <w:right w:val="none" w:sz="0" w:space="0" w:color="auto"/>
          </w:divBdr>
        </w:div>
        <w:div w:id="567764837">
          <w:marLeft w:val="0"/>
          <w:marRight w:val="0"/>
          <w:marTop w:val="0"/>
          <w:marBottom w:val="101"/>
          <w:divBdr>
            <w:top w:val="none" w:sz="0" w:space="0" w:color="auto"/>
            <w:left w:val="none" w:sz="0" w:space="0" w:color="auto"/>
            <w:bottom w:val="none" w:sz="0" w:space="0" w:color="auto"/>
            <w:right w:val="none" w:sz="0" w:space="0" w:color="auto"/>
          </w:divBdr>
        </w:div>
        <w:div w:id="838546745">
          <w:marLeft w:val="0"/>
          <w:marRight w:val="0"/>
          <w:marTop w:val="0"/>
          <w:marBottom w:val="101"/>
          <w:divBdr>
            <w:top w:val="none" w:sz="0" w:space="0" w:color="auto"/>
            <w:left w:val="none" w:sz="0" w:space="0" w:color="auto"/>
            <w:bottom w:val="none" w:sz="0" w:space="0" w:color="auto"/>
            <w:right w:val="none" w:sz="0" w:space="0" w:color="auto"/>
          </w:divBdr>
        </w:div>
        <w:div w:id="1788234463">
          <w:marLeft w:val="0"/>
          <w:marRight w:val="0"/>
          <w:marTop w:val="0"/>
          <w:marBottom w:val="101"/>
          <w:divBdr>
            <w:top w:val="none" w:sz="0" w:space="0" w:color="auto"/>
            <w:left w:val="none" w:sz="0" w:space="0" w:color="auto"/>
            <w:bottom w:val="none" w:sz="0" w:space="0" w:color="auto"/>
            <w:right w:val="none" w:sz="0" w:space="0" w:color="auto"/>
          </w:divBdr>
        </w:div>
        <w:div w:id="1876575913">
          <w:marLeft w:val="0"/>
          <w:marRight w:val="0"/>
          <w:marTop w:val="0"/>
          <w:marBottom w:val="101"/>
          <w:divBdr>
            <w:top w:val="none" w:sz="0" w:space="0" w:color="auto"/>
            <w:left w:val="none" w:sz="0" w:space="0" w:color="auto"/>
            <w:bottom w:val="none" w:sz="0" w:space="0" w:color="auto"/>
            <w:right w:val="none" w:sz="0" w:space="0" w:color="auto"/>
          </w:divBdr>
        </w:div>
        <w:div w:id="1589538152">
          <w:marLeft w:val="0"/>
          <w:marRight w:val="0"/>
          <w:marTop w:val="0"/>
          <w:marBottom w:val="101"/>
          <w:divBdr>
            <w:top w:val="none" w:sz="0" w:space="0" w:color="auto"/>
            <w:left w:val="none" w:sz="0" w:space="0" w:color="auto"/>
            <w:bottom w:val="none" w:sz="0" w:space="0" w:color="auto"/>
            <w:right w:val="none" w:sz="0" w:space="0" w:color="auto"/>
          </w:divBdr>
        </w:div>
        <w:div w:id="1346831435">
          <w:marLeft w:val="0"/>
          <w:marRight w:val="0"/>
          <w:marTop w:val="0"/>
          <w:marBottom w:val="101"/>
          <w:divBdr>
            <w:top w:val="none" w:sz="0" w:space="0" w:color="auto"/>
            <w:left w:val="none" w:sz="0" w:space="0" w:color="auto"/>
            <w:bottom w:val="none" w:sz="0" w:space="0" w:color="auto"/>
            <w:right w:val="none" w:sz="0" w:space="0" w:color="auto"/>
          </w:divBdr>
        </w:div>
        <w:div w:id="1161699882">
          <w:marLeft w:val="0"/>
          <w:marRight w:val="0"/>
          <w:marTop w:val="0"/>
          <w:marBottom w:val="101"/>
          <w:divBdr>
            <w:top w:val="none" w:sz="0" w:space="0" w:color="auto"/>
            <w:left w:val="none" w:sz="0" w:space="0" w:color="auto"/>
            <w:bottom w:val="none" w:sz="0" w:space="0" w:color="auto"/>
            <w:right w:val="none" w:sz="0" w:space="0" w:color="auto"/>
          </w:divBdr>
        </w:div>
        <w:div w:id="708381990">
          <w:marLeft w:val="0"/>
          <w:marRight w:val="0"/>
          <w:marTop w:val="0"/>
          <w:marBottom w:val="101"/>
          <w:divBdr>
            <w:top w:val="none" w:sz="0" w:space="0" w:color="auto"/>
            <w:left w:val="none" w:sz="0" w:space="0" w:color="auto"/>
            <w:bottom w:val="none" w:sz="0" w:space="0" w:color="auto"/>
            <w:right w:val="none" w:sz="0" w:space="0" w:color="auto"/>
          </w:divBdr>
        </w:div>
        <w:div w:id="151724677">
          <w:marLeft w:val="0"/>
          <w:marRight w:val="0"/>
          <w:marTop w:val="0"/>
          <w:marBottom w:val="101"/>
          <w:divBdr>
            <w:top w:val="none" w:sz="0" w:space="0" w:color="auto"/>
            <w:left w:val="none" w:sz="0" w:space="0" w:color="auto"/>
            <w:bottom w:val="none" w:sz="0" w:space="0" w:color="auto"/>
            <w:right w:val="none" w:sz="0" w:space="0" w:color="auto"/>
          </w:divBdr>
        </w:div>
        <w:div w:id="1695838695">
          <w:marLeft w:val="0"/>
          <w:marRight w:val="0"/>
          <w:marTop w:val="0"/>
          <w:marBottom w:val="101"/>
          <w:divBdr>
            <w:top w:val="none" w:sz="0" w:space="0" w:color="auto"/>
            <w:left w:val="none" w:sz="0" w:space="0" w:color="auto"/>
            <w:bottom w:val="none" w:sz="0" w:space="0" w:color="auto"/>
            <w:right w:val="none" w:sz="0" w:space="0" w:color="auto"/>
          </w:divBdr>
        </w:div>
        <w:div w:id="1666737384">
          <w:marLeft w:val="0"/>
          <w:marRight w:val="0"/>
          <w:marTop w:val="0"/>
          <w:marBottom w:val="101"/>
          <w:divBdr>
            <w:top w:val="none" w:sz="0" w:space="0" w:color="auto"/>
            <w:left w:val="none" w:sz="0" w:space="0" w:color="auto"/>
            <w:bottom w:val="none" w:sz="0" w:space="0" w:color="auto"/>
            <w:right w:val="none" w:sz="0" w:space="0" w:color="auto"/>
          </w:divBdr>
        </w:div>
        <w:div w:id="979651864">
          <w:marLeft w:val="0"/>
          <w:marRight w:val="0"/>
          <w:marTop w:val="0"/>
          <w:marBottom w:val="101"/>
          <w:divBdr>
            <w:top w:val="none" w:sz="0" w:space="0" w:color="auto"/>
            <w:left w:val="none" w:sz="0" w:space="0" w:color="auto"/>
            <w:bottom w:val="none" w:sz="0" w:space="0" w:color="auto"/>
            <w:right w:val="none" w:sz="0" w:space="0" w:color="auto"/>
          </w:divBdr>
        </w:div>
        <w:div w:id="916786092">
          <w:marLeft w:val="0"/>
          <w:marRight w:val="0"/>
          <w:marTop w:val="0"/>
          <w:marBottom w:val="101"/>
          <w:divBdr>
            <w:top w:val="none" w:sz="0" w:space="0" w:color="auto"/>
            <w:left w:val="none" w:sz="0" w:space="0" w:color="auto"/>
            <w:bottom w:val="none" w:sz="0" w:space="0" w:color="auto"/>
            <w:right w:val="none" w:sz="0" w:space="0" w:color="auto"/>
          </w:divBdr>
        </w:div>
        <w:div w:id="1658999594">
          <w:marLeft w:val="0"/>
          <w:marRight w:val="0"/>
          <w:marTop w:val="0"/>
          <w:marBottom w:val="101"/>
          <w:divBdr>
            <w:top w:val="none" w:sz="0" w:space="0" w:color="auto"/>
            <w:left w:val="none" w:sz="0" w:space="0" w:color="auto"/>
            <w:bottom w:val="none" w:sz="0" w:space="0" w:color="auto"/>
            <w:right w:val="none" w:sz="0" w:space="0" w:color="auto"/>
          </w:divBdr>
        </w:div>
        <w:div w:id="245650599">
          <w:marLeft w:val="0"/>
          <w:marRight w:val="0"/>
          <w:marTop w:val="0"/>
          <w:marBottom w:val="101"/>
          <w:divBdr>
            <w:top w:val="none" w:sz="0" w:space="0" w:color="auto"/>
            <w:left w:val="none" w:sz="0" w:space="0" w:color="auto"/>
            <w:bottom w:val="none" w:sz="0" w:space="0" w:color="auto"/>
            <w:right w:val="none" w:sz="0" w:space="0" w:color="auto"/>
          </w:divBdr>
        </w:div>
        <w:div w:id="441416323">
          <w:marLeft w:val="0"/>
          <w:marRight w:val="0"/>
          <w:marTop w:val="0"/>
          <w:marBottom w:val="101"/>
          <w:divBdr>
            <w:top w:val="none" w:sz="0" w:space="0" w:color="auto"/>
            <w:left w:val="none" w:sz="0" w:space="0" w:color="auto"/>
            <w:bottom w:val="none" w:sz="0" w:space="0" w:color="auto"/>
            <w:right w:val="none" w:sz="0" w:space="0" w:color="auto"/>
          </w:divBdr>
        </w:div>
        <w:div w:id="468327740">
          <w:marLeft w:val="0"/>
          <w:marRight w:val="0"/>
          <w:marTop w:val="0"/>
          <w:marBottom w:val="101"/>
          <w:divBdr>
            <w:top w:val="none" w:sz="0" w:space="0" w:color="auto"/>
            <w:left w:val="none" w:sz="0" w:space="0" w:color="auto"/>
            <w:bottom w:val="none" w:sz="0" w:space="0" w:color="auto"/>
            <w:right w:val="none" w:sz="0" w:space="0" w:color="auto"/>
          </w:divBdr>
        </w:div>
        <w:div w:id="579562008">
          <w:marLeft w:val="0"/>
          <w:marRight w:val="0"/>
          <w:marTop w:val="0"/>
          <w:marBottom w:val="101"/>
          <w:divBdr>
            <w:top w:val="none" w:sz="0" w:space="0" w:color="auto"/>
            <w:left w:val="none" w:sz="0" w:space="0" w:color="auto"/>
            <w:bottom w:val="none" w:sz="0" w:space="0" w:color="auto"/>
            <w:right w:val="none" w:sz="0" w:space="0" w:color="auto"/>
          </w:divBdr>
        </w:div>
        <w:div w:id="1253666048">
          <w:marLeft w:val="0"/>
          <w:marRight w:val="0"/>
          <w:marTop w:val="0"/>
          <w:marBottom w:val="101"/>
          <w:divBdr>
            <w:top w:val="none" w:sz="0" w:space="0" w:color="auto"/>
            <w:left w:val="none" w:sz="0" w:space="0" w:color="auto"/>
            <w:bottom w:val="none" w:sz="0" w:space="0" w:color="auto"/>
            <w:right w:val="none" w:sz="0" w:space="0" w:color="auto"/>
          </w:divBdr>
        </w:div>
        <w:div w:id="1057388597">
          <w:marLeft w:val="0"/>
          <w:marRight w:val="0"/>
          <w:marTop w:val="0"/>
          <w:marBottom w:val="101"/>
          <w:divBdr>
            <w:top w:val="none" w:sz="0" w:space="0" w:color="auto"/>
            <w:left w:val="none" w:sz="0" w:space="0" w:color="auto"/>
            <w:bottom w:val="none" w:sz="0" w:space="0" w:color="auto"/>
            <w:right w:val="none" w:sz="0" w:space="0" w:color="auto"/>
          </w:divBdr>
        </w:div>
        <w:div w:id="942957424">
          <w:marLeft w:val="0"/>
          <w:marRight w:val="0"/>
          <w:marTop w:val="0"/>
          <w:marBottom w:val="101"/>
          <w:divBdr>
            <w:top w:val="none" w:sz="0" w:space="0" w:color="auto"/>
            <w:left w:val="none" w:sz="0" w:space="0" w:color="auto"/>
            <w:bottom w:val="none" w:sz="0" w:space="0" w:color="auto"/>
            <w:right w:val="none" w:sz="0" w:space="0" w:color="auto"/>
          </w:divBdr>
        </w:div>
        <w:div w:id="1735472840">
          <w:marLeft w:val="0"/>
          <w:marRight w:val="0"/>
          <w:marTop w:val="0"/>
          <w:marBottom w:val="101"/>
          <w:divBdr>
            <w:top w:val="none" w:sz="0" w:space="0" w:color="auto"/>
            <w:left w:val="none" w:sz="0" w:space="0" w:color="auto"/>
            <w:bottom w:val="none" w:sz="0" w:space="0" w:color="auto"/>
            <w:right w:val="none" w:sz="0" w:space="0" w:color="auto"/>
          </w:divBdr>
        </w:div>
        <w:div w:id="734863927">
          <w:marLeft w:val="0"/>
          <w:marRight w:val="0"/>
          <w:marTop w:val="0"/>
          <w:marBottom w:val="101"/>
          <w:divBdr>
            <w:top w:val="none" w:sz="0" w:space="0" w:color="auto"/>
            <w:left w:val="none" w:sz="0" w:space="0" w:color="auto"/>
            <w:bottom w:val="none" w:sz="0" w:space="0" w:color="auto"/>
            <w:right w:val="none" w:sz="0" w:space="0" w:color="auto"/>
          </w:divBdr>
        </w:div>
        <w:div w:id="886452629">
          <w:marLeft w:val="0"/>
          <w:marRight w:val="0"/>
          <w:marTop w:val="0"/>
          <w:marBottom w:val="101"/>
          <w:divBdr>
            <w:top w:val="none" w:sz="0" w:space="0" w:color="auto"/>
            <w:left w:val="none" w:sz="0" w:space="0" w:color="auto"/>
            <w:bottom w:val="none" w:sz="0" w:space="0" w:color="auto"/>
            <w:right w:val="none" w:sz="0" w:space="0" w:color="auto"/>
          </w:divBdr>
        </w:div>
        <w:div w:id="1236665066">
          <w:marLeft w:val="0"/>
          <w:marRight w:val="0"/>
          <w:marTop w:val="0"/>
          <w:marBottom w:val="101"/>
          <w:divBdr>
            <w:top w:val="none" w:sz="0" w:space="0" w:color="auto"/>
            <w:left w:val="none" w:sz="0" w:space="0" w:color="auto"/>
            <w:bottom w:val="none" w:sz="0" w:space="0" w:color="auto"/>
            <w:right w:val="none" w:sz="0" w:space="0" w:color="auto"/>
          </w:divBdr>
        </w:div>
        <w:div w:id="1613659545">
          <w:marLeft w:val="0"/>
          <w:marRight w:val="0"/>
          <w:marTop w:val="0"/>
          <w:marBottom w:val="101"/>
          <w:divBdr>
            <w:top w:val="none" w:sz="0" w:space="0" w:color="auto"/>
            <w:left w:val="none" w:sz="0" w:space="0" w:color="auto"/>
            <w:bottom w:val="none" w:sz="0" w:space="0" w:color="auto"/>
            <w:right w:val="none" w:sz="0" w:space="0" w:color="auto"/>
          </w:divBdr>
        </w:div>
        <w:div w:id="1918250021">
          <w:marLeft w:val="0"/>
          <w:marRight w:val="0"/>
          <w:marTop w:val="0"/>
          <w:marBottom w:val="101"/>
          <w:divBdr>
            <w:top w:val="none" w:sz="0" w:space="0" w:color="auto"/>
            <w:left w:val="none" w:sz="0" w:space="0" w:color="auto"/>
            <w:bottom w:val="none" w:sz="0" w:space="0" w:color="auto"/>
            <w:right w:val="none" w:sz="0" w:space="0" w:color="auto"/>
          </w:divBdr>
        </w:div>
        <w:div w:id="1814365523">
          <w:marLeft w:val="0"/>
          <w:marRight w:val="0"/>
          <w:marTop w:val="0"/>
          <w:marBottom w:val="101"/>
          <w:divBdr>
            <w:top w:val="none" w:sz="0" w:space="0" w:color="auto"/>
            <w:left w:val="none" w:sz="0" w:space="0" w:color="auto"/>
            <w:bottom w:val="none" w:sz="0" w:space="0" w:color="auto"/>
            <w:right w:val="none" w:sz="0" w:space="0" w:color="auto"/>
          </w:divBdr>
        </w:div>
        <w:div w:id="1273365092">
          <w:marLeft w:val="0"/>
          <w:marRight w:val="0"/>
          <w:marTop w:val="101"/>
          <w:marBottom w:val="101"/>
          <w:divBdr>
            <w:top w:val="none" w:sz="0" w:space="0" w:color="auto"/>
            <w:left w:val="none" w:sz="0" w:space="0" w:color="auto"/>
            <w:bottom w:val="none" w:sz="0" w:space="0" w:color="auto"/>
            <w:right w:val="none" w:sz="0" w:space="0" w:color="auto"/>
          </w:divBdr>
        </w:div>
        <w:div w:id="864906854">
          <w:marLeft w:val="0"/>
          <w:marRight w:val="0"/>
          <w:marTop w:val="0"/>
          <w:marBottom w:val="101"/>
          <w:divBdr>
            <w:top w:val="none" w:sz="0" w:space="0" w:color="auto"/>
            <w:left w:val="none" w:sz="0" w:space="0" w:color="auto"/>
            <w:bottom w:val="none" w:sz="0" w:space="0" w:color="auto"/>
            <w:right w:val="none" w:sz="0" w:space="0" w:color="auto"/>
          </w:divBdr>
        </w:div>
        <w:div w:id="1912500845">
          <w:marLeft w:val="0"/>
          <w:marRight w:val="0"/>
          <w:marTop w:val="0"/>
          <w:marBottom w:val="101"/>
          <w:divBdr>
            <w:top w:val="none" w:sz="0" w:space="0" w:color="auto"/>
            <w:left w:val="none" w:sz="0" w:space="0" w:color="auto"/>
            <w:bottom w:val="none" w:sz="0" w:space="0" w:color="auto"/>
            <w:right w:val="none" w:sz="0" w:space="0" w:color="auto"/>
          </w:divBdr>
        </w:div>
      </w:divsChild>
    </w:div>
    <w:div w:id="167904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70</Pages>
  <Words>20125</Words>
  <Characters>110689</Characters>
  <Application>Microsoft Office Word</Application>
  <DocSecurity>0</DocSecurity>
  <Lines>922</Lines>
  <Paragraphs>261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Valeria Alejandra Torres Orozco</dc:creator>
  <cp:lastModifiedBy>Valeria Alejandra Torres Orozco</cp:lastModifiedBy>
  <cp:revision>2</cp:revision>
  <dcterms:created xsi:type="dcterms:W3CDTF">2018-01-05T14:56:00Z</dcterms:created>
  <dcterms:modified xsi:type="dcterms:W3CDTF">2018-01-05T14:56:00Z</dcterms:modified>
</cp:coreProperties>
</file>