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55" w:rsidRPr="00C17112" w:rsidRDefault="00A74B65" w:rsidP="0083425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74B65">
        <w:rPr>
          <w:rFonts w:ascii="Verdana" w:eastAsia="Verdana" w:hAnsi="Verdana" w:cs="Verdana"/>
          <w:b/>
          <w:color w:val="0000FF"/>
          <w:sz w:val="24"/>
          <w:szCs w:val="24"/>
        </w:rPr>
        <w:t>DECRETO por el que se reforman y adicionan diversas disposiciones de la Ley General de Salud.</w:t>
      </w:r>
      <w:r w:rsidR="00834255"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 w:rsidR="00834255">
        <w:rPr>
          <w:rFonts w:ascii="Verdana" w:eastAsia="Verdana" w:hAnsi="Verdana" w:cs="Verdana"/>
          <w:b/>
          <w:color w:val="0000FF"/>
          <w:sz w:val="24"/>
          <w:szCs w:val="24"/>
        </w:rPr>
        <w:t>(DOF del 14</w:t>
      </w:r>
      <w:r w:rsidR="00834255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 w:rsidR="00834255"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="00834255"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A74B65" w:rsidRDefault="00A74B65" w:rsidP="00834255">
      <w:pPr>
        <w:shd w:val="clear" w:color="auto" w:fill="FFFFFF"/>
        <w:spacing w:after="101" w:line="240" w:lineRule="auto"/>
        <w:ind w:firstLine="288"/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A74B65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Presidencia de la República.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74B6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A74B65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CONGRESO GENERAL DE LOS ESTADOS UNIDOS MEXICANOS, DECRETA: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REFORMAN Y ADICIONAN DIVERSAS DISPOSICIONES DE LA LEY GENERAL DE SALUD.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reforman los artículos 414 Bis, primer párrafo; 421 Bis; y se adicionan un tercer párrafo al artículo 270, recorriéndose los subsecuentes; un artículo 271 Bis; un tercer párrafo al artículo 272; una fracción VI Bis al artículo 425, y un artículo 465 Bis, de la Ley General de Salud, para quedar como sigue: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270. ...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estudios a los que se refiere el párrafo anterior no podrán incluir pruebas cosméticas en animales de ingredientes cosméticos, de productos cosméticos finalizados ni de sus ingredientes o la mezcla de ellos, en términos del artículo 271 Bis de esta Ley.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271 Bis.-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No podrán fabricarse, importarse ni comercializarse productos cosméticos en los siguientes supuestos: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a)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Cuando en su formulación final medien o hayan mediado pruebas en animales, y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b)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Cuando contengan ingredientes o combinaciones de éstos que sean o hayan sido objeto de pruebas en animales.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dispuesto en el párrafo anterior podrá exceptuarse cuando: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 ingrediente deba someterse a pruebas de seguridad, y no existan los métodos alternativos validados por la comunidad científica internacional o alguna disposición sanitaria relativa y aplicable. En ningún caso se podrán realizar pruebas adicionales posteriores;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datos de seguridad generados a través de pruebas en animales para un ingrediente se hayan realizado para otro fin diferente al cosmético;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seguridad del ingrediente sea ampliamente reconocida por el uso histórico del mismo, no serán necesarias pruebas adicionales, pudiendo ser usada en cambio la información generada previamente como soporte, y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 necesario atender un requisito regulatorio establecido por otro país, para fines de exportación.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272. ...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Asimismo, para garantizar el derecho a la información del consumidor, el etiquetado de todos los productos cosméticos comercializados podrá señalar que en su fabricación no se han llevado a cabo pruebas en animales, en términos de la normatividad aplicable. No se podrá presumir de dicha condición en los casos a los que se refieren las excepciones establecidas en el artículo 271 Bis de esta Ley.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414 Bis.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Será procedente la acción de aseguramiento prevista en el artículo 414 de esta Ley como medida de seguridad, para el caso de que se comercialicen: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a)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Remedios herbolarios, suplementos alimenticios o productos cosméticos que indebidamente hubieren sido publicitados o promovidos como medicamentos o a los cuales se les hubiera atribuido cualidades o efectos terapéuticos, presentándolos como una solución definitiva en el tratamiento preventivo o </w:t>
      </w:r>
      <w:proofErr w:type="spellStart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rehabilitatorio</w:t>
      </w:r>
      <w:proofErr w:type="spellEnd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de un 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determinado padecimiento, no siendo medicamentos y sin que los mismos cuenten con registro sanitario para ser considerados como tales, y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b)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productos cosméticos a los que se refiere el artículo 271 Bis de esta Ley.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421 Bis.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sancionará con multa equivalente a quince mil hasta veinte mil veces el valor de la Unidad de Medida y Actualización, la violación de las disposiciones contenidas en los artículos 100, 122, 126, 146, 166 Bis 19, 166 Bis 20, 205, 235, 254, 264, 271 Bis, 281, 289, 293, 298, 325, 327 y 333 de esta Ley.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425. ...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V</w:t>
      </w:r>
      <w:proofErr w:type="gramStart"/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 ...</w:t>
      </w:r>
      <w:proofErr w:type="gramEnd"/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Cuando en un establecimiento se vendan o suministren substancias psicotrópicas sin cumplir con los requisitos que señale esta Ley y sus reglamentos;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 Bis.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Cuando en un establecimiento se practiquen pruebas cosméticas en animales con el propósito de fabricar o comercializar productos cosméticos, en términos del artículo 271 Bis de esta Ley;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VII.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Cuando se compruebe que las actividades que se realicen en un establecimiento violan las disposiciones sanitarias, constituyendo un peligro grave para la salud, y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VIII</w:t>
      </w:r>
      <w:proofErr w:type="gramStart"/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 ...</w:t>
      </w:r>
      <w:proofErr w:type="gramEnd"/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465 Bis.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quien contrate, autorice, conduzca, participe o desarrolle pruebas cosméticas en animales se le aplicará pena de dos a siete años de prisión y multa equivalente de doscientas a dos mil veces el valor de la Unidad de Medida y Actualización.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74B6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 la Federación.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Poder Ejecutivo Federal, a través de las instancias competentes, contará con 180 días, contados a partir de su publicación en el Diario Oficial de la Federación, para expedir las disposiciones jurídicas necesarias para la aplicación del presente Decreto.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Secretaría de Salud, en términos de lo que establece la Ley de Infraestructura de la Calidad, deberá adecuar las normas oficiales mexicanas relacionadas con las disposiciones establecidas por este Decreto.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partir de la publicación del presente Decreto, la Secretaría de Salud, en atención a su disponibilidad presupuestaria, incentivará y dará facilidades para la investigación nacional dirigida a</w:t>
      </w: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desarrollar modelos alternativos al uso de pruebas en animales, validadas por la comunidad científica internacional.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Quinto.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partir de la publicación de las disposiciones jurídicas a que se refiere el artículo segundo transitorio del presente Decreto, los fabricantes contarán con dos años para sustituir las pruebas cosméticas en animales por métodos alternativos para evaluar la seguridad y eficacia de los productos cosméticos.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Sexto. 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disposiciones a las que se refiere el presente Decreto no se aplicarán a los productos e ingredientes probados y disponibles para la venta, en el momento de la publicación de este Decreto.</w:t>
      </w:r>
    </w:p>
    <w:p w:rsidR="00A74B65" w:rsidRPr="00A74B6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Ciudad de México, a 2 de septiembre de 2021.-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proofErr w:type="spellStart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Sergio Carlos Gutiérrez Luna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Presidente.- </w:t>
      </w:r>
      <w:proofErr w:type="spellStart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Olga Sánchez Cordero Dávila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Jasmine María </w:t>
      </w:r>
      <w:proofErr w:type="spellStart"/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Bugarín</w:t>
      </w:r>
      <w:proofErr w:type="spellEnd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Secretaria.- </w:t>
      </w:r>
      <w:proofErr w:type="spellStart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Verónica Noemí Camino </w:t>
      </w:r>
      <w:proofErr w:type="spellStart"/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Farjat</w:t>
      </w:r>
      <w:proofErr w:type="spellEnd"/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834255" w:rsidRPr="00834255" w:rsidRDefault="00A74B65" w:rsidP="00A74B6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13 de octubre de 2021.- </w:t>
      </w: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El Secretario de Gobernación, Lic. </w:t>
      </w:r>
      <w:r w:rsidRPr="00A74B6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Augusto López Hernández</w:t>
      </w:r>
      <w:r w:rsidRPr="00A74B6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834255" w:rsidRPr="00834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55"/>
    <w:rsid w:val="00834255"/>
    <w:rsid w:val="00857D96"/>
    <w:rsid w:val="00A74B65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3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93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790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343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429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095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23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100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560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240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477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461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258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613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5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7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8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3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2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0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3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8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4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1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8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5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2</cp:revision>
  <dcterms:created xsi:type="dcterms:W3CDTF">2021-10-14T13:19:00Z</dcterms:created>
  <dcterms:modified xsi:type="dcterms:W3CDTF">2021-10-14T13:19:00Z</dcterms:modified>
</cp:coreProperties>
</file>