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Estado de Yucatán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mayo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DEL ESTADO DE YUCATÁN.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Yucatán</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Yucatán</w:t>
      </w:r>
      <w:r w:rsidDel="00000000" w:rsidR="00000000" w:rsidRPr="00000000">
        <w:rPr>
          <w:rFonts w:ascii="Verdana" w:cs="Verdana" w:eastAsia="Verdana" w:hAnsi="Verdana"/>
          <w:color w:val="2f2f2f"/>
          <w:sz w:val="20"/>
          <w:szCs w:val="20"/>
          <w:rtl w:val="0"/>
        </w:rPr>
        <w:t xml:space="preserve"> tienen celebrado Convenio de Colaboración Administrativa en Materia Fiscal Federal, mismo que fue publicado en el Diario Oficial de la Federación del 18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16, 44, 55 y 57 de la Constitución Política del Estado de Yucatán; 1, 2, 3, 12, 13, 14, 22, fracciones I y II, 23, 24, 27, 30 y 31 del Código de la Administración Pública de Yucatán; 1, 4, 5, 10, 11, 39, 58, 59 y 69 Decies del Reglamento del Código de la Administración Pública de Yucatán; 1, 2, 3, 4, 7, 8 y 14 de la Ley de la Agencia de Administración Fiscal de Yucatán, y 1, 2, 3 y 5 del Reglamento de la Ley de la Agencia de Administración Fiscal de Yucatán, se hace necesario modificar el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Yucatán</w:t>
      </w:r>
      <w:r w:rsidDel="00000000" w:rsidR="00000000" w:rsidRPr="00000000">
        <w:rPr>
          <w:rFonts w:ascii="Verdana" w:cs="Verdana" w:eastAsia="Verdana" w:hAnsi="Verdana"/>
          <w:color w:val="2f2f2f"/>
          <w:sz w:val="20"/>
          <w:szCs w:val="20"/>
          <w:rtl w:val="0"/>
        </w:rPr>
        <w:t xml:space="preserve">, publicado en el Diario Oficial de la Federación el 18 de agosto de 2015 y en vigor a partir del 19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municipios, que se distribuirá entre ellos en la forma que determine la legislatura local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18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6 de abril de 2020.- Por el Estado: el Gobernador Constitucional, </w:t>
      </w:r>
      <w:r w:rsidDel="00000000" w:rsidR="00000000" w:rsidRPr="00000000">
        <w:rPr>
          <w:rFonts w:ascii="Verdana" w:cs="Verdana" w:eastAsia="Verdana" w:hAnsi="Verdana"/>
          <w:b w:val="1"/>
          <w:color w:val="2f2f2f"/>
          <w:sz w:val="20"/>
          <w:szCs w:val="20"/>
          <w:rtl w:val="0"/>
        </w:rPr>
        <w:t xml:space="preserve">Mauricio Vila Dosal</w:t>
      </w:r>
      <w:r w:rsidDel="00000000" w:rsidR="00000000" w:rsidRPr="00000000">
        <w:rPr>
          <w:rFonts w:ascii="Verdana" w:cs="Verdana" w:eastAsia="Verdana" w:hAnsi="Verdana"/>
          <w:color w:val="2f2f2f"/>
          <w:sz w:val="20"/>
          <w:szCs w:val="20"/>
          <w:rtl w:val="0"/>
        </w:rPr>
        <w:t xml:space="preserve">.- Rúbrica.- La Secretaria General de Gobierno, </w:t>
      </w:r>
      <w:r w:rsidDel="00000000" w:rsidR="00000000" w:rsidRPr="00000000">
        <w:rPr>
          <w:rFonts w:ascii="Verdana" w:cs="Verdana" w:eastAsia="Verdana" w:hAnsi="Verdana"/>
          <w:b w:val="1"/>
          <w:color w:val="2f2f2f"/>
          <w:sz w:val="20"/>
          <w:szCs w:val="20"/>
          <w:rtl w:val="0"/>
        </w:rPr>
        <w:t xml:space="preserve">María Dolores Fritz Sierra</w:t>
      </w:r>
      <w:r w:rsidDel="00000000" w:rsidR="00000000" w:rsidRPr="00000000">
        <w:rPr>
          <w:rFonts w:ascii="Verdana" w:cs="Verdana" w:eastAsia="Verdana" w:hAnsi="Verdana"/>
          <w:color w:val="2f2f2f"/>
          <w:sz w:val="20"/>
          <w:szCs w:val="20"/>
          <w:rtl w:val="0"/>
        </w:rPr>
        <w:t xml:space="preserve">.- Rúbrica.- La Secretaria de Administración y Finanzas, </w:t>
      </w:r>
      <w:r w:rsidDel="00000000" w:rsidR="00000000" w:rsidRPr="00000000">
        <w:rPr>
          <w:rFonts w:ascii="Verdana" w:cs="Verdana" w:eastAsia="Verdana" w:hAnsi="Verdana"/>
          <w:b w:val="1"/>
          <w:color w:val="2f2f2f"/>
          <w:sz w:val="20"/>
          <w:szCs w:val="20"/>
          <w:rtl w:val="0"/>
        </w:rPr>
        <w:t xml:space="preserve">Olga Rosas Moya</w:t>
      </w:r>
      <w:r w:rsidDel="00000000" w:rsidR="00000000" w:rsidRPr="00000000">
        <w:rPr>
          <w:rFonts w:ascii="Verdana" w:cs="Verdana" w:eastAsia="Verdana" w:hAnsi="Verdana"/>
          <w:color w:val="2f2f2f"/>
          <w:sz w:val="20"/>
          <w:szCs w:val="20"/>
          <w:rtl w:val="0"/>
        </w:rPr>
        <w:t xml:space="preserve">.- Rúbrica.- El Director General de la Agencia de Administración</w:t>
      </w:r>
    </w:p>
    <w:p w:rsidR="00000000" w:rsidDel="00000000" w:rsidP="00000000" w:rsidRDefault="00000000" w:rsidRPr="00000000" w14:paraId="0000002B">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Fiscal de Yucatán, </w:t>
      </w:r>
      <w:r w:rsidDel="00000000" w:rsidR="00000000" w:rsidRPr="00000000">
        <w:rPr>
          <w:rFonts w:ascii="Verdana" w:cs="Verdana" w:eastAsia="Verdana" w:hAnsi="Verdana"/>
          <w:b w:val="1"/>
          <w:color w:val="2f2f2f"/>
          <w:sz w:val="20"/>
          <w:szCs w:val="20"/>
          <w:rtl w:val="0"/>
        </w:rPr>
        <w:t xml:space="preserve">Juan Carlos Rosel Flores</w:t>
      </w:r>
      <w:r w:rsidDel="00000000" w:rsidR="00000000" w:rsidRPr="00000000">
        <w:rPr>
          <w:rFonts w:ascii="Verdana" w:cs="Verdana" w:eastAsia="Verdana" w:hAnsi="Verdana"/>
          <w:color w:val="2f2f2f"/>
          <w:sz w:val="20"/>
          <w:szCs w:val="20"/>
          <w:rtl w:val="0"/>
        </w:rPr>
        <w:t xml:space="preserve">, M.A.-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E">
      <w:pPr>
        <w:shd w:fill="ffffff" w:val="clear"/>
        <w:jc w:val="both"/>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2F">
      <w:pPr>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