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Atención en unidades de segundo nivel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72.0" w:type="dxa"/>
        <w:tblLayout w:type="fixed"/>
        <w:tblLook w:val="0400"/>
      </w:tblPr>
      <w:tblGrid>
        <w:gridCol w:w="7020"/>
        <w:gridCol w:w="2335"/>
        <w:tblGridChange w:id="0">
          <w:tblGrid>
            <w:gridCol w:w="7020"/>
            <w:gridCol w:w="2335"/>
          </w:tblGrid>
        </w:tblGridChange>
      </w:tblGrid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 de servicio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Costo unitario actualizado al 2024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Consulta de medicina familiar (incluye las consultas de salud en el trabajo del primer nivel de atención)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$ 1,174.00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Consulta dental (estomatología)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1,040.00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Consulta de especialidades (incluye las consultas de salud en el trabajo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el segundo y tercer nivel de atención)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1,772.00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Atención de urgencias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2,369.00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Día paciente en hospitalización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12,926.00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Día paciente en incubadora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12,926.00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Día paciente en terapia intensiva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74,584.00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Curaciones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387.00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Estudio de laboratorio clínico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158.00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Citología exfoliativa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397.00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Estudio de medicina nuclear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1,670.00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Estudio de electrodiagnóstico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1,142.00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Estudio de radiodiagnóstico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556.00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Estudio de ultrasonografía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850.00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Estudio de tomografía axial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3,707.00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Estudio de resonancia magnética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3,809.00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Estudio/Procedimiento de endoscopía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4,918.00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Consulta/Sesión de medicina física y rehabilitación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2,029.00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Sesión de radioterapia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2,885.00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Estudio de anatomía patológica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397.00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Intervención quirúrgica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39,344.00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Intervención de tococirugía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19,228.00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Traslado en ambulancia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3,571.00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Sesión de quimioterapia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7,653.00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Sesión de hemodiálisis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3,573.00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Estudio/Procedimiento de hemodinámica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66,258.00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Terapia psicológica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1,603.00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Estudio/Sesión de gabinete de tratamiento (incluye terapias de lenguaje, respiratoria, recreativa, fisiología pulmonar, entre otros)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322.00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Sesión de terapia/Reeducación ocupacional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238.00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Servicio de banco de sangre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303.00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Consulta a donadores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603.00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Sesión de diálisis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147.00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Servicio de litotripsia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6,732.00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Prueba rápida de detección de antígenos del virus SARS-CoV-2 (COVID-19)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252.00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Prueba RT-PCR de detección de material genético del COVID-19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2,222.00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Día paciente con ventilación mecánica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2.0" w:type="dxa"/>
              <w:bottom w:w="0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47,066.00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cVI5+nLai+khETlviiW7crdD9w==">CgMxLjA4AHIhMV9UMmxFRGJmOVRCODlwV2tfU1d0azBkazZud2pUclZW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