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213500" w:rsidP="00213500">
      <w:pPr>
        <w:jc w:val="center"/>
        <w:rPr>
          <w:rFonts w:ascii="Verdana" w:hAnsi="Verdana"/>
          <w:b/>
          <w:color w:val="0070C0"/>
          <w:sz w:val="24"/>
          <w:szCs w:val="24"/>
        </w:rPr>
      </w:pPr>
      <w:r w:rsidRPr="00213500">
        <w:rPr>
          <w:rFonts w:ascii="Verdana" w:hAnsi="Verdana"/>
          <w:b/>
          <w:color w:val="0070C0"/>
          <w:sz w:val="24"/>
          <w:szCs w:val="24"/>
        </w:rPr>
        <w:t>Acuerdo General 19/2017 del Pleno del Consejo de la Judicatura Federal, relativo a la denominación, residencia, competencia, jurisdicción territorial, domicilio y fecha de inicio de funciones del Tercer Tribunal Colegiado del Trigésimo Circuito, con residencia en Aguascalientes, Aguascalientes; así como a las reglas de turno, sistema de recepción y distribución de asuntos entre los Tribunales C</w:t>
      </w:r>
      <w:r>
        <w:rPr>
          <w:rFonts w:ascii="Verdana" w:hAnsi="Verdana"/>
          <w:b/>
          <w:color w:val="0070C0"/>
          <w:sz w:val="24"/>
          <w:szCs w:val="24"/>
        </w:rPr>
        <w:t>olegiados del Circuito indicado</w:t>
      </w:r>
    </w:p>
    <w:p w:rsidR="00213500" w:rsidRDefault="00213500" w:rsidP="00213500">
      <w:pPr>
        <w:jc w:val="center"/>
        <w:rPr>
          <w:rFonts w:ascii="Verdana" w:hAnsi="Verdana"/>
          <w:b/>
          <w:color w:val="0070C0"/>
          <w:sz w:val="24"/>
          <w:szCs w:val="24"/>
        </w:rPr>
      </w:pPr>
      <w:r>
        <w:rPr>
          <w:rFonts w:ascii="Verdana" w:hAnsi="Verdana"/>
          <w:b/>
          <w:color w:val="0070C0"/>
          <w:sz w:val="24"/>
          <w:szCs w:val="24"/>
        </w:rPr>
        <w:t>(DOF del 13 de octubre de 2017)</w:t>
      </w:r>
    </w:p>
    <w:p w:rsidR="00213500" w:rsidRPr="00213500" w:rsidRDefault="00213500" w:rsidP="00213500">
      <w:pPr>
        <w:jc w:val="both"/>
        <w:rPr>
          <w:rFonts w:ascii="Verdana" w:hAnsi="Verdana"/>
          <w:b/>
          <w:bCs/>
          <w:sz w:val="20"/>
          <w:szCs w:val="24"/>
        </w:rPr>
      </w:pPr>
      <w:r w:rsidRPr="00213500">
        <w:rPr>
          <w:rFonts w:ascii="Verdana" w:hAnsi="Verdana"/>
          <w:b/>
          <w:bCs/>
          <w:sz w:val="20"/>
          <w:szCs w:val="24"/>
        </w:rPr>
        <w:t>Al margen un sello con el Escudo Nacional, que dice: Estados Unidos Mexicanos.- Consejo de la Judicatura Federal.- Secretaría Ejecutiva del Pleno.</w:t>
      </w:r>
    </w:p>
    <w:p w:rsidR="00213500" w:rsidRPr="00213500" w:rsidRDefault="00213500" w:rsidP="00213500">
      <w:pPr>
        <w:jc w:val="both"/>
        <w:rPr>
          <w:rFonts w:ascii="Verdana" w:hAnsi="Verdana"/>
          <w:sz w:val="20"/>
          <w:szCs w:val="24"/>
        </w:rPr>
      </w:pPr>
      <w:r w:rsidRPr="00213500">
        <w:rPr>
          <w:rFonts w:ascii="Verdana" w:hAnsi="Verdana"/>
          <w:sz w:val="20"/>
          <w:szCs w:val="24"/>
        </w:rPr>
        <w:t>ACUERDO GENERAL 19/2017, DEL PLENO DEL CONSEJO DE LA JUDICATURA FEDERAL, RELATIVO A LA DENOMINACIÓN, RESIDENCIA, COMPETENCIA, JURISDICCIÓN TERRITORIAL, DOMICILIO Y FECHA DE INICIO DE FUNCIONES DEL TERCER TRIBUNAL COLEGIADO DEL TRIGÉSIMO CIRCUITO, CON RESIDENCIA EN AGUASCALIENTES, AGUASCALIENTES; ASÍ COMO A LAS REGLAS DE TURNO, SISTEMA DE RECEPCIÓN Y DISTRIBUCIÓN DE ASUNTOS ENTRE LOS TRIBUNALES COLEGIADOS DEL CIRCUITO INDICADO.</w:t>
      </w:r>
    </w:p>
    <w:p w:rsidR="00213500" w:rsidRPr="00213500" w:rsidRDefault="00213500" w:rsidP="00213500">
      <w:pPr>
        <w:jc w:val="both"/>
        <w:rPr>
          <w:rFonts w:ascii="Verdana" w:hAnsi="Verdana"/>
          <w:b/>
          <w:bCs/>
          <w:sz w:val="20"/>
          <w:szCs w:val="24"/>
        </w:rPr>
      </w:pPr>
      <w:r w:rsidRPr="00213500">
        <w:rPr>
          <w:rFonts w:ascii="Verdana" w:hAnsi="Verdana"/>
          <w:b/>
          <w:bCs/>
          <w:sz w:val="20"/>
          <w:szCs w:val="24"/>
        </w:rPr>
        <w:t>CONSIDERANDO</w:t>
      </w:r>
    </w:p>
    <w:p w:rsidR="00213500" w:rsidRPr="00213500" w:rsidRDefault="00213500" w:rsidP="00213500">
      <w:pPr>
        <w:jc w:val="both"/>
        <w:rPr>
          <w:rFonts w:ascii="Verdana" w:hAnsi="Verdana"/>
          <w:sz w:val="20"/>
          <w:szCs w:val="24"/>
        </w:rPr>
      </w:pPr>
      <w:r w:rsidRPr="00213500">
        <w:rPr>
          <w:rFonts w:ascii="Verdana" w:hAnsi="Verdana"/>
          <w:b/>
          <w:bCs/>
          <w:sz w:val="20"/>
          <w:szCs w:val="24"/>
        </w:rPr>
        <w:t>PRIMERO.</w:t>
      </w:r>
      <w:r w:rsidRPr="00213500">
        <w:rPr>
          <w:rFonts w:ascii="Verdana" w:hAnsi="Verdana"/>
          <w:sz w:val="20"/>
          <w:szCs w:val="24"/>
        </w:rPr>
        <w:t> En términos de lo dispuesto por los artículos 94, párrafo segundo; 100, párrafos primero y octavo, de la Constitución Política de los Estados Unidos Mexicanos; y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atribuciones;</w:t>
      </w:r>
    </w:p>
    <w:p w:rsidR="00213500" w:rsidRPr="00213500" w:rsidRDefault="00213500" w:rsidP="00213500">
      <w:pPr>
        <w:jc w:val="both"/>
        <w:rPr>
          <w:rFonts w:ascii="Verdana" w:hAnsi="Verdana"/>
          <w:sz w:val="20"/>
          <w:szCs w:val="24"/>
        </w:rPr>
      </w:pPr>
      <w:r w:rsidRPr="00213500">
        <w:rPr>
          <w:rFonts w:ascii="Verdana" w:hAnsi="Verdana"/>
          <w:b/>
          <w:bCs/>
          <w:sz w:val="20"/>
          <w:szCs w:val="24"/>
        </w:rPr>
        <w:t>SEGUNDO.</w:t>
      </w:r>
      <w:r w:rsidRPr="00213500">
        <w:rPr>
          <w:rFonts w:ascii="Verdana" w:hAnsi="Verdana"/>
          <w:sz w:val="20"/>
          <w:szCs w:val="24"/>
        </w:rPr>
        <w:t xml:space="preserve"> Los artículos 94, párrafo sexto, de la Constitución Política de los Estados Unidos Mexicanos; 81, fracciones IV, V y XXIV; y 144 de la Ley Orgánica del Poder Judicial de la Federación establecen que son atribuciones del Consejo de la Judicatura Federal determinar el número, límites territoriales y, en su caso, especialización por materia de los Tribunales de Circuito, en cada uno de los Circuitos en que se divide el territorio de la República Mexicana; así como dictar las disposiciones necesarias para regular el turno de los asuntos de la competencia de los Tribunales de Circuito, cuando en un mismo lugar haya varios de ellos; atribución, esta última, que ejerce a través de la Comisión de Creación de Nuevos Órganos, en términos </w:t>
      </w:r>
      <w:proofErr w:type="spellStart"/>
      <w:r w:rsidRPr="00213500">
        <w:rPr>
          <w:rFonts w:ascii="Verdana" w:hAnsi="Verdana"/>
          <w:sz w:val="20"/>
          <w:szCs w:val="24"/>
        </w:rPr>
        <w:t>delartículo</w:t>
      </w:r>
      <w:proofErr w:type="spellEnd"/>
      <w:r w:rsidRPr="00213500">
        <w:rPr>
          <w:rFonts w:ascii="Verdana" w:hAnsi="Verdana"/>
          <w:sz w:val="20"/>
          <w:szCs w:val="24"/>
        </w:rPr>
        <w:t xml:space="preserve"> 42, fracción III, del Acuerdo General del Pleno del Consejo de la Judicatura Federal, que reglamenta la organización y funcionamiento del propio Consejo;</w:t>
      </w:r>
    </w:p>
    <w:p w:rsidR="00213500" w:rsidRPr="00213500" w:rsidRDefault="00213500" w:rsidP="00213500">
      <w:pPr>
        <w:jc w:val="both"/>
        <w:rPr>
          <w:rFonts w:ascii="Verdana" w:hAnsi="Verdana"/>
          <w:sz w:val="20"/>
          <w:szCs w:val="24"/>
        </w:rPr>
      </w:pPr>
      <w:r w:rsidRPr="00213500">
        <w:rPr>
          <w:rFonts w:ascii="Verdana" w:hAnsi="Verdana"/>
          <w:b/>
          <w:bCs/>
          <w:sz w:val="20"/>
          <w:szCs w:val="24"/>
        </w:rPr>
        <w:t>TERCERO.</w:t>
      </w:r>
      <w:r w:rsidRPr="00213500">
        <w:rPr>
          <w:rFonts w:ascii="Verdana" w:hAnsi="Verdana"/>
          <w:sz w:val="20"/>
          <w:szCs w:val="24"/>
        </w:rPr>
        <w:t xml:space="preserve"> El artículo 17, párrafo segundo, de la Constitución Política de los Estados Unidos Mexicanos, establece, que toda persona tiene derecho a que se le administre </w:t>
      </w:r>
      <w:r w:rsidRPr="00213500">
        <w:rPr>
          <w:rFonts w:ascii="Verdana" w:hAnsi="Verdana"/>
          <w:sz w:val="20"/>
          <w:szCs w:val="24"/>
        </w:rPr>
        <w:lastRenderedPageBreak/>
        <w:t>justicia por tribunales que estarán expeditos para impartirla en los plazos y términos que fijen las leyes;</w:t>
      </w:r>
    </w:p>
    <w:p w:rsidR="00213500" w:rsidRPr="00213500" w:rsidRDefault="00213500" w:rsidP="00213500">
      <w:pPr>
        <w:jc w:val="both"/>
        <w:rPr>
          <w:rFonts w:ascii="Verdana" w:hAnsi="Verdana"/>
          <w:sz w:val="20"/>
          <w:szCs w:val="24"/>
        </w:rPr>
      </w:pPr>
      <w:r w:rsidRPr="00213500">
        <w:rPr>
          <w:rFonts w:ascii="Verdana" w:hAnsi="Verdana"/>
          <w:b/>
          <w:bCs/>
          <w:sz w:val="20"/>
          <w:szCs w:val="24"/>
        </w:rPr>
        <w:t>CUARTO.</w:t>
      </w:r>
      <w:r w:rsidRPr="00213500">
        <w:rPr>
          <w:rFonts w:ascii="Verdana" w:hAnsi="Verdana"/>
          <w:sz w:val="20"/>
          <w:szCs w:val="24"/>
        </w:rPr>
        <w:t> El incremento en el número de ingresos y la complejidad en el trámite de los mismos, ha ocasionado el aumento en las cargas de trabajo que registran los Tribunales Colegiados del Trigésimo Circuito, con residencia en Aguascalientes, Aguascalientes, lo que hace necesario establecer un nuevo órgano jurisdiccional en esa residencia;</w:t>
      </w:r>
    </w:p>
    <w:p w:rsidR="00213500" w:rsidRPr="00213500" w:rsidRDefault="00213500" w:rsidP="00213500">
      <w:pPr>
        <w:jc w:val="both"/>
        <w:rPr>
          <w:rFonts w:ascii="Verdana" w:hAnsi="Verdana"/>
          <w:sz w:val="20"/>
          <w:szCs w:val="24"/>
        </w:rPr>
      </w:pPr>
      <w:r w:rsidRPr="00213500">
        <w:rPr>
          <w:rFonts w:ascii="Verdana" w:hAnsi="Verdana"/>
          <w:b/>
          <w:bCs/>
          <w:sz w:val="20"/>
          <w:szCs w:val="24"/>
        </w:rPr>
        <w:t>QUINTO.</w:t>
      </w:r>
      <w:r w:rsidRPr="00213500">
        <w:rPr>
          <w:rFonts w:ascii="Verdana" w:hAnsi="Verdana"/>
          <w:sz w:val="20"/>
          <w:szCs w:val="24"/>
        </w:rPr>
        <w:t> En sesión celebrada el veintiocho de septiembre de dos mil dieciséis, el Pleno del Consejo de la Judicatura Federal aprobó el dictamen relativo a la creación del Tercer Tribunal Colegiado del Trigésimo Circuito, con residencia en Aguascalientes, Aguascalientes, órgano jurisdiccional respecto del cual a la fecha subsiste la necesidad de creación, toda vez que los datos estadísticos evidencian el elevado ingreso de asuntos; y</w:t>
      </w:r>
    </w:p>
    <w:p w:rsidR="00213500" w:rsidRPr="00213500" w:rsidRDefault="00213500" w:rsidP="00213500">
      <w:pPr>
        <w:jc w:val="both"/>
        <w:rPr>
          <w:rFonts w:ascii="Verdana" w:hAnsi="Verdana"/>
          <w:sz w:val="20"/>
          <w:szCs w:val="24"/>
        </w:rPr>
      </w:pPr>
      <w:r w:rsidRPr="00213500">
        <w:rPr>
          <w:rFonts w:ascii="Verdana" w:hAnsi="Verdana"/>
          <w:b/>
          <w:bCs/>
          <w:sz w:val="20"/>
          <w:szCs w:val="24"/>
        </w:rPr>
        <w:t>SÉPTIMO.</w:t>
      </w:r>
      <w:r w:rsidRPr="00213500">
        <w:rPr>
          <w:rFonts w:ascii="Verdana" w:hAnsi="Verdana"/>
          <w:sz w:val="20"/>
          <w:szCs w:val="24"/>
        </w:rPr>
        <w:t> De acuerdo con la información proporcionada por la Secretaría Ejecutiva de Administración del Consejo de la Judicatura Federal, en la actualidad se cuenta con la infraestructura física necesaria para la instalación e inicio de funciones del Tercer Tribunal Colegiado del Trigésimo Circuito, con residencia en Aguascalientes, Aguascalientes.</w:t>
      </w:r>
    </w:p>
    <w:p w:rsidR="00213500" w:rsidRPr="00213500" w:rsidRDefault="00213500" w:rsidP="00213500">
      <w:pPr>
        <w:jc w:val="both"/>
        <w:rPr>
          <w:rFonts w:ascii="Verdana" w:hAnsi="Verdana"/>
          <w:sz w:val="20"/>
          <w:szCs w:val="24"/>
        </w:rPr>
      </w:pPr>
      <w:r w:rsidRPr="00213500">
        <w:rPr>
          <w:rFonts w:ascii="Verdana" w:hAnsi="Verdana"/>
          <w:sz w:val="20"/>
          <w:szCs w:val="24"/>
        </w:rPr>
        <w:t>Por lo anterior, se expide el siguiente</w:t>
      </w:r>
    </w:p>
    <w:p w:rsidR="00213500" w:rsidRPr="00213500" w:rsidRDefault="00213500" w:rsidP="00213500">
      <w:pPr>
        <w:jc w:val="both"/>
        <w:rPr>
          <w:rFonts w:ascii="Verdana" w:hAnsi="Verdana"/>
          <w:b/>
          <w:bCs/>
          <w:sz w:val="20"/>
          <w:szCs w:val="24"/>
        </w:rPr>
      </w:pPr>
      <w:r w:rsidRPr="00213500">
        <w:rPr>
          <w:rFonts w:ascii="Verdana" w:hAnsi="Verdana"/>
          <w:b/>
          <w:bCs/>
          <w:sz w:val="20"/>
          <w:szCs w:val="24"/>
        </w:rPr>
        <w:t>ACUERDO</w:t>
      </w:r>
    </w:p>
    <w:p w:rsidR="00213500" w:rsidRPr="00213500" w:rsidRDefault="00213500" w:rsidP="00213500">
      <w:pPr>
        <w:jc w:val="both"/>
        <w:rPr>
          <w:rFonts w:ascii="Verdana" w:hAnsi="Verdana"/>
          <w:sz w:val="20"/>
          <w:szCs w:val="24"/>
        </w:rPr>
      </w:pPr>
      <w:r w:rsidRPr="00213500">
        <w:rPr>
          <w:rFonts w:ascii="Verdana" w:hAnsi="Verdana"/>
          <w:b/>
          <w:bCs/>
          <w:sz w:val="20"/>
          <w:szCs w:val="24"/>
        </w:rPr>
        <w:t>Artículo 1.</w:t>
      </w:r>
      <w:r w:rsidRPr="00213500">
        <w:rPr>
          <w:rFonts w:ascii="Verdana" w:hAnsi="Verdana"/>
          <w:sz w:val="20"/>
          <w:szCs w:val="24"/>
        </w:rPr>
        <w:t> El órgano jurisdiccional que se crea se denomina Tercer Tribunal Colegiado del Trigésimo Circuito, con residencia en la ciudad de Aguascalientes, Aguascalientes, y tendrá idéntica competencia y jurisdicción territorial que los Tribunales Colegiados de Circuito en la misma entidad federativa y sede.</w:t>
      </w:r>
    </w:p>
    <w:p w:rsidR="00213500" w:rsidRPr="00213500" w:rsidRDefault="00213500" w:rsidP="00213500">
      <w:pPr>
        <w:jc w:val="both"/>
        <w:rPr>
          <w:rFonts w:ascii="Verdana" w:hAnsi="Verdana"/>
          <w:sz w:val="20"/>
          <w:szCs w:val="24"/>
        </w:rPr>
      </w:pPr>
      <w:r w:rsidRPr="00213500">
        <w:rPr>
          <w:rFonts w:ascii="Verdana" w:hAnsi="Verdana"/>
          <w:sz w:val="20"/>
          <w:szCs w:val="24"/>
        </w:rPr>
        <w:t xml:space="preserve">El domicilio de dicho órgano jurisdiccional es el Edificio Sede del Poder Judicial de la Federación, ubicado en Fracción número 2, Predio "El Ranchito", Carretera </w:t>
      </w:r>
      <w:proofErr w:type="spellStart"/>
      <w:r w:rsidRPr="00213500">
        <w:rPr>
          <w:rFonts w:ascii="Verdana" w:hAnsi="Verdana"/>
          <w:sz w:val="20"/>
          <w:szCs w:val="24"/>
        </w:rPr>
        <w:t>AguascalientesCalvillo</w:t>
      </w:r>
      <w:proofErr w:type="spellEnd"/>
      <w:r w:rsidRPr="00213500">
        <w:rPr>
          <w:rFonts w:ascii="Verdana" w:hAnsi="Verdana"/>
          <w:sz w:val="20"/>
          <w:szCs w:val="24"/>
        </w:rPr>
        <w:t xml:space="preserve"> kilómetro 5, Boulevard Adolfo Ruíz Cortines, número 2311-A, código postal 20310, Aguascalientes, Aguascalientes.</w:t>
      </w:r>
    </w:p>
    <w:p w:rsidR="00213500" w:rsidRPr="00213500" w:rsidRDefault="00213500" w:rsidP="00213500">
      <w:pPr>
        <w:jc w:val="both"/>
        <w:rPr>
          <w:rFonts w:ascii="Verdana" w:hAnsi="Verdana"/>
          <w:sz w:val="20"/>
          <w:szCs w:val="24"/>
        </w:rPr>
      </w:pPr>
      <w:r w:rsidRPr="00213500">
        <w:rPr>
          <w:rFonts w:ascii="Verdana" w:hAnsi="Verdana"/>
          <w:sz w:val="20"/>
          <w:szCs w:val="24"/>
        </w:rPr>
        <w:t>Toda la correspondencia y trámites relacionados con los asuntos de la competencia del órgano jurisdiccional de que se trata, deberán dirigirse y realizarse en el domicilio indicado.</w:t>
      </w:r>
    </w:p>
    <w:p w:rsidR="00213500" w:rsidRPr="00213500" w:rsidRDefault="00213500" w:rsidP="00213500">
      <w:pPr>
        <w:jc w:val="both"/>
        <w:rPr>
          <w:rFonts w:ascii="Verdana" w:hAnsi="Verdana"/>
          <w:sz w:val="20"/>
          <w:szCs w:val="24"/>
        </w:rPr>
      </w:pPr>
      <w:r w:rsidRPr="00213500">
        <w:rPr>
          <w:rFonts w:ascii="Verdana" w:hAnsi="Verdana"/>
          <w:b/>
          <w:bCs/>
          <w:sz w:val="20"/>
          <w:szCs w:val="24"/>
        </w:rPr>
        <w:t>Artículo 2.</w:t>
      </w:r>
      <w:r w:rsidRPr="00213500">
        <w:rPr>
          <w:rFonts w:ascii="Verdana" w:hAnsi="Verdana"/>
          <w:sz w:val="20"/>
          <w:szCs w:val="24"/>
        </w:rPr>
        <w:t> El dieciséis de octubre de dos mil diecisiete, inicia funciones el Tercer Tribunal Colegiado del Trigésimo Circuito, con la plantilla laboral autorizada para ese órgano jurisdiccional.</w:t>
      </w:r>
    </w:p>
    <w:p w:rsidR="00213500" w:rsidRPr="00213500" w:rsidRDefault="00213500" w:rsidP="00213500">
      <w:pPr>
        <w:jc w:val="both"/>
        <w:rPr>
          <w:rFonts w:ascii="Verdana" w:hAnsi="Verdana"/>
          <w:sz w:val="20"/>
          <w:szCs w:val="24"/>
        </w:rPr>
      </w:pPr>
      <w:r w:rsidRPr="00213500">
        <w:rPr>
          <w:rFonts w:ascii="Verdana" w:hAnsi="Verdana"/>
          <w:b/>
          <w:bCs/>
          <w:sz w:val="20"/>
          <w:szCs w:val="24"/>
        </w:rPr>
        <w:t>Artículo 3.</w:t>
      </w:r>
      <w:r w:rsidRPr="00213500">
        <w:rPr>
          <w:rFonts w:ascii="Verdana" w:hAnsi="Verdana"/>
          <w:sz w:val="20"/>
          <w:szCs w:val="24"/>
        </w:rPr>
        <w:t> A partir de la fecha señalada en el artículo anterior, la Oficina de Correspondencia Común de los Tribunales Colegiados del Trigésimo Circuito, prestará servicio al Tribunal Colegiado de nueva creación.</w:t>
      </w:r>
    </w:p>
    <w:p w:rsidR="00213500" w:rsidRPr="00213500" w:rsidRDefault="00213500" w:rsidP="00213500">
      <w:pPr>
        <w:jc w:val="both"/>
        <w:rPr>
          <w:rFonts w:ascii="Verdana" w:hAnsi="Verdana"/>
          <w:sz w:val="20"/>
          <w:szCs w:val="24"/>
        </w:rPr>
      </w:pPr>
      <w:r w:rsidRPr="00213500">
        <w:rPr>
          <w:rFonts w:ascii="Verdana" w:hAnsi="Verdana"/>
          <w:b/>
          <w:bCs/>
          <w:sz w:val="20"/>
          <w:szCs w:val="24"/>
        </w:rPr>
        <w:lastRenderedPageBreak/>
        <w:t>Artículo 4.</w:t>
      </w:r>
      <w:r w:rsidRPr="00213500">
        <w:rPr>
          <w:rFonts w:ascii="Verdana" w:hAnsi="Verdana"/>
          <w:sz w:val="20"/>
          <w:szCs w:val="24"/>
        </w:rPr>
        <w:t> La distribución de los nuevos asuntos que se presenten en la Oficina de Correspondencia Común, señalada en el artículo anterior, del dieciséis de octubre al quince de noviembre de dos mil diecisiete, se remitirán al Tercer Tribunal Colegiado del Trigésimo Circuito, a través del sistema computarizado que se utiliza para esos efectos; con excepción de los asuntos relacionados en términos de lo previsto en el artículo 45, fracción II, del Acuerdo General del Pleno del Consejo de la Judicatura Federal, que establece las disposiciones en materia de actividad administrativa de los órganos jurisdiccionales, en cuyo caso serán turnados al Tribunal Colegiado que cuente con los antecedentes.</w:t>
      </w:r>
    </w:p>
    <w:p w:rsidR="00213500" w:rsidRPr="00213500" w:rsidRDefault="00213500" w:rsidP="00213500">
      <w:pPr>
        <w:jc w:val="both"/>
        <w:rPr>
          <w:rFonts w:ascii="Verdana" w:hAnsi="Verdana"/>
          <w:sz w:val="20"/>
          <w:szCs w:val="24"/>
        </w:rPr>
      </w:pPr>
      <w:r w:rsidRPr="00213500">
        <w:rPr>
          <w:rFonts w:ascii="Verdana" w:hAnsi="Verdana"/>
          <w:sz w:val="20"/>
          <w:szCs w:val="24"/>
        </w:rPr>
        <w:t>Transcurrido el plazo de exclusión, los asuntos nuevos se distribuirán entre los Tribunales Colegiados del Trigésimo Circuito, conforme al sistema computarizado que se utiliza para esos efectos, por la Oficina de Correspondencia Común que les presta servicio.</w:t>
      </w:r>
    </w:p>
    <w:p w:rsidR="00213500" w:rsidRPr="00213500" w:rsidRDefault="00213500" w:rsidP="00213500">
      <w:pPr>
        <w:jc w:val="both"/>
        <w:rPr>
          <w:rFonts w:ascii="Verdana" w:hAnsi="Verdana"/>
          <w:sz w:val="20"/>
          <w:szCs w:val="24"/>
        </w:rPr>
      </w:pPr>
      <w:r w:rsidRPr="00213500">
        <w:rPr>
          <w:rFonts w:ascii="Verdana" w:hAnsi="Verdana"/>
          <w:sz w:val="20"/>
          <w:szCs w:val="24"/>
        </w:rPr>
        <w:t>Se faculta a la Comisión de Creación de Nuevos Órganos del Consejo de la Judicatura Federal, para concluir de manera anticipada o prorrogar, en su caso, el plazo de la exclusión de turno de nuevos asuntos ordenado en este artículo. Lo anterior, con base en los estudios respectivos que presente a su consideración la Secretaría Ejecutiva de Creación de Nuevos Órganos.</w:t>
      </w:r>
    </w:p>
    <w:p w:rsidR="00213500" w:rsidRPr="00213500" w:rsidRDefault="00213500" w:rsidP="00213500">
      <w:pPr>
        <w:jc w:val="both"/>
        <w:rPr>
          <w:rFonts w:ascii="Verdana" w:hAnsi="Verdana"/>
          <w:sz w:val="20"/>
          <w:szCs w:val="24"/>
        </w:rPr>
      </w:pPr>
      <w:r w:rsidRPr="00213500">
        <w:rPr>
          <w:rFonts w:ascii="Verdana" w:hAnsi="Verdana"/>
          <w:b/>
          <w:bCs/>
          <w:sz w:val="20"/>
          <w:szCs w:val="24"/>
        </w:rPr>
        <w:t>Artículo 5.</w:t>
      </w:r>
      <w:r w:rsidRPr="00213500">
        <w:rPr>
          <w:rFonts w:ascii="Verdana" w:hAnsi="Verdana"/>
          <w:sz w:val="20"/>
          <w:szCs w:val="24"/>
        </w:rPr>
        <w:t> Dentro de los cinco días hábiles siguientes a la conclusión del periodo de exclusión de turno indicado, los Presidentes de los Tribunales Colegiados del Trigésimo Circuito, deberán informar a la Secretaría Ejecutiva de Creación de Nuevos Órganos, sobre los resultados de la medida ordenada, conforme al cuadro siguiente:</w:t>
      </w:r>
    </w:p>
    <w:p w:rsidR="00213500" w:rsidRPr="00213500" w:rsidRDefault="00213500" w:rsidP="00213500">
      <w:pPr>
        <w:jc w:val="both"/>
        <w:rPr>
          <w:rFonts w:ascii="Verdana" w:hAnsi="Verdana"/>
          <w:sz w:val="20"/>
          <w:szCs w:val="24"/>
        </w:rPr>
      </w:pPr>
      <w:r w:rsidRPr="00213500">
        <w:rPr>
          <w:rFonts w:ascii="Verdana" w:hAnsi="Verdana"/>
          <w:b/>
          <w:bCs/>
          <w:sz w:val="20"/>
          <w:szCs w:val="24"/>
        </w:rPr>
        <w:t>MOVIMIENTO TOTAL DE ASUNTOS. PERIODO DEL 16 DE OCTUBRE AL 15 DE NOVIEMBRE DE 2017.</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4"/>
        <w:gridCol w:w="1645"/>
        <w:gridCol w:w="1385"/>
        <w:gridCol w:w="1338"/>
        <w:gridCol w:w="1368"/>
        <w:gridCol w:w="1642"/>
      </w:tblGrid>
      <w:tr w:rsidR="00213500" w:rsidRPr="00213500" w:rsidTr="00213500">
        <w:trPr>
          <w:trHeight w:val="388"/>
        </w:trPr>
        <w:tc>
          <w:tcPr>
            <w:tcW w:w="1334"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b/>
                <w:bCs/>
                <w:sz w:val="20"/>
                <w:szCs w:val="24"/>
              </w:rPr>
              <w:t>ÓRGANO</w:t>
            </w:r>
          </w:p>
        </w:tc>
        <w:tc>
          <w:tcPr>
            <w:tcW w:w="1645"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b/>
                <w:bCs/>
                <w:sz w:val="20"/>
                <w:szCs w:val="24"/>
              </w:rPr>
              <w:t>EXISTENCIA</w:t>
            </w:r>
            <w:r w:rsidRPr="00213500">
              <w:rPr>
                <w:rFonts w:ascii="Verdana" w:hAnsi="Verdana"/>
                <w:sz w:val="20"/>
                <w:szCs w:val="24"/>
              </w:rPr>
              <w:br/>
            </w:r>
            <w:r w:rsidRPr="00213500">
              <w:rPr>
                <w:rFonts w:ascii="Verdana" w:hAnsi="Verdana"/>
                <w:b/>
                <w:bCs/>
                <w:sz w:val="20"/>
                <w:szCs w:val="24"/>
              </w:rPr>
              <w:t>INICIAL</w:t>
            </w:r>
          </w:p>
        </w:tc>
        <w:tc>
          <w:tcPr>
            <w:tcW w:w="1385"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b/>
                <w:bCs/>
                <w:sz w:val="20"/>
                <w:szCs w:val="24"/>
              </w:rPr>
              <w:t>INGRESO</w:t>
            </w:r>
          </w:p>
        </w:tc>
        <w:tc>
          <w:tcPr>
            <w:tcW w:w="1338"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b/>
                <w:bCs/>
                <w:sz w:val="20"/>
                <w:szCs w:val="24"/>
              </w:rPr>
              <w:t>EGRESO</w:t>
            </w: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b/>
                <w:bCs/>
                <w:sz w:val="20"/>
                <w:szCs w:val="24"/>
              </w:rPr>
              <w:t>EXISTENCIA FINAL</w:t>
            </w:r>
          </w:p>
        </w:tc>
      </w:tr>
      <w:tr w:rsidR="00213500" w:rsidRPr="00213500" w:rsidTr="00213500">
        <w:trPr>
          <w:trHeight w:val="6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13500" w:rsidRPr="00213500" w:rsidRDefault="00213500" w:rsidP="00213500">
            <w:pPr>
              <w:jc w:val="both"/>
              <w:rPr>
                <w:rFonts w:ascii="Verdana" w:hAnsi="Verdana"/>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13500" w:rsidRPr="00213500" w:rsidRDefault="00213500" w:rsidP="00213500">
            <w:pPr>
              <w:jc w:val="both"/>
              <w:rPr>
                <w:rFonts w:ascii="Verdana" w:hAnsi="Verdana"/>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13500" w:rsidRPr="00213500" w:rsidRDefault="00213500" w:rsidP="00213500">
            <w:pPr>
              <w:jc w:val="both"/>
              <w:rPr>
                <w:rFonts w:ascii="Verdana" w:hAnsi="Verdana"/>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13500" w:rsidRPr="00213500" w:rsidRDefault="00213500" w:rsidP="00213500">
            <w:pPr>
              <w:jc w:val="both"/>
              <w:rPr>
                <w:rFonts w:ascii="Verdana" w:hAnsi="Verdana"/>
                <w:sz w:val="20"/>
                <w:szCs w:val="24"/>
              </w:rPr>
            </w:pPr>
          </w:p>
        </w:tc>
        <w:tc>
          <w:tcPr>
            <w:tcW w:w="136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b/>
                <w:bCs/>
                <w:sz w:val="20"/>
                <w:szCs w:val="24"/>
              </w:rPr>
              <w:t>TRÁMITE</w:t>
            </w:r>
          </w:p>
        </w:tc>
        <w:tc>
          <w:tcPr>
            <w:tcW w:w="16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b/>
                <w:bCs/>
                <w:sz w:val="20"/>
                <w:szCs w:val="24"/>
              </w:rPr>
              <w:t>PENDIENTES DE</w:t>
            </w:r>
            <w:r w:rsidRPr="00213500">
              <w:rPr>
                <w:rFonts w:ascii="Verdana" w:hAnsi="Verdana"/>
                <w:sz w:val="20"/>
                <w:szCs w:val="24"/>
              </w:rPr>
              <w:br/>
            </w:r>
            <w:r w:rsidRPr="00213500">
              <w:rPr>
                <w:rFonts w:ascii="Verdana" w:hAnsi="Verdana"/>
                <w:b/>
                <w:bCs/>
                <w:sz w:val="20"/>
                <w:szCs w:val="24"/>
              </w:rPr>
              <w:t>RESOLVER</w:t>
            </w:r>
          </w:p>
        </w:tc>
      </w:tr>
      <w:tr w:rsidR="00213500" w:rsidRPr="00213500" w:rsidTr="00213500">
        <w:trPr>
          <w:trHeight w:val="388"/>
        </w:trPr>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sz w:val="20"/>
                <w:szCs w:val="24"/>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sz w:val="20"/>
                <w:szCs w:val="24"/>
              </w:rPr>
              <w:t> </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sz w:val="20"/>
                <w:szCs w:val="24"/>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sz w:val="20"/>
                <w:szCs w:val="24"/>
              </w:rPr>
              <w:t> </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sz w:val="20"/>
                <w:szCs w:val="24"/>
              </w:rPr>
              <w:t>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3500" w:rsidRPr="00213500" w:rsidRDefault="00213500" w:rsidP="00213500">
            <w:pPr>
              <w:jc w:val="both"/>
              <w:rPr>
                <w:rFonts w:ascii="Verdana" w:hAnsi="Verdana"/>
                <w:sz w:val="20"/>
                <w:szCs w:val="24"/>
              </w:rPr>
            </w:pPr>
            <w:r w:rsidRPr="00213500">
              <w:rPr>
                <w:rFonts w:ascii="Verdana" w:hAnsi="Verdana"/>
                <w:sz w:val="20"/>
                <w:szCs w:val="24"/>
              </w:rPr>
              <w:t> </w:t>
            </w:r>
          </w:p>
        </w:tc>
      </w:tr>
    </w:tbl>
    <w:p w:rsidR="00213500" w:rsidRPr="00213500" w:rsidRDefault="00213500" w:rsidP="00213500">
      <w:pPr>
        <w:jc w:val="both"/>
        <w:rPr>
          <w:rFonts w:ascii="Verdana" w:hAnsi="Verdana"/>
          <w:sz w:val="20"/>
          <w:szCs w:val="24"/>
        </w:rPr>
      </w:pPr>
      <w:r w:rsidRPr="00213500">
        <w:rPr>
          <w:rFonts w:ascii="Verdana" w:hAnsi="Verdana"/>
          <w:sz w:val="20"/>
          <w:szCs w:val="24"/>
        </w:rPr>
        <w:t> </w:t>
      </w:r>
    </w:p>
    <w:p w:rsidR="00213500" w:rsidRPr="00213500" w:rsidRDefault="00213500" w:rsidP="00213500">
      <w:pPr>
        <w:jc w:val="both"/>
        <w:rPr>
          <w:rFonts w:ascii="Verdana" w:hAnsi="Verdana"/>
          <w:sz w:val="20"/>
          <w:szCs w:val="24"/>
        </w:rPr>
      </w:pPr>
      <w:r w:rsidRPr="00213500">
        <w:rPr>
          <w:rFonts w:ascii="Verdana" w:hAnsi="Verdana"/>
          <w:b/>
          <w:bCs/>
          <w:sz w:val="20"/>
          <w:szCs w:val="24"/>
        </w:rPr>
        <w:t>Artículo 6.</w:t>
      </w:r>
      <w:r w:rsidRPr="00213500">
        <w:rPr>
          <w:rFonts w:ascii="Verdana" w:hAnsi="Verdana"/>
          <w:sz w:val="20"/>
          <w:szCs w:val="24"/>
        </w:rPr>
        <w:t> El presidente del Tercer Tribunal Colegiado del Trigésimo Circuito, con asistencia de un secretario, deberá autorizar el uso de libros de control nuevos, en los que se asentará la certificación correspondiente, en los cuales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213500" w:rsidRPr="00213500" w:rsidRDefault="00213500" w:rsidP="00213500">
      <w:pPr>
        <w:jc w:val="both"/>
        <w:rPr>
          <w:rFonts w:ascii="Verdana" w:hAnsi="Verdana"/>
          <w:sz w:val="20"/>
          <w:szCs w:val="24"/>
        </w:rPr>
      </w:pPr>
      <w:r w:rsidRPr="00213500">
        <w:rPr>
          <w:rFonts w:ascii="Verdana" w:hAnsi="Verdana"/>
          <w:sz w:val="20"/>
          <w:szCs w:val="24"/>
        </w:rPr>
        <w:lastRenderedPageBreak/>
        <w:t>Asimismo, deberá levantar por duplicado un acta administrativa del inicio de funciones, cuyo formato le será proporcionado por la Secretaría Ejecutiva de Creación de Nuevos Órganos, remitiendo un ejemplar a ésta para su archivo.</w:t>
      </w:r>
    </w:p>
    <w:p w:rsidR="00213500" w:rsidRPr="00213500" w:rsidRDefault="00213500" w:rsidP="00213500">
      <w:pPr>
        <w:jc w:val="both"/>
        <w:rPr>
          <w:rFonts w:ascii="Verdana" w:hAnsi="Verdana"/>
          <w:sz w:val="20"/>
          <w:szCs w:val="24"/>
        </w:rPr>
      </w:pPr>
      <w:r w:rsidRPr="00213500">
        <w:rPr>
          <w:rFonts w:ascii="Verdana" w:hAnsi="Verdana"/>
          <w:b/>
          <w:bCs/>
          <w:sz w:val="20"/>
          <w:szCs w:val="24"/>
        </w:rPr>
        <w:t>Artículo 7.</w:t>
      </w:r>
      <w:r w:rsidRPr="00213500">
        <w:rPr>
          <w:rFonts w:ascii="Verdana" w:hAnsi="Verdana"/>
          <w:sz w:val="20"/>
          <w:szCs w:val="24"/>
        </w:rPr>
        <w:t> El órgano jurisdiccional de nueva creación deberá remitir dentro de los primeros cinco días naturales de cada mes, su reporte estadístico a la Dirección General de Estadística Judicial.</w:t>
      </w:r>
    </w:p>
    <w:p w:rsidR="00213500" w:rsidRPr="00213500" w:rsidRDefault="00213500" w:rsidP="00213500">
      <w:pPr>
        <w:jc w:val="both"/>
        <w:rPr>
          <w:rFonts w:ascii="Verdana" w:hAnsi="Verdana"/>
          <w:sz w:val="20"/>
          <w:szCs w:val="24"/>
        </w:rPr>
      </w:pPr>
      <w:r w:rsidRPr="00213500">
        <w:rPr>
          <w:rFonts w:ascii="Verdana" w:hAnsi="Verdana"/>
          <w:b/>
          <w:bCs/>
          <w:sz w:val="20"/>
          <w:szCs w:val="24"/>
        </w:rPr>
        <w:t>Artículo 8.</w:t>
      </w:r>
      <w:r w:rsidRPr="00213500">
        <w:rPr>
          <w:rFonts w:ascii="Verdana" w:hAnsi="Verdana"/>
          <w:sz w:val="20"/>
          <w:szCs w:val="24"/>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213500" w:rsidRPr="00213500" w:rsidRDefault="00213500" w:rsidP="00213500">
      <w:pPr>
        <w:jc w:val="both"/>
        <w:rPr>
          <w:rFonts w:ascii="Verdana" w:hAnsi="Verdana"/>
          <w:b/>
          <w:bCs/>
          <w:sz w:val="20"/>
          <w:szCs w:val="24"/>
        </w:rPr>
      </w:pPr>
      <w:r w:rsidRPr="00213500">
        <w:rPr>
          <w:rFonts w:ascii="Verdana" w:hAnsi="Verdana"/>
          <w:b/>
          <w:bCs/>
          <w:sz w:val="20"/>
          <w:szCs w:val="24"/>
        </w:rPr>
        <w:t>TRANSITORIOS</w:t>
      </w:r>
    </w:p>
    <w:p w:rsidR="00213500" w:rsidRPr="00213500" w:rsidRDefault="00213500" w:rsidP="00213500">
      <w:pPr>
        <w:jc w:val="both"/>
        <w:rPr>
          <w:rFonts w:ascii="Verdana" w:hAnsi="Verdana"/>
          <w:sz w:val="20"/>
          <w:szCs w:val="24"/>
        </w:rPr>
      </w:pPr>
      <w:r w:rsidRPr="00213500">
        <w:rPr>
          <w:rFonts w:ascii="Verdana" w:hAnsi="Verdana"/>
          <w:b/>
          <w:bCs/>
          <w:sz w:val="20"/>
          <w:szCs w:val="24"/>
        </w:rPr>
        <w:t>PRIMERO.</w:t>
      </w:r>
      <w:r w:rsidRPr="00213500">
        <w:rPr>
          <w:rFonts w:ascii="Verdana" w:hAnsi="Verdana"/>
          <w:sz w:val="20"/>
          <w:szCs w:val="24"/>
        </w:rPr>
        <w:t> El presente Acuerdo entrará en vigor el dieciséis de octubre de dos mil diecisiete, con excepción de lo previsto en el Transitorio CUARTO de dicho instrumento normativo, el cual iniciará su vigencia a partir de la aprobación del citado Acuerdo.</w:t>
      </w:r>
    </w:p>
    <w:p w:rsidR="00213500" w:rsidRPr="00213500" w:rsidRDefault="00213500" w:rsidP="00213500">
      <w:pPr>
        <w:jc w:val="both"/>
        <w:rPr>
          <w:rFonts w:ascii="Verdana" w:hAnsi="Verdana"/>
          <w:sz w:val="20"/>
          <w:szCs w:val="24"/>
        </w:rPr>
      </w:pPr>
      <w:r w:rsidRPr="00213500">
        <w:rPr>
          <w:rFonts w:ascii="Verdana" w:hAnsi="Verdana"/>
          <w:b/>
          <w:bCs/>
          <w:sz w:val="20"/>
          <w:szCs w:val="24"/>
        </w:rPr>
        <w:t>SEGUNDO.</w:t>
      </w:r>
      <w:r w:rsidRPr="00213500">
        <w:rPr>
          <w:rFonts w:ascii="Verdana" w:hAnsi="Verdana"/>
          <w:sz w:val="20"/>
          <w:szCs w:val="24"/>
        </w:rPr>
        <w:t> Publíquese este Acuerdo en el Diario Oficial de la Federación, en el Semanario Judicial de la Federación y su Gaceta; así como en el portal del Consejo de la Judicatura Federal en Internet.</w:t>
      </w:r>
    </w:p>
    <w:p w:rsidR="00213500" w:rsidRPr="00213500" w:rsidRDefault="00213500" w:rsidP="00213500">
      <w:pPr>
        <w:jc w:val="both"/>
        <w:rPr>
          <w:rFonts w:ascii="Verdana" w:hAnsi="Verdana"/>
          <w:sz w:val="20"/>
          <w:szCs w:val="24"/>
        </w:rPr>
      </w:pPr>
      <w:r w:rsidRPr="00213500">
        <w:rPr>
          <w:rFonts w:ascii="Verdana" w:hAnsi="Verdana"/>
          <w:b/>
          <w:bCs/>
          <w:sz w:val="20"/>
          <w:szCs w:val="24"/>
        </w:rPr>
        <w:t>TERCERO.</w:t>
      </w:r>
      <w:r w:rsidRPr="00213500">
        <w:rPr>
          <w:rFonts w:ascii="Verdana" w:hAnsi="Verdana"/>
          <w:sz w:val="20"/>
          <w:szCs w:val="24"/>
        </w:rPr>
        <w:t> El Tercer Tribunal Colegiado del Trigésimo Circuito, formará parte del Pleno del Trigésimo Circuito a partir del dieciséis de octubre de dos mil diecisiete, de conformidad con lo establecido por el Acuerdo General 8/2015, del Pleno del Consejo de la Judicatura Federal, relativo a la integración y funcionamiento de los Plenos de Circuito, para lo cual informará lo conducente a las Secretarías Ejecutivas de Carrera Judicial; de Creación de Nuevos Órganos; así como de Adscripción.</w:t>
      </w:r>
    </w:p>
    <w:p w:rsidR="00213500" w:rsidRPr="00213500" w:rsidRDefault="00213500" w:rsidP="00213500">
      <w:pPr>
        <w:jc w:val="both"/>
        <w:rPr>
          <w:rFonts w:ascii="Verdana" w:hAnsi="Verdana"/>
          <w:sz w:val="20"/>
          <w:szCs w:val="24"/>
        </w:rPr>
      </w:pPr>
      <w:r w:rsidRPr="00213500">
        <w:rPr>
          <w:rFonts w:ascii="Verdana" w:hAnsi="Verdana"/>
          <w:b/>
          <w:bCs/>
          <w:sz w:val="20"/>
          <w:szCs w:val="24"/>
        </w:rPr>
        <w:t>CUARTO.</w:t>
      </w:r>
      <w:r w:rsidRPr="00213500">
        <w:rPr>
          <w:rFonts w:ascii="Verdana" w:hAnsi="Verdana"/>
          <w:sz w:val="20"/>
          <w:szCs w:val="24"/>
        </w:rPr>
        <w:t> La Secretaría Ejecutiva de Administración, por conducto de las áreas administrativas a su cargo que resulten competentes, dotará al nuevo órgano jurisdiccional de la infraestructura y equipamiento necesarios para el desempeño de sus funciones.</w:t>
      </w:r>
    </w:p>
    <w:p w:rsidR="00213500" w:rsidRPr="00213500" w:rsidRDefault="00213500" w:rsidP="00213500">
      <w:pPr>
        <w:jc w:val="both"/>
        <w:rPr>
          <w:rFonts w:ascii="Verdana" w:hAnsi="Verdana"/>
          <w:sz w:val="20"/>
          <w:szCs w:val="24"/>
        </w:rPr>
      </w:pPr>
      <w:r w:rsidRPr="00213500">
        <w:rPr>
          <w:rFonts w:ascii="Verdana" w:hAnsi="Verdana"/>
          <w:sz w:val="20"/>
          <w:szCs w:val="24"/>
        </w:rPr>
        <w:t>Las Direcciones Generales de Tecnologías de la Información y de Estadística Judicial del Consejo de la Judicatura Federal, realizarán las modificaciones necesarias a la configuración del sistema computarizado, para la recepción y distribución de asuntos que se presenten en la Oficina de Correspondencia Común de que se trata.</w:t>
      </w:r>
    </w:p>
    <w:p w:rsidR="00213500" w:rsidRPr="00213500" w:rsidRDefault="00213500" w:rsidP="00213500">
      <w:pPr>
        <w:jc w:val="both"/>
        <w:rPr>
          <w:rFonts w:ascii="Verdana" w:hAnsi="Verdana"/>
          <w:sz w:val="20"/>
          <w:szCs w:val="24"/>
        </w:rPr>
      </w:pPr>
      <w:r w:rsidRPr="00213500">
        <w:rPr>
          <w:rFonts w:ascii="Verdana" w:hAnsi="Verdana"/>
          <w:b/>
          <w:bCs/>
          <w:sz w:val="20"/>
          <w:szCs w:val="24"/>
        </w:rPr>
        <w:t>QUINTO.</w:t>
      </w:r>
      <w:r w:rsidRPr="00213500">
        <w:rPr>
          <w:rFonts w:ascii="Verdana" w:hAnsi="Verdana"/>
          <w:sz w:val="20"/>
          <w:szCs w:val="24"/>
        </w:rPr>
        <w:t> Se reforma el numeral SEGUNDO, fracción XXX, número 1,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213500" w:rsidRPr="00213500" w:rsidRDefault="00213500" w:rsidP="00213500">
      <w:pPr>
        <w:jc w:val="both"/>
        <w:rPr>
          <w:rFonts w:ascii="Verdana" w:hAnsi="Verdana"/>
          <w:sz w:val="20"/>
          <w:szCs w:val="24"/>
        </w:rPr>
      </w:pPr>
      <w:r w:rsidRPr="00213500">
        <w:rPr>
          <w:rFonts w:ascii="Verdana" w:hAnsi="Verdana"/>
          <w:b/>
          <w:bCs/>
          <w:sz w:val="20"/>
          <w:szCs w:val="24"/>
        </w:rPr>
        <w:t>"SEGUNDO.</w:t>
      </w:r>
      <w:r w:rsidRPr="00213500">
        <w:rPr>
          <w:rFonts w:ascii="Verdana" w:hAnsi="Verdana"/>
          <w:sz w:val="20"/>
          <w:szCs w:val="24"/>
        </w:rPr>
        <w:t> </w:t>
      </w:r>
      <w:r w:rsidRPr="00213500">
        <w:rPr>
          <w:rFonts w:ascii="Verdana" w:hAnsi="Verdana"/>
          <w:b/>
          <w:bCs/>
          <w:sz w:val="20"/>
          <w:szCs w:val="24"/>
        </w:rPr>
        <w:t>...</w:t>
      </w:r>
    </w:p>
    <w:p w:rsidR="00213500" w:rsidRPr="00213500" w:rsidRDefault="00213500" w:rsidP="00213500">
      <w:pPr>
        <w:jc w:val="both"/>
        <w:rPr>
          <w:rFonts w:ascii="Verdana" w:hAnsi="Verdana"/>
          <w:sz w:val="20"/>
          <w:szCs w:val="24"/>
        </w:rPr>
      </w:pPr>
      <w:r w:rsidRPr="00213500">
        <w:rPr>
          <w:rFonts w:ascii="Verdana" w:hAnsi="Verdana"/>
          <w:b/>
          <w:bCs/>
          <w:sz w:val="20"/>
          <w:szCs w:val="24"/>
        </w:rPr>
        <w:lastRenderedPageBreak/>
        <w:t>I.</w:t>
      </w:r>
      <w:r w:rsidRPr="00213500">
        <w:rPr>
          <w:rFonts w:ascii="Verdana" w:hAnsi="Verdana"/>
          <w:sz w:val="20"/>
          <w:szCs w:val="24"/>
        </w:rPr>
        <w:t> a </w:t>
      </w:r>
      <w:r w:rsidRPr="00213500">
        <w:rPr>
          <w:rFonts w:ascii="Verdana" w:hAnsi="Verdana"/>
          <w:b/>
          <w:bCs/>
          <w:sz w:val="20"/>
          <w:szCs w:val="24"/>
        </w:rPr>
        <w:t>XXIX.</w:t>
      </w:r>
      <w:r w:rsidRPr="00213500">
        <w:rPr>
          <w:rFonts w:ascii="Verdana" w:hAnsi="Verdana"/>
          <w:sz w:val="20"/>
          <w:szCs w:val="24"/>
        </w:rPr>
        <w:t> </w:t>
      </w:r>
      <w:r w:rsidRPr="00213500">
        <w:rPr>
          <w:rFonts w:ascii="Verdana" w:hAnsi="Verdana"/>
          <w:b/>
          <w:bCs/>
          <w:sz w:val="20"/>
          <w:szCs w:val="24"/>
        </w:rPr>
        <w:t>...</w:t>
      </w:r>
    </w:p>
    <w:p w:rsidR="00213500" w:rsidRPr="00213500" w:rsidRDefault="00213500" w:rsidP="00213500">
      <w:pPr>
        <w:jc w:val="both"/>
        <w:rPr>
          <w:rFonts w:ascii="Verdana" w:hAnsi="Verdana"/>
          <w:sz w:val="20"/>
          <w:szCs w:val="24"/>
        </w:rPr>
      </w:pPr>
      <w:r w:rsidRPr="00213500">
        <w:rPr>
          <w:rFonts w:ascii="Verdana" w:hAnsi="Verdana"/>
          <w:b/>
          <w:bCs/>
          <w:sz w:val="20"/>
          <w:szCs w:val="24"/>
        </w:rPr>
        <w:t>XXX</w:t>
      </w:r>
      <w:proofErr w:type="gramStart"/>
      <w:r w:rsidRPr="00213500">
        <w:rPr>
          <w:rFonts w:ascii="Verdana" w:hAnsi="Verdana"/>
          <w:b/>
          <w:bCs/>
          <w:sz w:val="20"/>
          <w:szCs w:val="24"/>
        </w:rPr>
        <w:t>.</w:t>
      </w:r>
      <w:r w:rsidRPr="00213500">
        <w:rPr>
          <w:rFonts w:ascii="Verdana" w:hAnsi="Verdana"/>
          <w:sz w:val="20"/>
          <w:szCs w:val="24"/>
        </w:rPr>
        <w:t> </w:t>
      </w:r>
      <w:r w:rsidRPr="00213500">
        <w:rPr>
          <w:rFonts w:ascii="Verdana" w:hAnsi="Verdana"/>
          <w:b/>
          <w:bCs/>
          <w:sz w:val="20"/>
          <w:szCs w:val="24"/>
        </w:rPr>
        <w:t>...</w:t>
      </w:r>
      <w:proofErr w:type="gramEnd"/>
    </w:p>
    <w:p w:rsidR="00213500" w:rsidRPr="00213500" w:rsidRDefault="00213500" w:rsidP="00213500">
      <w:pPr>
        <w:jc w:val="both"/>
        <w:rPr>
          <w:rFonts w:ascii="Verdana" w:hAnsi="Verdana"/>
          <w:sz w:val="20"/>
          <w:szCs w:val="24"/>
        </w:rPr>
      </w:pPr>
      <w:r w:rsidRPr="00213500">
        <w:rPr>
          <w:rFonts w:ascii="Verdana" w:hAnsi="Verdana"/>
          <w:b/>
          <w:bCs/>
          <w:sz w:val="20"/>
          <w:szCs w:val="24"/>
        </w:rPr>
        <w:t>1.</w:t>
      </w:r>
      <w:r w:rsidRPr="00213500">
        <w:rPr>
          <w:rFonts w:ascii="Verdana" w:hAnsi="Verdana"/>
          <w:sz w:val="20"/>
          <w:szCs w:val="24"/>
        </w:rPr>
        <w:t>    Tres tribunales colegiados con residencia en Aguascalientes.</w:t>
      </w:r>
    </w:p>
    <w:p w:rsidR="00213500" w:rsidRPr="00213500" w:rsidRDefault="00213500" w:rsidP="00213500">
      <w:pPr>
        <w:jc w:val="both"/>
        <w:rPr>
          <w:rFonts w:ascii="Verdana" w:hAnsi="Verdana"/>
          <w:sz w:val="20"/>
          <w:szCs w:val="24"/>
        </w:rPr>
      </w:pPr>
      <w:r w:rsidRPr="00213500">
        <w:rPr>
          <w:rFonts w:ascii="Verdana" w:hAnsi="Verdana"/>
          <w:b/>
          <w:bCs/>
          <w:sz w:val="20"/>
          <w:szCs w:val="24"/>
        </w:rPr>
        <w:t>2.</w:t>
      </w:r>
      <w:r w:rsidRPr="00213500">
        <w:rPr>
          <w:rFonts w:ascii="Verdana" w:hAnsi="Verdana"/>
          <w:sz w:val="20"/>
          <w:szCs w:val="24"/>
        </w:rPr>
        <w:t>    a </w:t>
      </w:r>
      <w:r w:rsidRPr="00213500">
        <w:rPr>
          <w:rFonts w:ascii="Verdana" w:hAnsi="Verdana"/>
          <w:b/>
          <w:bCs/>
          <w:sz w:val="20"/>
          <w:szCs w:val="24"/>
        </w:rPr>
        <w:t>3.</w:t>
      </w:r>
      <w:r w:rsidRPr="00213500">
        <w:rPr>
          <w:rFonts w:ascii="Verdana" w:hAnsi="Verdana"/>
          <w:sz w:val="20"/>
          <w:szCs w:val="24"/>
        </w:rPr>
        <w:t> </w:t>
      </w:r>
      <w:r w:rsidRPr="00213500">
        <w:rPr>
          <w:rFonts w:ascii="Verdana" w:hAnsi="Verdana"/>
          <w:b/>
          <w:bCs/>
          <w:sz w:val="20"/>
          <w:szCs w:val="24"/>
        </w:rPr>
        <w:t>...</w:t>
      </w:r>
    </w:p>
    <w:p w:rsidR="00213500" w:rsidRPr="00213500" w:rsidRDefault="00213500" w:rsidP="00213500">
      <w:pPr>
        <w:jc w:val="both"/>
        <w:rPr>
          <w:rFonts w:ascii="Verdana" w:hAnsi="Verdana"/>
          <w:sz w:val="20"/>
          <w:szCs w:val="24"/>
        </w:rPr>
      </w:pPr>
      <w:r w:rsidRPr="00213500">
        <w:rPr>
          <w:rFonts w:ascii="Verdana" w:hAnsi="Verdana"/>
          <w:b/>
          <w:bCs/>
          <w:sz w:val="20"/>
          <w:szCs w:val="24"/>
        </w:rPr>
        <w:t>XXXI.</w:t>
      </w:r>
      <w:r w:rsidRPr="00213500">
        <w:rPr>
          <w:rFonts w:ascii="Verdana" w:hAnsi="Verdana"/>
          <w:sz w:val="20"/>
          <w:szCs w:val="24"/>
        </w:rPr>
        <w:t> a </w:t>
      </w:r>
      <w:r w:rsidRPr="00213500">
        <w:rPr>
          <w:rFonts w:ascii="Verdana" w:hAnsi="Verdana"/>
          <w:b/>
          <w:bCs/>
          <w:sz w:val="20"/>
          <w:szCs w:val="24"/>
        </w:rPr>
        <w:t>XXXII.</w:t>
      </w:r>
      <w:r w:rsidRPr="00213500">
        <w:rPr>
          <w:rFonts w:ascii="Verdana" w:hAnsi="Verdana"/>
          <w:sz w:val="20"/>
          <w:szCs w:val="24"/>
        </w:rPr>
        <w:t> </w:t>
      </w:r>
      <w:r w:rsidRPr="00213500">
        <w:rPr>
          <w:rFonts w:ascii="Verdana" w:hAnsi="Verdana"/>
          <w:b/>
          <w:bCs/>
          <w:sz w:val="20"/>
          <w:szCs w:val="24"/>
        </w:rPr>
        <w:t>..."</w:t>
      </w:r>
    </w:p>
    <w:p w:rsidR="00213500" w:rsidRPr="00213500" w:rsidRDefault="00213500" w:rsidP="00213500">
      <w:pPr>
        <w:jc w:val="both"/>
        <w:rPr>
          <w:rFonts w:ascii="Verdana" w:hAnsi="Verdana"/>
          <w:sz w:val="20"/>
          <w:szCs w:val="24"/>
        </w:rPr>
      </w:pPr>
      <w:r w:rsidRPr="00213500">
        <w:rPr>
          <w:rFonts w:ascii="Verdana" w:hAnsi="Verdana"/>
          <w:sz w:val="20"/>
          <w:szCs w:val="24"/>
        </w:rPr>
        <w:t>EL LICENCIADO </w:t>
      </w:r>
      <w:r w:rsidRPr="00213500">
        <w:rPr>
          <w:rFonts w:ascii="Verdana" w:hAnsi="Verdana"/>
          <w:b/>
          <w:bCs/>
          <w:sz w:val="20"/>
          <w:szCs w:val="24"/>
        </w:rPr>
        <w:t>GONZALO MOCTEZUMA BARRAGÁN</w:t>
      </w:r>
      <w:r w:rsidRPr="00213500">
        <w:rPr>
          <w:rFonts w:ascii="Verdana" w:hAnsi="Verdana"/>
          <w:sz w:val="20"/>
          <w:szCs w:val="24"/>
        </w:rPr>
        <w:t>, SECRETARIO EJECUTIVO DEL PLENO DEL CONSEJO DE LA JUDICATURA FEDERAL, CERTIFICA:</w:t>
      </w:r>
      <w:r w:rsidRPr="00213500">
        <w:rPr>
          <w:rFonts w:ascii="Verdana" w:hAnsi="Verdana"/>
          <w:b/>
          <w:bCs/>
          <w:sz w:val="20"/>
          <w:szCs w:val="24"/>
        </w:rPr>
        <w:t> </w:t>
      </w:r>
      <w:r w:rsidRPr="00213500">
        <w:rPr>
          <w:rFonts w:ascii="Verdana" w:hAnsi="Verdana"/>
          <w:sz w:val="20"/>
          <w:szCs w:val="24"/>
        </w:rPr>
        <w:t xml:space="preserve">Que este Acuerdo General 19/2017, del Pleno del Consejo de la Judicatura Federal, relativo a la denominación, residencia, competencia, jurisdicción territorial, domicilio y fecha de inicio de funciones del Tercer Tribunal Colegiado del Trigésimo Circuito, con residencia en Aguascalientes, Aguascalientes; así como a las reglas de turno, sistema de recepción y distribución de asuntos entre los tribunales colegiados del Circuito indicado, fue aprobado por el Pleno del propio Consejo, en sesión ordinaria de trece de septiembre de dos mil diecisiete, por unanimidad de votos de los señores Consejeros: Presidente Ministro Luis María Aguilar Morales, Felipe Borrego Estrada, Jorge Antonio </w:t>
      </w:r>
      <w:proofErr w:type="spellStart"/>
      <w:r w:rsidRPr="00213500">
        <w:rPr>
          <w:rFonts w:ascii="Verdana" w:hAnsi="Verdana"/>
          <w:sz w:val="20"/>
          <w:szCs w:val="24"/>
        </w:rPr>
        <w:t>CruzRamos</w:t>
      </w:r>
      <w:proofErr w:type="spellEnd"/>
      <w:r w:rsidRPr="00213500">
        <w:rPr>
          <w:rFonts w:ascii="Verdana" w:hAnsi="Verdana"/>
          <w:sz w:val="20"/>
          <w:szCs w:val="24"/>
        </w:rPr>
        <w:t xml:space="preserve">, Martha María del Carmen Hernández Álvarez, Alfonso Pérez Daza y J. Guadalupe </w:t>
      </w:r>
      <w:proofErr w:type="spellStart"/>
      <w:r w:rsidRPr="00213500">
        <w:rPr>
          <w:rFonts w:ascii="Verdana" w:hAnsi="Verdana"/>
          <w:sz w:val="20"/>
          <w:szCs w:val="24"/>
        </w:rPr>
        <w:t>Tafoya</w:t>
      </w:r>
      <w:proofErr w:type="spellEnd"/>
      <w:r w:rsidRPr="00213500">
        <w:rPr>
          <w:rFonts w:ascii="Verdana" w:hAnsi="Verdana"/>
          <w:sz w:val="20"/>
          <w:szCs w:val="24"/>
        </w:rPr>
        <w:t> Hernández.- Ciudad de México, a trece de septiembre de dos mil diecisiete.- Conste.- Rúbrica.</w:t>
      </w:r>
    </w:p>
    <w:p w:rsidR="00213500" w:rsidRPr="00213500" w:rsidRDefault="00213500" w:rsidP="00213500">
      <w:pPr>
        <w:jc w:val="both"/>
        <w:rPr>
          <w:rFonts w:ascii="Verdana" w:hAnsi="Verdana"/>
          <w:sz w:val="20"/>
          <w:szCs w:val="24"/>
        </w:rPr>
      </w:pPr>
      <w:bookmarkStart w:id="0" w:name="_GoBack"/>
      <w:bookmarkEnd w:id="0"/>
    </w:p>
    <w:sectPr w:rsidR="00213500" w:rsidRPr="0021350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E2" w:rsidRDefault="005A0BE2" w:rsidP="00213500">
      <w:pPr>
        <w:spacing w:after="0" w:line="240" w:lineRule="auto"/>
      </w:pPr>
      <w:r>
        <w:separator/>
      </w:r>
    </w:p>
  </w:endnote>
  <w:endnote w:type="continuationSeparator" w:id="0">
    <w:p w:rsidR="005A0BE2" w:rsidRDefault="005A0BE2" w:rsidP="0021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E2" w:rsidRDefault="005A0BE2" w:rsidP="00213500">
      <w:pPr>
        <w:spacing w:after="0" w:line="240" w:lineRule="auto"/>
      </w:pPr>
      <w:r>
        <w:separator/>
      </w:r>
    </w:p>
  </w:footnote>
  <w:footnote w:type="continuationSeparator" w:id="0">
    <w:p w:rsidR="005A0BE2" w:rsidRDefault="005A0BE2" w:rsidP="002135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00"/>
    <w:rsid w:val="00213500"/>
    <w:rsid w:val="002228FA"/>
    <w:rsid w:val="005A0BE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35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500"/>
  </w:style>
  <w:style w:type="paragraph" w:styleId="Piedepgina">
    <w:name w:val="footer"/>
    <w:basedOn w:val="Normal"/>
    <w:link w:val="PiedepginaCar"/>
    <w:uiPriority w:val="99"/>
    <w:unhideWhenUsed/>
    <w:rsid w:val="002135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35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500"/>
  </w:style>
  <w:style w:type="paragraph" w:styleId="Piedepgina">
    <w:name w:val="footer"/>
    <w:basedOn w:val="Normal"/>
    <w:link w:val="PiedepginaCar"/>
    <w:uiPriority w:val="99"/>
    <w:unhideWhenUsed/>
    <w:rsid w:val="002135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5094">
      <w:bodyDiv w:val="1"/>
      <w:marLeft w:val="0"/>
      <w:marRight w:val="0"/>
      <w:marTop w:val="0"/>
      <w:marBottom w:val="0"/>
      <w:divBdr>
        <w:top w:val="none" w:sz="0" w:space="0" w:color="auto"/>
        <w:left w:val="none" w:sz="0" w:space="0" w:color="auto"/>
        <w:bottom w:val="none" w:sz="0" w:space="0" w:color="auto"/>
        <w:right w:val="none" w:sz="0" w:space="0" w:color="auto"/>
      </w:divBdr>
      <w:divsChild>
        <w:div w:id="869798459">
          <w:marLeft w:val="0"/>
          <w:marRight w:val="0"/>
          <w:marTop w:val="0"/>
          <w:marBottom w:val="101"/>
          <w:divBdr>
            <w:top w:val="none" w:sz="0" w:space="0" w:color="auto"/>
            <w:left w:val="none" w:sz="0" w:space="0" w:color="auto"/>
            <w:bottom w:val="none" w:sz="0" w:space="0" w:color="auto"/>
            <w:right w:val="none" w:sz="0" w:space="0" w:color="auto"/>
          </w:divBdr>
        </w:div>
        <w:div w:id="1738934375">
          <w:marLeft w:val="0"/>
          <w:marRight w:val="0"/>
          <w:marTop w:val="101"/>
          <w:marBottom w:val="101"/>
          <w:divBdr>
            <w:top w:val="none" w:sz="0" w:space="0" w:color="auto"/>
            <w:left w:val="none" w:sz="0" w:space="0" w:color="auto"/>
            <w:bottom w:val="none" w:sz="0" w:space="0" w:color="auto"/>
            <w:right w:val="none" w:sz="0" w:space="0" w:color="auto"/>
          </w:divBdr>
        </w:div>
        <w:div w:id="1383168910">
          <w:marLeft w:val="0"/>
          <w:marRight w:val="0"/>
          <w:marTop w:val="0"/>
          <w:marBottom w:val="101"/>
          <w:divBdr>
            <w:top w:val="none" w:sz="0" w:space="0" w:color="auto"/>
            <w:left w:val="none" w:sz="0" w:space="0" w:color="auto"/>
            <w:bottom w:val="none" w:sz="0" w:space="0" w:color="auto"/>
            <w:right w:val="none" w:sz="0" w:space="0" w:color="auto"/>
          </w:divBdr>
        </w:div>
        <w:div w:id="713189683">
          <w:marLeft w:val="0"/>
          <w:marRight w:val="0"/>
          <w:marTop w:val="0"/>
          <w:marBottom w:val="101"/>
          <w:divBdr>
            <w:top w:val="none" w:sz="0" w:space="0" w:color="auto"/>
            <w:left w:val="none" w:sz="0" w:space="0" w:color="auto"/>
            <w:bottom w:val="none" w:sz="0" w:space="0" w:color="auto"/>
            <w:right w:val="none" w:sz="0" w:space="0" w:color="auto"/>
          </w:divBdr>
        </w:div>
        <w:div w:id="2050913782">
          <w:marLeft w:val="0"/>
          <w:marRight w:val="0"/>
          <w:marTop w:val="0"/>
          <w:marBottom w:val="101"/>
          <w:divBdr>
            <w:top w:val="none" w:sz="0" w:space="0" w:color="auto"/>
            <w:left w:val="none" w:sz="0" w:space="0" w:color="auto"/>
            <w:bottom w:val="none" w:sz="0" w:space="0" w:color="auto"/>
            <w:right w:val="none" w:sz="0" w:space="0" w:color="auto"/>
          </w:divBdr>
        </w:div>
        <w:div w:id="2076273500">
          <w:marLeft w:val="0"/>
          <w:marRight w:val="0"/>
          <w:marTop w:val="0"/>
          <w:marBottom w:val="101"/>
          <w:divBdr>
            <w:top w:val="none" w:sz="0" w:space="0" w:color="auto"/>
            <w:left w:val="none" w:sz="0" w:space="0" w:color="auto"/>
            <w:bottom w:val="none" w:sz="0" w:space="0" w:color="auto"/>
            <w:right w:val="none" w:sz="0" w:space="0" w:color="auto"/>
          </w:divBdr>
        </w:div>
        <w:div w:id="1340889541">
          <w:marLeft w:val="0"/>
          <w:marRight w:val="0"/>
          <w:marTop w:val="0"/>
          <w:marBottom w:val="101"/>
          <w:divBdr>
            <w:top w:val="none" w:sz="0" w:space="0" w:color="auto"/>
            <w:left w:val="none" w:sz="0" w:space="0" w:color="auto"/>
            <w:bottom w:val="none" w:sz="0" w:space="0" w:color="auto"/>
            <w:right w:val="none" w:sz="0" w:space="0" w:color="auto"/>
          </w:divBdr>
        </w:div>
        <w:div w:id="2003586256">
          <w:marLeft w:val="0"/>
          <w:marRight w:val="0"/>
          <w:marTop w:val="0"/>
          <w:marBottom w:val="101"/>
          <w:divBdr>
            <w:top w:val="none" w:sz="0" w:space="0" w:color="auto"/>
            <w:left w:val="none" w:sz="0" w:space="0" w:color="auto"/>
            <w:bottom w:val="none" w:sz="0" w:space="0" w:color="auto"/>
            <w:right w:val="none" w:sz="0" w:space="0" w:color="auto"/>
          </w:divBdr>
        </w:div>
        <w:div w:id="1886024267">
          <w:marLeft w:val="0"/>
          <w:marRight w:val="0"/>
          <w:marTop w:val="0"/>
          <w:marBottom w:val="101"/>
          <w:divBdr>
            <w:top w:val="none" w:sz="0" w:space="0" w:color="auto"/>
            <w:left w:val="none" w:sz="0" w:space="0" w:color="auto"/>
            <w:bottom w:val="none" w:sz="0" w:space="0" w:color="auto"/>
            <w:right w:val="none" w:sz="0" w:space="0" w:color="auto"/>
          </w:divBdr>
        </w:div>
        <w:div w:id="1484816362">
          <w:marLeft w:val="0"/>
          <w:marRight w:val="0"/>
          <w:marTop w:val="101"/>
          <w:marBottom w:val="101"/>
          <w:divBdr>
            <w:top w:val="none" w:sz="0" w:space="0" w:color="auto"/>
            <w:left w:val="none" w:sz="0" w:space="0" w:color="auto"/>
            <w:bottom w:val="none" w:sz="0" w:space="0" w:color="auto"/>
            <w:right w:val="none" w:sz="0" w:space="0" w:color="auto"/>
          </w:divBdr>
        </w:div>
        <w:div w:id="1808938886">
          <w:marLeft w:val="0"/>
          <w:marRight w:val="0"/>
          <w:marTop w:val="0"/>
          <w:marBottom w:val="101"/>
          <w:divBdr>
            <w:top w:val="none" w:sz="0" w:space="0" w:color="auto"/>
            <w:left w:val="none" w:sz="0" w:space="0" w:color="auto"/>
            <w:bottom w:val="none" w:sz="0" w:space="0" w:color="auto"/>
            <w:right w:val="none" w:sz="0" w:space="0" w:color="auto"/>
          </w:divBdr>
        </w:div>
        <w:div w:id="473836279">
          <w:marLeft w:val="0"/>
          <w:marRight w:val="0"/>
          <w:marTop w:val="0"/>
          <w:marBottom w:val="101"/>
          <w:divBdr>
            <w:top w:val="none" w:sz="0" w:space="0" w:color="auto"/>
            <w:left w:val="none" w:sz="0" w:space="0" w:color="auto"/>
            <w:bottom w:val="none" w:sz="0" w:space="0" w:color="auto"/>
            <w:right w:val="none" w:sz="0" w:space="0" w:color="auto"/>
          </w:divBdr>
        </w:div>
        <w:div w:id="1744134482">
          <w:marLeft w:val="0"/>
          <w:marRight w:val="0"/>
          <w:marTop w:val="0"/>
          <w:marBottom w:val="101"/>
          <w:divBdr>
            <w:top w:val="none" w:sz="0" w:space="0" w:color="auto"/>
            <w:left w:val="none" w:sz="0" w:space="0" w:color="auto"/>
            <w:bottom w:val="none" w:sz="0" w:space="0" w:color="auto"/>
            <w:right w:val="none" w:sz="0" w:space="0" w:color="auto"/>
          </w:divBdr>
        </w:div>
        <w:div w:id="617834766">
          <w:marLeft w:val="0"/>
          <w:marRight w:val="0"/>
          <w:marTop w:val="0"/>
          <w:marBottom w:val="101"/>
          <w:divBdr>
            <w:top w:val="none" w:sz="0" w:space="0" w:color="auto"/>
            <w:left w:val="none" w:sz="0" w:space="0" w:color="auto"/>
            <w:bottom w:val="none" w:sz="0" w:space="0" w:color="auto"/>
            <w:right w:val="none" w:sz="0" w:space="0" w:color="auto"/>
          </w:divBdr>
        </w:div>
        <w:div w:id="1638217188">
          <w:marLeft w:val="0"/>
          <w:marRight w:val="0"/>
          <w:marTop w:val="0"/>
          <w:marBottom w:val="101"/>
          <w:divBdr>
            <w:top w:val="none" w:sz="0" w:space="0" w:color="auto"/>
            <w:left w:val="none" w:sz="0" w:space="0" w:color="auto"/>
            <w:bottom w:val="none" w:sz="0" w:space="0" w:color="auto"/>
            <w:right w:val="none" w:sz="0" w:space="0" w:color="auto"/>
          </w:divBdr>
        </w:div>
        <w:div w:id="134685767">
          <w:marLeft w:val="0"/>
          <w:marRight w:val="0"/>
          <w:marTop w:val="0"/>
          <w:marBottom w:val="101"/>
          <w:divBdr>
            <w:top w:val="none" w:sz="0" w:space="0" w:color="auto"/>
            <w:left w:val="none" w:sz="0" w:space="0" w:color="auto"/>
            <w:bottom w:val="none" w:sz="0" w:space="0" w:color="auto"/>
            <w:right w:val="none" w:sz="0" w:space="0" w:color="auto"/>
          </w:divBdr>
        </w:div>
        <w:div w:id="1544059486">
          <w:marLeft w:val="0"/>
          <w:marRight w:val="0"/>
          <w:marTop w:val="0"/>
          <w:marBottom w:val="101"/>
          <w:divBdr>
            <w:top w:val="none" w:sz="0" w:space="0" w:color="auto"/>
            <w:left w:val="none" w:sz="0" w:space="0" w:color="auto"/>
            <w:bottom w:val="none" w:sz="0" w:space="0" w:color="auto"/>
            <w:right w:val="none" w:sz="0" w:space="0" w:color="auto"/>
          </w:divBdr>
        </w:div>
        <w:div w:id="648285733">
          <w:marLeft w:val="0"/>
          <w:marRight w:val="0"/>
          <w:marTop w:val="0"/>
          <w:marBottom w:val="101"/>
          <w:divBdr>
            <w:top w:val="none" w:sz="0" w:space="0" w:color="auto"/>
            <w:left w:val="none" w:sz="0" w:space="0" w:color="auto"/>
            <w:bottom w:val="none" w:sz="0" w:space="0" w:color="auto"/>
            <w:right w:val="none" w:sz="0" w:space="0" w:color="auto"/>
          </w:divBdr>
        </w:div>
        <w:div w:id="609237266">
          <w:marLeft w:val="0"/>
          <w:marRight w:val="0"/>
          <w:marTop w:val="0"/>
          <w:marBottom w:val="101"/>
          <w:divBdr>
            <w:top w:val="none" w:sz="0" w:space="0" w:color="auto"/>
            <w:left w:val="none" w:sz="0" w:space="0" w:color="auto"/>
            <w:bottom w:val="none" w:sz="0" w:space="0" w:color="auto"/>
            <w:right w:val="none" w:sz="0" w:space="0" w:color="auto"/>
          </w:divBdr>
        </w:div>
        <w:div w:id="1911571723">
          <w:marLeft w:val="0"/>
          <w:marRight w:val="0"/>
          <w:marTop w:val="0"/>
          <w:marBottom w:val="101"/>
          <w:divBdr>
            <w:top w:val="none" w:sz="0" w:space="0" w:color="auto"/>
            <w:left w:val="none" w:sz="0" w:space="0" w:color="auto"/>
            <w:bottom w:val="none" w:sz="0" w:space="0" w:color="auto"/>
            <w:right w:val="none" w:sz="0" w:space="0" w:color="auto"/>
          </w:divBdr>
        </w:div>
        <w:div w:id="1508405457">
          <w:marLeft w:val="0"/>
          <w:marRight w:val="0"/>
          <w:marTop w:val="0"/>
          <w:marBottom w:val="101"/>
          <w:divBdr>
            <w:top w:val="none" w:sz="0" w:space="0" w:color="auto"/>
            <w:left w:val="none" w:sz="0" w:space="0" w:color="auto"/>
            <w:bottom w:val="none" w:sz="0" w:space="0" w:color="auto"/>
            <w:right w:val="none" w:sz="0" w:space="0" w:color="auto"/>
          </w:divBdr>
        </w:div>
        <w:div w:id="607811364">
          <w:marLeft w:val="0"/>
          <w:marRight w:val="0"/>
          <w:marTop w:val="0"/>
          <w:marBottom w:val="101"/>
          <w:divBdr>
            <w:top w:val="none" w:sz="0" w:space="0" w:color="auto"/>
            <w:left w:val="none" w:sz="0" w:space="0" w:color="auto"/>
            <w:bottom w:val="none" w:sz="0" w:space="0" w:color="auto"/>
            <w:right w:val="none" w:sz="0" w:space="0" w:color="auto"/>
          </w:divBdr>
        </w:div>
        <w:div w:id="1558393839">
          <w:marLeft w:val="0"/>
          <w:marRight w:val="0"/>
          <w:marTop w:val="0"/>
          <w:marBottom w:val="101"/>
          <w:divBdr>
            <w:top w:val="none" w:sz="0" w:space="0" w:color="auto"/>
            <w:left w:val="none" w:sz="0" w:space="0" w:color="auto"/>
            <w:bottom w:val="none" w:sz="0" w:space="0" w:color="auto"/>
            <w:right w:val="none" w:sz="0" w:space="0" w:color="auto"/>
          </w:divBdr>
        </w:div>
        <w:div w:id="1681351344">
          <w:marLeft w:val="0"/>
          <w:marRight w:val="0"/>
          <w:marTop w:val="0"/>
          <w:marBottom w:val="101"/>
          <w:divBdr>
            <w:top w:val="none" w:sz="0" w:space="0" w:color="auto"/>
            <w:left w:val="none" w:sz="0" w:space="0" w:color="auto"/>
            <w:bottom w:val="none" w:sz="0" w:space="0" w:color="auto"/>
            <w:right w:val="none" w:sz="0" w:space="0" w:color="auto"/>
          </w:divBdr>
        </w:div>
        <w:div w:id="663708714">
          <w:marLeft w:val="0"/>
          <w:marRight w:val="0"/>
          <w:marTop w:val="0"/>
          <w:marBottom w:val="101"/>
          <w:divBdr>
            <w:top w:val="none" w:sz="0" w:space="0" w:color="auto"/>
            <w:left w:val="none" w:sz="0" w:space="0" w:color="auto"/>
            <w:bottom w:val="none" w:sz="0" w:space="0" w:color="auto"/>
            <w:right w:val="none" w:sz="0" w:space="0" w:color="auto"/>
          </w:divBdr>
        </w:div>
        <w:div w:id="1378429178">
          <w:marLeft w:val="0"/>
          <w:marRight w:val="0"/>
          <w:marTop w:val="0"/>
          <w:marBottom w:val="101"/>
          <w:divBdr>
            <w:top w:val="none" w:sz="0" w:space="0" w:color="auto"/>
            <w:left w:val="none" w:sz="0" w:space="0" w:color="auto"/>
            <w:bottom w:val="none" w:sz="0" w:space="0" w:color="auto"/>
            <w:right w:val="none" w:sz="0" w:space="0" w:color="auto"/>
          </w:divBdr>
        </w:div>
        <w:div w:id="435953845">
          <w:marLeft w:val="0"/>
          <w:marRight w:val="0"/>
          <w:marTop w:val="0"/>
          <w:marBottom w:val="101"/>
          <w:divBdr>
            <w:top w:val="none" w:sz="0" w:space="0" w:color="auto"/>
            <w:left w:val="none" w:sz="0" w:space="0" w:color="auto"/>
            <w:bottom w:val="none" w:sz="0" w:space="0" w:color="auto"/>
            <w:right w:val="none" w:sz="0" w:space="0" w:color="auto"/>
          </w:divBdr>
        </w:div>
        <w:div w:id="1220632408">
          <w:marLeft w:val="0"/>
          <w:marRight w:val="0"/>
          <w:marTop w:val="0"/>
          <w:marBottom w:val="101"/>
          <w:divBdr>
            <w:top w:val="none" w:sz="0" w:space="0" w:color="auto"/>
            <w:left w:val="none" w:sz="0" w:space="0" w:color="auto"/>
            <w:bottom w:val="none" w:sz="0" w:space="0" w:color="auto"/>
            <w:right w:val="none" w:sz="0" w:space="0" w:color="auto"/>
          </w:divBdr>
        </w:div>
        <w:div w:id="1321470686">
          <w:marLeft w:val="0"/>
          <w:marRight w:val="0"/>
          <w:marTop w:val="0"/>
          <w:marBottom w:val="101"/>
          <w:divBdr>
            <w:top w:val="none" w:sz="0" w:space="0" w:color="auto"/>
            <w:left w:val="none" w:sz="0" w:space="0" w:color="auto"/>
            <w:bottom w:val="none" w:sz="0" w:space="0" w:color="auto"/>
            <w:right w:val="none" w:sz="0" w:space="0" w:color="auto"/>
          </w:divBdr>
        </w:div>
        <w:div w:id="2054113563">
          <w:marLeft w:val="0"/>
          <w:marRight w:val="0"/>
          <w:marTop w:val="0"/>
          <w:marBottom w:val="101"/>
          <w:divBdr>
            <w:top w:val="none" w:sz="0" w:space="0" w:color="auto"/>
            <w:left w:val="none" w:sz="0" w:space="0" w:color="auto"/>
            <w:bottom w:val="none" w:sz="0" w:space="0" w:color="auto"/>
            <w:right w:val="none" w:sz="0" w:space="0" w:color="auto"/>
          </w:divBdr>
        </w:div>
        <w:div w:id="489251438">
          <w:marLeft w:val="0"/>
          <w:marRight w:val="0"/>
          <w:marTop w:val="0"/>
          <w:marBottom w:val="101"/>
          <w:divBdr>
            <w:top w:val="none" w:sz="0" w:space="0" w:color="auto"/>
            <w:left w:val="none" w:sz="0" w:space="0" w:color="auto"/>
            <w:bottom w:val="none" w:sz="0" w:space="0" w:color="auto"/>
            <w:right w:val="none" w:sz="0" w:space="0" w:color="auto"/>
          </w:divBdr>
        </w:div>
        <w:div w:id="1071080272">
          <w:marLeft w:val="0"/>
          <w:marRight w:val="0"/>
          <w:marTop w:val="0"/>
          <w:marBottom w:val="101"/>
          <w:divBdr>
            <w:top w:val="none" w:sz="0" w:space="0" w:color="auto"/>
            <w:left w:val="none" w:sz="0" w:space="0" w:color="auto"/>
            <w:bottom w:val="none" w:sz="0" w:space="0" w:color="auto"/>
            <w:right w:val="none" w:sz="0" w:space="0" w:color="auto"/>
          </w:divBdr>
        </w:div>
        <w:div w:id="545067347">
          <w:marLeft w:val="0"/>
          <w:marRight w:val="0"/>
          <w:marTop w:val="0"/>
          <w:marBottom w:val="101"/>
          <w:divBdr>
            <w:top w:val="none" w:sz="0" w:space="0" w:color="auto"/>
            <w:left w:val="none" w:sz="0" w:space="0" w:color="auto"/>
            <w:bottom w:val="none" w:sz="0" w:space="0" w:color="auto"/>
            <w:right w:val="none" w:sz="0" w:space="0" w:color="auto"/>
          </w:divBdr>
        </w:div>
        <w:div w:id="25914632">
          <w:marLeft w:val="0"/>
          <w:marRight w:val="0"/>
          <w:marTop w:val="0"/>
          <w:marBottom w:val="101"/>
          <w:divBdr>
            <w:top w:val="none" w:sz="0" w:space="0" w:color="auto"/>
            <w:left w:val="none" w:sz="0" w:space="0" w:color="auto"/>
            <w:bottom w:val="none" w:sz="0" w:space="0" w:color="auto"/>
            <w:right w:val="none" w:sz="0" w:space="0" w:color="auto"/>
          </w:divBdr>
        </w:div>
        <w:div w:id="1808472893">
          <w:marLeft w:val="0"/>
          <w:marRight w:val="0"/>
          <w:marTop w:val="0"/>
          <w:marBottom w:val="101"/>
          <w:divBdr>
            <w:top w:val="none" w:sz="0" w:space="0" w:color="auto"/>
            <w:left w:val="none" w:sz="0" w:space="0" w:color="auto"/>
            <w:bottom w:val="none" w:sz="0" w:space="0" w:color="auto"/>
            <w:right w:val="none" w:sz="0" w:space="0" w:color="auto"/>
          </w:divBdr>
        </w:div>
        <w:div w:id="220144222">
          <w:marLeft w:val="0"/>
          <w:marRight w:val="0"/>
          <w:marTop w:val="0"/>
          <w:marBottom w:val="101"/>
          <w:divBdr>
            <w:top w:val="none" w:sz="0" w:space="0" w:color="auto"/>
            <w:left w:val="none" w:sz="0" w:space="0" w:color="auto"/>
            <w:bottom w:val="none" w:sz="0" w:space="0" w:color="auto"/>
            <w:right w:val="none" w:sz="0" w:space="0" w:color="auto"/>
          </w:divBdr>
        </w:div>
        <w:div w:id="2057653809">
          <w:marLeft w:val="0"/>
          <w:marRight w:val="0"/>
          <w:marTop w:val="0"/>
          <w:marBottom w:val="101"/>
          <w:divBdr>
            <w:top w:val="none" w:sz="0" w:space="0" w:color="auto"/>
            <w:left w:val="none" w:sz="0" w:space="0" w:color="auto"/>
            <w:bottom w:val="none" w:sz="0" w:space="0" w:color="auto"/>
            <w:right w:val="none" w:sz="0" w:space="0" w:color="auto"/>
          </w:divBdr>
        </w:div>
        <w:div w:id="976060402">
          <w:marLeft w:val="0"/>
          <w:marRight w:val="0"/>
          <w:marTop w:val="0"/>
          <w:marBottom w:val="101"/>
          <w:divBdr>
            <w:top w:val="none" w:sz="0" w:space="0" w:color="auto"/>
            <w:left w:val="none" w:sz="0" w:space="0" w:color="auto"/>
            <w:bottom w:val="none" w:sz="0" w:space="0" w:color="auto"/>
            <w:right w:val="none" w:sz="0" w:space="0" w:color="auto"/>
          </w:divBdr>
        </w:div>
        <w:div w:id="517428259">
          <w:marLeft w:val="0"/>
          <w:marRight w:val="0"/>
          <w:marTop w:val="101"/>
          <w:marBottom w:val="101"/>
          <w:divBdr>
            <w:top w:val="none" w:sz="0" w:space="0" w:color="auto"/>
            <w:left w:val="none" w:sz="0" w:space="0" w:color="auto"/>
            <w:bottom w:val="none" w:sz="0" w:space="0" w:color="auto"/>
            <w:right w:val="none" w:sz="0" w:space="0" w:color="auto"/>
          </w:divBdr>
        </w:div>
        <w:div w:id="1632177122">
          <w:marLeft w:val="0"/>
          <w:marRight w:val="0"/>
          <w:marTop w:val="0"/>
          <w:marBottom w:val="101"/>
          <w:divBdr>
            <w:top w:val="none" w:sz="0" w:space="0" w:color="auto"/>
            <w:left w:val="none" w:sz="0" w:space="0" w:color="auto"/>
            <w:bottom w:val="none" w:sz="0" w:space="0" w:color="auto"/>
            <w:right w:val="none" w:sz="0" w:space="0" w:color="auto"/>
          </w:divBdr>
        </w:div>
        <w:div w:id="1911303616">
          <w:marLeft w:val="0"/>
          <w:marRight w:val="0"/>
          <w:marTop w:val="0"/>
          <w:marBottom w:val="101"/>
          <w:divBdr>
            <w:top w:val="none" w:sz="0" w:space="0" w:color="auto"/>
            <w:left w:val="none" w:sz="0" w:space="0" w:color="auto"/>
            <w:bottom w:val="none" w:sz="0" w:space="0" w:color="auto"/>
            <w:right w:val="none" w:sz="0" w:space="0" w:color="auto"/>
          </w:divBdr>
        </w:div>
        <w:div w:id="906846328">
          <w:marLeft w:val="0"/>
          <w:marRight w:val="0"/>
          <w:marTop w:val="0"/>
          <w:marBottom w:val="101"/>
          <w:divBdr>
            <w:top w:val="none" w:sz="0" w:space="0" w:color="auto"/>
            <w:left w:val="none" w:sz="0" w:space="0" w:color="auto"/>
            <w:bottom w:val="none" w:sz="0" w:space="0" w:color="auto"/>
            <w:right w:val="none" w:sz="0" w:space="0" w:color="auto"/>
          </w:divBdr>
        </w:div>
        <w:div w:id="1956713807">
          <w:marLeft w:val="0"/>
          <w:marRight w:val="0"/>
          <w:marTop w:val="0"/>
          <w:marBottom w:val="101"/>
          <w:divBdr>
            <w:top w:val="none" w:sz="0" w:space="0" w:color="auto"/>
            <w:left w:val="none" w:sz="0" w:space="0" w:color="auto"/>
            <w:bottom w:val="none" w:sz="0" w:space="0" w:color="auto"/>
            <w:right w:val="none" w:sz="0" w:space="0" w:color="auto"/>
          </w:divBdr>
        </w:div>
        <w:div w:id="2016227097">
          <w:marLeft w:val="0"/>
          <w:marRight w:val="0"/>
          <w:marTop w:val="0"/>
          <w:marBottom w:val="101"/>
          <w:divBdr>
            <w:top w:val="none" w:sz="0" w:space="0" w:color="auto"/>
            <w:left w:val="none" w:sz="0" w:space="0" w:color="auto"/>
            <w:bottom w:val="none" w:sz="0" w:space="0" w:color="auto"/>
            <w:right w:val="none" w:sz="0" w:space="0" w:color="auto"/>
          </w:divBdr>
        </w:div>
        <w:div w:id="1691299440">
          <w:marLeft w:val="0"/>
          <w:marRight w:val="0"/>
          <w:marTop w:val="0"/>
          <w:marBottom w:val="101"/>
          <w:divBdr>
            <w:top w:val="none" w:sz="0" w:space="0" w:color="auto"/>
            <w:left w:val="none" w:sz="0" w:space="0" w:color="auto"/>
            <w:bottom w:val="none" w:sz="0" w:space="0" w:color="auto"/>
            <w:right w:val="none" w:sz="0" w:space="0" w:color="auto"/>
          </w:divBdr>
        </w:div>
        <w:div w:id="168570994">
          <w:marLeft w:val="0"/>
          <w:marRight w:val="0"/>
          <w:marTop w:val="0"/>
          <w:marBottom w:val="101"/>
          <w:divBdr>
            <w:top w:val="none" w:sz="0" w:space="0" w:color="auto"/>
            <w:left w:val="none" w:sz="0" w:space="0" w:color="auto"/>
            <w:bottom w:val="none" w:sz="0" w:space="0" w:color="auto"/>
            <w:right w:val="none" w:sz="0" w:space="0" w:color="auto"/>
          </w:divBdr>
        </w:div>
        <w:div w:id="177740624">
          <w:marLeft w:val="0"/>
          <w:marRight w:val="0"/>
          <w:marTop w:val="0"/>
          <w:marBottom w:val="101"/>
          <w:divBdr>
            <w:top w:val="none" w:sz="0" w:space="0" w:color="auto"/>
            <w:left w:val="none" w:sz="0" w:space="0" w:color="auto"/>
            <w:bottom w:val="none" w:sz="0" w:space="0" w:color="auto"/>
            <w:right w:val="none" w:sz="0" w:space="0" w:color="auto"/>
          </w:divBdr>
        </w:div>
        <w:div w:id="1359165432">
          <w:marLeft w:val="0"/>
          <w:marRight w:val="0"/>
          <w:marTop w:val="0"/>
          <w:marBottom w:val="101"/>
          <w:divBdr>
            <w:top w:val="none" w:sz="0" w:space="0" w:color="auto"/>
            <w:left w:val="none" w:sz="0" w:space="0" w:color="auto"/>
            <w:bottom w:val="none" w:sz="0" w:space="0" w:color="auto"/>
            <w:right w:val="none" w:sz="0" w:space="0" w:color="auto"/>
          </w:divBdr>
        </w:div>
        <w:div w:id="1274095580">
          <w:marLeft w:val="0"/>
          <w:marRight w:val="0"/>
          <w:marTop w:val="0"/>
          <w:marBottom w:val="101"/>
          <w:divBdr>
            <w:top w:val="none" w:sz="0" w:space="0" w:color="auto"/>
            <w:left w:val="none" w:sz="0" w:space="0" w:color="auto"/>
            <w:bottom w:val="none" w:sz="0" w:space="0" w:color="auto"/>
            <w:right w:val="none" w:sz="0" w:space="0" w:color="auto"/>
          </w:divBdr>
        </w:div>
        <w:div w:id="676691273">
          <w:marLeft w:val="0"/>
          <w:marRight w:val="0"/>
          <w:marTop w:val="0"/>
          <w:marBottom w:val="101"/>
          <w:divBdr>
            <w:top w:val="none" w:sz="0" w:space="0" w:color="auto"/>
            <w:left w:val="none" w:sz="0" w:space="0" w:color="auto"/>
            <w:bottom w:val="none" w:sz="0" w:space="0" w:color="auto"/>
            <w:right w:val="none" w:sz="0" w:space="0" w:color="auto"/>
          </w:divBdr>
        </w:div>
        <w:div w:id="166139852">
          <w:marLeft w:val="0"/>
          <w:marRight w:val="0"/>
          <w:marTop w:val="0"/>
          <w:marBottom w:val="101"/>
          <w:divBdr>
            <w:top w:val="none" w:sz="0" w:space="0" w:color="auto"/>
            <w:left w:val="none" w:sz="0" w:space="0" w:color="auto"/>
            <w:bottom w:val="none" w:sz="0" w:space="0" w:color="auto"/>
            <w:right w:val="none" w:sz="0" w:space="0" w:color="auto"/>
          </w:divBdr>
        </w:div>
        <w:div w:id="2243278">
          <w:marLeft w:val="0"/>
          <w:marRight w:val="0"/>
          <w:marTop w:val="0"/>
          <w:marBottom w:val="101"/>
          <w:divBdr>
            <w:top w:val="none" w:sz="0" w:space="0" w:color="auto"/>
            <w:left w:val="none" w:sz="0" w:space="0" w:color="auto"/>
            <w:bottom w:val="none" w:sz="0" w:space="0" w:color="auto"/>
            <w:right w:val="none" w:sz="0" w:space="0" w:color="auto"/>
          </w:divBdr>
        </w:div>
      </w:divsChild>
    </w:div>
    <w:div w:id="690297756">
      <w:bodyDiv w:val="1"/>
      <w:marLeft w:val="0"/>
      <w:marRight w:val="0"/>
      <w:marTop w:val="0"/>
      <w:marBottom w:val="0"/>
      <w:divBdr>
        <w:top w:val="none" w:sz="0" w:space="0" w:color="auto"/>
        <w:left w:val="none" w:sz="0" w:space="0" w:color="auto"/>
        <w:bottom w:val="none" w:sz="0" w:space="0" w:color="auto"/>
        <w:right w:val="none" w:sz="0" w:space="0" w:color="auto"/>
      </w:divBdr>
    </w:div>
    <w:div w:id="901138274">
      <w:bodyDiv w:val="1"/>
      <w:marLeft w:val="0"/>
      <w:marRight w:val="0"/>
      <w:marTop w:val="0"/>
      <w:marBottom w:val="0"/>
      <w:divBdr>
        <w:top w:val="none" w:sz="0" w:space="0" w:color="auto"/>
        <w:left w:val="none" w:sz="0" w:space="0" w:color="auto"/>
        <w:bottom w:val="none" w:sz="0" w:space="0" w:color="auto"/>
        <w:right w:val="none" w:sz="0" w:space="0" w:color="auto"/>
      </w:divBdr>
      <w:divsChild>
        <w:div w:id="992370495">
          <w:marLeft w:val="0"/>
          <w:marRight w:val="0"/>
          <w:marTop w:val="0"/>
          <w:marBottom w:val="101"/>
          <w:divBdr>
            <w:top w:val="none" w:sz="0" w:space="0" w:color="auto"/>
            <w:left w:val="none" w:sz="0" w:space="0" w:color="auto"/>
            <w:bottom w:val="none" w:sz="0" w:space="0" w:color="auto"/>
            <w:right w:val="none" w:sz="0" w:space="0" w:color="auto"/>
          </w:divBdr>
        </w:div>
        <w:div w:id="673190805">
          <w:marLeft w:val="0"/>
          <w:marRight w:val="0"/>
          <w:marTop w:val="101"/>
          <w:marBottom w:val="101"/>
          <w:divBdr>
            <w:top w:val="none" w:sz="0" w:space="0" w:color="auto"/>
            <w:left w:val="none" w:sz="0" w:space="0" w:color="auto"/>
            <w:bottom w:val="none" w:sz="0" w:space="0" w:color="auto"/>
            <w:right w:val="none" w:sz="0" w:space="0" w:color="auto"/>
          </w:divBdr>
        </w:div>
        <w:div w:id="1033730965">
          <w:marLeft w:val="0"/>
          <w:marRight w:val="0"/>
          <w:marTop w:val="0"/>
          <w:marBottom w:val="101"/>
          <w:divBdr>
            <w:top w:val="none" w:sz="0" w:space="0" w:color="auto"/>
            <w:left w:val="none" w:sz="0" w:space="0" w:color="auto"/>
            <w:bottom w:val="none" w:sz="0" w:space="0" w:color="auto"/>
            <w:right w:val="none" w:sz="0" w:space="0" w:color="auto"/>
          </w:divBdr>
        </w:div>
        <w:div w:id="886334754">
          <w:marLeft w:val="0"/>
          <w:marRight w:val="0"/>
          <w:marTop w:val="0"/>
          <w:marBottom w:val="101"/>
          <w:divBdr>
            <w:top w:val="none" w:sz="0" w:space="0" w:color="auto"/>
            <w:left w:val="none" w:sz="0" w:space="0" w:color="auto"/>
            <w:bottom w:val="none" w:sz="0" w:space="0" w:color="auto"/>
            <w:right w:val="none" w:sz="0" w:space="0" w:color="auto"/>
          </w:divBdr>
        </w:div>
        <w:div w:id="1639336849">
          <w:marLeft w:val="0"/>
          <w:marRight w:val="0"/>
          <w:marTop w:val="0"/>
          <w:marBottom w:val="101"/>
          <w:divBdr>
            <w:top w:val="none" w:sz="0" w:space="0" w:color="auto"/>
            <w:left w:val="none" w:sz="0" w:space="0" w:color="auto"/>
            <w:bottom w:val="none" w:sz="0" w:space="0" w:color="auto"/>
            <w:right w:val="none" w:sz="0" w:space="0" w:color="auto"/>
          </w:divBdr>
        </w:div>
        <w:div w:id="609051885">
          <w:marLeft w:val="0"/>
          <w:marRight w:val="0"/>
          <w:marTop w:val="0"/>
          <w:marBottom w:val="101"/>
          <w:divBdr>
            <w:top w:val="none" w:sz="0" w:space="0" w:color="auto"/>
            <w:left w:val="none" w:sz="0" w:space="0" w:color="auto"/>
            <w:bottom w:val="none" w:sz="0" w:space="0" w:color="auto"/>
            <w:right w:val="none" w:sz="0" w:space="0" w:color="auto"/>
          </w:divBdr>
        </w:div>
        <w:div w:id="86392356">
          <w:marLeft w:val="0"/>
          <w:marRight w:val="0"/>
          <w:marTop w:val="0"/>
          <w:marBottom w:val="101"/>
          <w:divBdr>
            <w:top w:val="none" w:sz="0" w:space="0" w:color="auto"/>
            <w:left w:val="none" w:sz="0" w:space="0" w:color="auto"/>
            <w:bottom w:val="none" w:sz="0" w:space="0" w:color="auto"/>
            <w:right w:val="none" w:sz="0" w:space="0" w:color="auto"/>
          </w:divBdr>
        </w:div>
        <w:div w:id="37750431">
          <w:marLeft w:val="0"/>
          <w:marRight w:val="0"/>
          <w:marTop w:val="0"/>
          <w:marBottom w:val="101"/>
          <w:divBdr>
            <w:top w:val="none" w:sz="0" w:space="0" w:color="auto"/>
            <w:left w:val="none" w:sz="0" w:space="0" w:color="auto"/>
            <w:bottom w:val="none" w:sz="0" w:space="0" w:color="auto"/>
            <w:right w:val="none" w:sz="0" w:space="0" w:color="auto"/>
          </w:divBdr>
        </w:div>
        <w:div w:id="2126995883">
          <w:marLeft w:val="0"/>
          <w:marRight w:val="0"/>
          <w:marTop w:val="0"/>
          <w:marBottom w:val="101"/>
          <w:divBdr>
            <w:top w:val="none" w:sz="0" w:space="0" w:color="auto"/>
            <w:left w:val="none" w:sz="0" w:space="0" w:color="auto"/>
            <w:bottom w:val="none" w:sz="0" w:space="0" w:color="auto"/>
            <w:right w:val="none" w:sz="0" w:space="0" w:color="auto"/>
          </w:divBdr>
        </w:div>
        <w:div w:id="139925773">
          <w:marLeft w:val="0"/>
          <w:marRight w:val="0"/>
          <w:marTop w:val="101"/>
          <w:marBottom w:val="101"/>
          <w:divBdr>
            <w:top w:val="none" w:sz="0" w:space="0" w:color="auto"/>
            <w:left w:val="none" w:sz="0" w:space="0" w:color="auto"/>
            <w:bottom w:val="none" w:sz="0" w:space="0" w:color="auto"/>
            <w:right w:val="none" w:sz="0" w:space="0" w:color="auto"/>
          </w:divBdr>
        </w:div>
        <w:div w:id="525869943">
          <w:marLeft w:val="0"/>
          <w:marRight w:val="0"/>
          <w:marTop w:val="0"/>
          <w:marBottom w:val="101"/>
          <w:divBdr>
            <w:top w:val="none" w:sz="0" w:space="0" w:color="auto"/>
            <w:left w:val="none" w:sz="0" w:space="0" w:color="auto"/>
            <w:bottom w:val="none" w:sz="0" w:space="0" w:color="auto"/>
            <w:right w:val="none" w:sz="0" w:space="0" w:color="auto"/>
          </w:divBdr>
        </w:div>
        <w:div w:id="383528504">
          <w:marLeft w:val="0"/>
          <w:marRight w:val="0"/>
          <w:marTop w:val="0"/>
          <w:marBottom w:val="101"/>
          <w:divBdr>
            <w:top w:val="none" w:sz="0" w:space="0" w:color="auto"/>
            <w:left w:val="none" w:sz="0" w:space="0" w:color="auto"/>
            <w:bottom w:val="none" w:sz="0" w:space="0" w:color="auto"/>
            <w:right w:val="none" w:sz="0" w:space="0" w:color="auto"/>
          </w:divBdr>
        </w:div>
        <w:div w:id="658578066">
          <w:marLeft w:val="0"/>
          <w:marRight w:val="0"/>
          <w:marTop w:val="0"/>
          <w:marBottom w:val="101"/>
          <w:divBdr>
            <w:top w:val="none" w:sz="0" w:space="0" w:color="auto"/>
            <w:left w:val="none" w:sz="0" w:space="0" w:color="auto"/>
            <w:bottom w:val="none" w:sz="0" w:space="0" w:color="auto"/>
            <w:right w:val="none" w:sz="0" w:space="0" w:color="auto"/>
          </w:divBdr>
        </w:div>
        <w:div w:id="1644431808">
          <w:marLeft w:val="0"/>
          <w:marRight w:val="0"/>
          <w:marTop w:val="0"/>
          <w:marBottom w:val="101"/>
          <w:divBdr>
            <w:top w:val="none" w:sz="0" w:space="0" w:color="auto"/>
            <w:left w:val="none" w:sz="0" w:space="0" w:color="auto"/>
            <w:bottom w:val="none" w:sz="0" w:space="0" w:color="auto"/>
            <w:right w:val="none" w:sz="0" w:space="0" w:color="auto"/>
          </w:divBdr>
        </w:div>
        <w:div w:id="472597062">
          <w:marLeft w:val="0"/>
          <w:marRight w:val="0"/>
          <w:marTop w:val="0"/>
          <w:marBottom w:val="101"/>
          <w:divBdr>
            <w:top w:val="none" w:sz="0" w:space="0" w:color="auto"/>
            <w:left w:val="none" w:sz="0" w:space="0" w:color="auto"/>
            <w:bottom w:val="none" w:sz="0" w:space="0" w:color="auto"/>
            <w:right w:val="none" w:sz="0" w:space="0" w:color="auto"/>
          </w:divBdr>
        </w:div>
        <w:div w:id="300616103">
          <w:marLeft w:val="0"/>
          <w:marRight w:val="0"/>
          <w:marTop w:val="0"/>
          <w:marBottom w:val="101"/>
          <w:divBdr>
            <w:top w:val="none" w:sz="0" w:space="0" w:color="auto"/>
            <w:left w:val="none" w:sz="0" w:space="0" w:color="auto"/>
            <w:bottom w:val="none" w:sz="0" w:space="0" w:color="auto"/>
            <w:right w:val="none" w:sz="0" w:space="0" w:color="auto"/>
          </w:divBdr>
        </w:div>
        <w:div w:id="1688481957">
          <w:marLeft w:val="0"/>
          <w:marRight w:val="0"/>
          <w:marTop w:val="0"/>
          <w:marBottom w:val="101"/>
          <w:divBdr>
            <w:top w:val="none" w:sz="0" w:space="0" w:color="auto"/>
            <w:left w:val="none" w:sz="0" w:space="0" w:color="auto"/>
            <w:bottom w:val="none" w:sz="0" w:space="0" w:color="auto"/>
            <w:right w:val="none" w:sz="0" w:space="0" w:color="auto"/>
          </w:divBdr>
        </w:div>
        <w:div w:id="1010765284">
          <w:marLeft w:val="0"/>
          <w:marRight w:val="0"/>
          <w:marTop w:val="0"/>
          <w:marBottom w:val="101"/>
          <w:divBdr>
            <w:top w:val="none" w:sz="0" w:space="0" w:color="auto"/>
            <w:left w:val="none" w:sz="0" w:space="0" w:color="auto"/>
            <w:bottom w:val="none" w:sz="0" w:space="0" w:color="auto"/>
            <w:right w:val="none" w:sz="0" w:space="0" w:color="auto"/>
          </w:divBdr>
        </w:div>
        <w:div w:id="1767578877">
          <w:marLeft w:val="0"/>
          <w:marRight w:val="0"/>
          <w:marTop w:val="0"/>
          <w:marBottom w:val="101"/>
          <w:divBdr>
            <w:top w:val="none" w:sz="0" w:space="0" w:color="auto"/>
            <w:left w:val="none" w:sz="0" w:space="0" w:color="auto"/>
            <w:bottom w:val="none" w:sz="0" w:space="0" w:color="auto"/>
            <w:right w:val="none" w:sz="0" w:space="0" w:color="auto"/>
          </w:divBdr>
        </w:div>
        <w:div w:id="656037383">
          <w:marLeft w:val="0"/>
          <w:marRight w:val="0"/>
          <w:marTop w:val="0"/>
          <w:marBottom w:val="101"/>
          <w:divBdr>
            <w:top w:val="none" w:sz="0" w:space="0" w:color="auto"/>
            <w:left w:val="none" w:sz="0" w:space="0" w:color="auto"/>
            <w:bottom w:val="none" w:sz="0" w:space="0" w:color="auto"/>
            <w:right w:val="none" w:sz="0" w:space="0" w:color="auto"/>
          </w:divBdr>
        </w:div>
        <w:div w:id="1937054112">
          <w:marLeft w:val="0"/>
          <w:marRight w:val="0"/>
          <w:marTop w:val="0"/>
          <w:marBottom w:val="101"/>
          <w:divBdr>
            <w:top w:val="none" w:sz="0" w:space="0" w:color="auto"/>
            <w:left w:val="none" w:sz="0" w:space="0" w:color="auto"/>
            <w:bottom w:val="none" w:sz="0" w:space="0" w:color="auto"/>
            <w:right w:val="none" w:sz="0" w:space="0" w:color="auto"/>
          </w:divBdr>
        </w:div>
        <w:div w:id="667488092">
          <w:marLeft w:val="0"/>
          <w:marRight w:val="0"/>
          <w:marTop w:val="0"/>
          <w:marBottom w:val="101"/>
          <w:divBdr>
            <w:top w:val="none" w:sz="0" w:space="0" w:color="auto"/>
            <w:left w:val="none" w:sz="0" w:space="0" w:color="auto"/>
            <w:bottom w:val="none" w:sz="0" w:space="0" w:color="auto"/>
            <w:right w:val="none" w:sz="0" w:space="0" w:color="auto"/>
          </w:divBdr>
        </w:div>
        <w:div w:id="1158228341">
          <w:marLeft w:val="0"/>
          <w:marRight w:val="0"/>
          <w:marTop w:val="0"/>
          <w:marBottom w:val="101"/>
          <w:divBdr>
            <w:top w:val="none" w:sz="0" w:space="0" w:color="auto"/>
            <w:left w:val="none" w:sz="0" w:space="0" w:color="auto"/>
            <w:bottom w:val="none" w:sz="0" w:space="0" w:color="auto"/>
            <w:right w:val="none" w:sz="0" w:space="0" w:color="auto"/>
          </w:divBdr>
        </w:div>
        <w:div w:id="101652612">
          <w:marLeft w:val="0"/>
          <w:marRight w:val="0"/>
          <w:marTop w:val="0"/>
          <w:marBottom w:val="101"/>
          <w:divBdr>
            <w:top w:val="none" w:sz="0" w:space="0" w:color="auto"/>
            <w:left w:val="none" w:sz="0" w:space="0" w:color="auto"/>
            <w:bottom w:val="none" w:sz="0" w:space="0" w:color="auto"/>
            <w:right w:val="none" w:sz="0" w:space="0" w:color="auto"/>
          </w:divBdr>
        </w:div>
        <w:div w:id="326447304">
          <w:marLeft w:val="0"/>
          <w:marRight w:val="0"/>
          <w:marTop w:val="0"/>
          <w:marBottom w:val="101"/>
          <w:divBdr>
            <w:top w:val="none" w:sz="0" w:space="0" w:color="auto"/>
            <w:left w:val="none" w:sz="0" w:space="0" w:color="auto"/>
            <w:bottom w:val="none" w:sz="0" w:space="0" w:color="auto"/>
            <w:right w:val="none" w:sz="0" w:space="0" w:color="auto"/>
          </w:divBdr>
        </w:div>
        <w:div w:id="1012339689">
          <w:marLeft w:val="0"/>
          <w:marRight w:val="0"/>
          <w:marTop w:val="0"/>
          <w:marBottom w:val="101"/>
          <w:divBdr>
            <w:top w:val="none" w:sz="0" w:space="0" w:color="auto"/>
            <w:left w:val="none" w:sz="0" w:space="0" w:color="auto"/>
            <w:bottom w:val="none" w:sz="0" w:space="0" w:color="auto"/>
            <w:right w:val="none" w:sz="0" w:space="0" w:color="auto"/>
          </w:divBdr>
        </w:div>
        <w:div w:id="1776553136">
          <w:marLeft w:val="0"/>
          <w:marRight w:val="0"/>
          <w:marTop w:val="0"/>
          <w:marBottom w:val="101"/>
          <w:divBdr>
            <w:top w:val="none" w:sz="0" w:space="0" w:color="auto"/>
            <w:left w:val="none" w:sz="0" w:space="0" w:color="auto"/>
            <w:bottom w:val="none" w:sz="0" w:space="0" w:color="auto"/>
            <w:right w:val="none" w:sz="0" w:space="0" w:color="auto"/>
          </w:divBdr>
        </w:div>
        <w:div w:id="964844679">
          <w:marLeft w:val="0"/>
          <w:marRight w:val="0"/>
          <w:marTop w:val="0"/>
          <w:marBottom w:val="101"/>
          <w:divBdr>
            <w:top w:val="none" w:sz="0" w:space="0" w:color="auto"/>
            <w:left w:val="none" w:sz="0" w:space="0" w:color="auto"/>
            <w:bottom w:val="none" w:sz="0" w:space="0" w:color="auto"/>
            <w:right w:val="none" w:sz="0" w:space="0" w:color="auto"/>
          </w:divBdr>
        </w:div>
        <w:div w:id="1461729330">
          <w:marLeft w:val="0"/>
          <w:marRight w:val="0"/>
          <w:marTop w:val="0"/>
          <w:marBottom w:val="101"/>
          <w:divBdr>
            <w:top w:val="none" w:sz="0" w:space="0" w:color="auto"/>
            <w:left w:val="none" w:sz="0" w:space="0" w:color="auto"/>
            <w:bottom w:val="none" w:sz="0" w:space="0" w:color="auto"/>
            <w:right w:val="none" w:sz="0" w:space="0" w:color="auto"/>
          </w:divBdr>
        </w:div>
        <w:div w:id="1755324814">
          <w:marLeft w:val="0"/>
          <w:marRight w:val="0"/>
          <w:marTop w:val="0"/>
          <w:marBottom w:val="101"/>
          <w:divBdr>
            <w:top w:val="none" w:sz="0" w:space="0" w:color="auto"/>
            <w:left w:val="none" w:sz="0" w:space="0" w:color="auto"/>
            <w:bottom w:val="none" w:sz="0" w:space="0" w:color="auto"/>
            <w:right w:val="none" w:sz="0" w:space="0" w:color="auto"/>
          </w:divBdr>
        </w:div>
        <w:div w:id="1685011336">
          <w:marLeft w:val="0"/>
          <w:marRight w:val="0"/>
          <w:marTop w:val="0"/>
          <w:marBottom w:val="101"/>
          <w:divBdr>
            <w:top w:val="none" w:sz="0" w:space="0" w:color="auto"/>
            <w:left w:val="none" w:sz="0" w:space="0" w:color="auto"/>
            <w:bottom w:val="none" w:sz="0" w:space="0" w:color="auto"/>
            <w:right w:val="none" w:sz="0" w:space="0" w:color="auto"/>
          </w:divBdr>
        </w:div>
        <w:div w:id="1847135152">
          <w:marLeft w:val="0"/>
          <w:marRight w:val="0"/>
          <w:marTop w:val="0"/>
          <w:marBottom w:val="101"/>
          <w:divBdr>
            <w:top w:val="none" w:sz="0" w:space="0" w:color="auto"/>
            <w:left w:val="none" w:sz="0" w:space="0" w:color="auto"/>
            <w:bottom w:val="none" w:sz="0" w:space="0" w:color="auto"/>
            <w:right w:val="none" w:sz="0" w:space="0" w:color="auto"/>
          </w:divBdr>
        </w:div>
        <w:div w:id="1908608833">
          <w:marLeft w:val="0"/>
          <w:marRight w:val="0"/>
          <w:marTop w:val="0"/>
          <w:marBottom w:val="101"/>
          <w:divBdr>
            <w:top w:val="none" w:sz="0" w:space="0" w:color="auto"/>
            <w:left w:val="none" w:sz="0" w:space="0" w:color="auto"/>
            <w:bottom w:val="none" w:sz="0" w:space="0" w:color="auto"/>
            <w:right w:val="none" w:sz="0" w:space="0" w:color="auto"/>
          </w:divBdr>
        </w:div>
        <w:div w:id="109672094">
          <w:marLeft w:val="0"/>
          <w:marRight w:val="0"/>
          <w:marTop w:val="0"/>
          <w:marBottom w:val="101"/>
          <w:divBdr>
            <w:top w:val="none" w:sz="0" w:space="0" w:color="auto"/>
            <w:left w:val="none" w:sz="0" w:space="0" w:color="auto"/>
            <w:bottom w:val="none" w:sz="0" w:space="0" w:color="auto"/>
            <w:right w:val="none" w:sz="0" w:space="0" w:color="auto"/>
          </w:divBdr>
        </w:div>
        <w:div w:id="789857551">
          <w:marLeft w:val="0"/>
          <w:marRight w:val="0"/>
          <w:marTop w:val="0"/>
          <w:marBottom w:val="101"/>
          <w:divBdr>
            <w:top w:val="none" w:sz="0" w:space="0" w:color="auto"/>
            <w:left w:val="none" w:sz="0" w:space="0" w:color="auto"/>
            <w:bottom w:val="none" w:sz="0" w:space="0" w:color="auto"/>
            <w:right w:val="none" w:sz="0" w:space="0" w:color="auto"/>
          </w:divBdr>
        </w:div>
        <w:div w:id="1849370473">
          <w:marLeft w:val="0"/>
          <w:marRight w:val="0"/>
          <w:marTop w:val="0"/>
          <w:marBottom w:val="101"/>
          <w:divBdr>
            <w:top w:val="none" w:sz="0" w:space="0" w:color="auto"/>
            <w:left w:val="none" w:sz="0" w:space="0" w:color="auto"/>
            <w:bottom w:val="none" w:sz="0" w:space="0" w:color="auto"/>
            <w:right w:val="none" w:sz="0" w:space="0" w:color="auto"/>
          </w:divBdr>
        </w:div>
        <w:div w:id="1982228505">
          <w:marLeft w:val="0"/>
          <w:marRight w:val="0"/>
          <w:marTop w:val="0"/>
          <w:marBottom w:val="101"/>
          <w:divBdr>
            <w:top w:val="none" w:sz="0" w:space="0" w:color="auto"/>
            <w:left w:val="none" w:sz="0" w:space="0" w:color="auto"/>
            <w:bottom w:val="none" w:sz="0" w:space="0" w:color="auto"/>
            <w:right w:val="none" w:sz="0" w:space="0" w:color="auto"/>
          </w:divBdr>
        </w:div>
        <w:div w:id="461383479">
          <w:marLeft w:val="0"/>
          <w:marRight w:val="0"/>
          <w:marTop w:val="0"/>
          <w:marBottom w:val="101"/>
          <w:divBdr>
            <w:top w:val="none" w:sz="0" w:space="0" w:color="auto"/>
            <w:left w:val="none" w:sz="0" w:space="0" w:color="auto"/>
            <w:bottom w:val="none" w:sz="0" w:space="0" w:color="auto"/>
            <w:right w:val="none" w:sz="0" w:space="0" w:color="auto"/>
          </w:divBdr>
        </w:div>
        <w:div w:id="191891916">
          <w:marLeft w:val="0"/>
          <w:marRight w:val="0"/>
          <w:marTop w:val="101"/>
          <w:marBottom w:val="101"/>
          <w:divBdr>
            <w:top w:val="none" w:sz="0" w:space="0" w:color="auto"/>
            <w:left w:val="none" w:sz="0" w:space="0" w:color="auto"/>
            <w:bottom w:val="none" w:sz="0" w:space="0" w:color="auto"/>
            <w:right w:val="none" w:sz="0" w:space="0" w:color="auto"/>
          </w:divBdr>
        </w:div>
        <w:div w:id="1669745149">
          <w:marLeft w:val="0"/>
          <w:marRight w:val="0"/>
          <w:marTop w:val="0"/>
          <w:marBottom w:val="101"/>
          <w:divBdr>
            <w:top w:val="none" w:sz="0" w:space="0" w:color="auto"/>
            <w:left w:val="none" w:sz="0" w:space="0" w:color="auto"/>
            <w:bottom w:val="none" w:sz="0" w:space="0" w:color="auto"/>
            <w:right w:val="none" w:sz="0" w:space="0" w:color="auto"/>
          </w:divBdr>
        </w:div>
        <w:div w:id="380134920">
          <w:marLeft w:val="0"/>
          <w:marRight w:val="0"/>
          <w:marTop w:val="0"/>
          <w:marBottom w:val="101"/>
          <w:divBdr>
            <w:top w:val="none" w:sz="0" w:space="0" w:color="auto"/>
            <w:left w:val="none" w:sz="0" w:space="0" w:color="auto"/>
            <w:bottom w:val="none" w:sz="0" w:space="0" w:color="auto"/>
            <w:right w:val="none" w:sz="0" w:space="0" w:color="auto"/>
          </w:divBdr>
        </w:div>
        <w:div w:id="1826314990">
          <w:marLeft w:val="0"/>
          <w:marRight w:val="0"/>
          <w:marTop w:val="0"/>
          <w:marBottom w:val="101"/>
          <w:divBdr>
            <w:top w:val="none" w:sz="0" w:space="0" w:color="auto"/>
            <w:left w:val="none" w:sz="0" w:space="0" w:color="auto"/>
            <w:bottom w:val="none" w:sz="0" w:space="0" w:color="auto"/>
            <w:right w:val="none" w:sz="0" w:space="0" w:color="auto"/>
          </w:divBdr>
        </w:div>
        <w:div w:id="2129347559">
          <w:marLeft w:val="0"/>
          <w:marRight w:val="0"/>
          <w:marTop w:val="0"/>
          <w:marBottom w:val="101"/>
          <w:divBdr>
            <w:top w:val="none" w:sz="0" w:space="0" w:color="auto"/>
            <w:left w:val="none" w:sz="0" w:space="0" w:color="auto"/>
            <w:bottom w:val="none" w:sz="0" w:space="0" w:color="auto"/>
            <w:right w:val="none" w:sz="0" w:space="0" w:color="auto"/>
          </w:divBdr>
        </w:div>
        <w:div w:id="376977118">
          <w:marLeft w:val="0"/>
          <w:marRight w:val="0"/>
          <w:marTop w:val="0"/>
          <w:marBottom w:val="101"/>
          <w:divBdr>
            <w:top w:val="none" w:sz="0" w:space="0" w:color="auto"/>
            <w:left w:val="none" w:sz="0" w:space="0" w:color="auto"/>
            <w:bottom w:val="none" w:sz="0" w:space="0" w:color="auto"/>
            <w:right w:val="none" w:sz="0" w:space="0" w:color="auto"/>
          </w:divBdr>
        </w:div>
        <w:div w:id="1797986019">
          <w:marLeft w:val="0"/>
          <w:marRight w:val="0"/>
          <w:marTop w:val="0"/>
          <w:marBottom w:val="101"/>
          <w:divBdr>
            <w:top w:val="none" w:sz="0" w:space="0" w:color="auto"/>
            <w:left w:val="none" w:sz="0" w:space="0" w:color="auto"/>
            <w:bottom w:val="none" w:sz="0" w:space="0" w:color="auto"/>
            <w:right w:val="none" w:sz="0" w:space="0" w:color="auto"/>
          </w:divBdr>
        </w:div>
        <w:div w:id="521166834">
          <w:marLeft w:val="0"/>
          <w:marRight w:val="0"/>
          <w:marTop w:val="0"/>
          <w:marBottom w:val="101"/>
          <w:divBdr>
            <w:top w:val="none" w:sz="0" w:space="0" w:color="auto"/>
            <w:left w:val="none" w:sz="0" w:space="0" w:color="auto"/>
            <w:bottom w:val="none" w:sz="0" w:space="0" w:color="auto"/>
            <w:right w:val="none" w:sz="0" w:space="0" w:color="auto"/>
          </w:divBdr>
        </w:div>
        <w:div w:id="1550415192">
          <w:marLeft w:val="0"/>
          <w:marRight w:val="0"/>
          <w:marTop w:val="0"/>
          <w:marBottom w:val="101"/>
          <w:divBdr>
            <w:top w:val="none" w:sz="0" w:space="0" w:color="auto"/>
            <w:left w:val="none" w:sz="0" w:space="0" w:color="auto"/>
            <w:bottom w:val="none" w:sz="0" w:space="0" w:color="auto"/>
            <w:right w:val="none" w:sz="0" w:space="0" w:color="auto"/>
          </w:divBdr>
        </w:div>
        <w:div w:id="1579091648">
          <w:marLeft w:val="0"/>
          <w:marRight w:val="0"/>
          <w:marTop w:val="0"/>
          <w:marBottom w:val="101"/>
          <w:divBdr>
            <w:top w:val="none" w:sz="0" w:space="0" w:color="auto"/>
            <w:left w:val="none" w:sz="0" w:space="0" w:color="auto"/>
            <w:bottom w:val="none" w:sz="0" w:space="0" w:color="auto"/>
            <w:right w:val="none" w:sz="0" w:space="0" w:color="auto"/>
          </w:divBdr>
        </w:div>
        <w:div w:id="2004157655">
          <w:marLeft w:val="0"/>
          <w:marRight w:val="0"/>
          <w:marTop w:val="0"/>
          <w:marBottom w:val="101"/>
          <w:divBdr>
            <w:top w:val="none" w:sz="0" w:space="0" w:color="auto"/>
            <w:left w:val="none" w:sz="0" w:space="0" w:color="auto"/>
            <w:bottom w:val="none" w:sz="0" w:space="0" w:color="auto"/>
            <w:right w:val="none" w:sz="0" w:space="0" w:color="auto"/>
          </w:divBdr>
        </w:div>
        <w:div w:id="591084708">
          <w:marLeft w:val="0"/>
          <w:marRight w:val="0"/>
          <w:marTop w:val="0"/>
          <w:marBottom w:val="101"/>
          <w:divBdr>
            <w:top w:val="none" w:sz="0" w:space="0" w:color="auto"/>
            <w:left w:val="none" w:sz="0" w:space="0" w:color="auto"/>
            <w:bottom w:val="none" w:sz="0" w:space="0" w:color="auto"/>
            <w:right w:val="none" w:sz="0" w:space="0" w:color="auto"/>
          </w:divBdr>
        </w:div>
        <w:div w:id="2044399933">
          <w:marLeft w:val="0"/>
          <w:marRight w:val="0"/>
          <w:marTop w:val="0"/>
          <w:marBottom w:val="101"/>
          <w:divBdr>
            <w:top w:val="none" w:sz="0" w:space="0" w:color="auto"/>
            <w:left w:val="none" w:sz="0" w:space="0" w:color="auto"/>
            <w:bottom w:val="none" w:sz="0" w:space="0" w:color="auto"/>
            <w:right w:val="none" w:sz="0" w:space="0" w:color="auto"/>
          </w:divBdr>
        </w:div>
        <w:div w:id="13115991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1764</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2017-10-13T15:07:00Z</dcterms:created>
  <dcterms:modified xsi:type="dcterms:W3CDTF">2017-10-13T15:12:00Z</dcterms:modified>
</cp:coreProperties>
</file>