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3D" w:rsidRDefault="00E00A3D" w:rsidP="00E00A3D">
      <w:pPr>
        <w:jc w:val="center"/>
        <w:rPr>
          <w:rFonts w:ascii="Verdana" w:hAnsi="Verdana"/>
          <w:b/>
          <w:bCs/>
          <w:color w:val="0070C0"/>
          <w:sz w:val="24"/>
        </w:rPr>
      </w:pPr>
      <w:r w:rsidRPr="00E00A3D">
        <w:rPr>
          <w:rFonts w:ascii="Verdana" w:hAnsi="Verdana"/>
          <w:b/>
          <w:bCs/>
          <w:color w:val="0070C0"/>
          <w:sz w:val="24"/>
        </w:rPr>
        <w:t>Acuerdo del Pleno del Tribunal Federal de Conciliación y Arbitraje, por el que se comunica el mecanismo de suplencia y continuidad en caso de ausencia del Ti</w:t>
      </w:r>
      <w:r>
        <w:rPr>
          <w:rFonts w:ascii="Verdana" w:hAnsi="Verdana"/>
          <w:b/>
          <w:bCs/>
          <w:color w:val="0070C0"/>
          <w:sz w:val="24"/>
        </w:rPr>
        <w:t>tular de la Contraloría Interna</w:t>
      </w:r>
    </w:p>
    <w:p w:rsidR="00E00A3D" w:rsidRDefault="00E00A3D" w:rsidP="00E00A3D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28 de mayo de 2019)</w:t>
      </w:r>
    </w:p>
    <w:p w:rsidR="00E00A3D" w:rsidRPr="00E00A3D" w:rsidRDefault="00E00A3D" w:rsidP="00E00A3D">
      <w:pPr>
        <w:jc w:val="both"/>
        <w:rPr>
          <w:rFonts w:ascii="Verdana" w:hAnsi="Verdana"/>
          <w:b/>
          <w:bCs/>
          <w:sz w:val="20"/>
        </w:rPr>
      </w:pPr>
      <w:r w:rsidRPr="00E00A3D">
        <w:rPr>
          <w:rFonts w:ascii="Verdana" w:hAnsi="Verdana"/>
          <w:b/>
          <w:bCs/>
          <w:sz w:val="20"/>
        </w:rPr>
        <w:t>Al margen un sello con el Escudo Nacional, que dice: Estados Unidos Mexicanos.- Tribunal Federal de Conciliación y Arbitraje.- Ciudad de México.- Secretaría General de Acuerdos.</w:t>
      </w:r>
    </w:p>
    <w:p w:rsidR="00E00A3D" w:rsidRPr="00E00A3D" w:rsidRDefault="00E00A3D" w:rsidP="00E00A3D">
      <w:pPr>
        <w:jc w:val="both"/>
        <w:rPr>
          <w:rFonts w:ascii="Verdana" w:hAnsi="Verdana"/>
          <w:bCs/>
          <w:sz w:val="20"/>
        </w:rPr>
      </w:pPr>
      <w:r w:rsidRPr="00E00A3D">
        <w:rPr>
          <w:rFonts w:ascii="Verdana" w:hAnsi="Verdana"/>
          <w:bCs/>
          <w:sz w:val="20"/>
        </w:rPr>
        <w:t>ACUERDO DEL PLENO DEL TRIBUNAL FEDERAL DE CONCILIACIÓN Y ARBITRAJE, POR EL QUE SE COMUNICA EL MECANISMO DE SUPLENCIA Y CONTINUIDAD EN CASO DE AUSENCIA DEL TITULAR DE LA CONTRALORÍA INTERNA.</w:t>
      </w:r>
    </w:p>
    <w:p w:rsidR="00E00A3D" w:rsidRPr="00E00A3D" w:rsidRDefault="00E00A3D" w:rsidP="00E00A3D">
      <w:pPr>
        <w:jc w:val="both"/>
        <w:rPr>
          <w:rFonts w:ascii="Verdana" w:hAnsi="Verdana"/>
          <w:b/>
          <w:bCs/>
          <w:sz w:val="20"/>
        </w:rPr>
      </w:pPr>
      <w:r w:rsidRPr="00E00A3D">
        <w:rPr>
          <w:rFonts w:ascii="Verdana" w:hAnsi="Verdana"/>
          <w:b/>
          <w:bCs/>
          <w:sz w:val="20"/>
        </w:rPr>
        <w:t>RESULTANDO</w:t>
      </w:r>
    </w:p>
    <w:p w:rsidR="00E00A3D" w:rsidRPr="00E00A3D" w:rsidRDefault="00E00A3D" w:rsidP="00E00A3D">
      <w:pPr>
        <w:jc w:val="both"/>
        <w:rPr>
          <w:rFonts w:ascii="Verdana" w:hAnsi="Verdana"/>
          <w:bCs/>
          <w:sz w:val="20"/>
        </w:rPr>
      </w:pPr>
      <w:r w:rsidRPr="00E00A3D">
        <w:rPr>
          <w:rFonts w:ascii="Verdana" w:hAnsi="Verdana"/>
          <w:b/>
          <w:bCs/>
          <w:sz w:val="20"/>
        </w:rPr>
        <w:t>1.- </w:t>
      </w:r>
      <w:r w:rsidRPr="00E00A3D">
        <w:rPr>
          <w:rFonts w:ascii="Verdana" w:hAnsi="Verdana"/>
          <w:bCs/>
          <w:sz w:val="20"/>
        </w:rPr>
        <w:t>Que el Tribunal Federal de Conciliación y Arbitraje, cuenta con una Contraloría Interna que es la encargada de recibir las quejas y denuncias administrativas que se presenten contra los servidores públicos del Tribunal, identificarlas e investigarlas, haciendo las indagaciones necesarias y formular opinión ante el Presidente, para que éste la someta a la consideración del Pleno del Tribunal;</w:t>
      </w:r>
    </w:p>
    <w:p w:rsidR="00E00A3D" w:rsidRPr="00E00A3D" w:rsidRDefault="00E00A3D" w:rsidP="00E00A3D">
      <w:pPr>
        <w:jc w:val="both"/>
        <w:rPr>
          <w:rFonts w:ascii="Verdana" w:hAnsi="Verdana"/>
          <w:bCs/>
          <w:sz w:val="20"/>
        </w:rPr>
      </w:pPr>
      <w:r w:rsidRPr="00E00A3D">
        <w:rPr>
          <w:rFonts w:ascii="Verdana" w:hAnsi="Verdana"/>
          <w:b/>
          <w:bCs/>
          <w:sz w:val="20"/>
        </w:rPr>
        <w:t>2</w:t>
      </w:r>
      <w:r w:rsidRPr="00E00A3D">
        <w:rPr>
          <w:rFonts w:ascii="Verdana" w:hAnsi="Verdana"/>
          <w:bCs/>
          <w:sz w:val="20"/>
        </w:rPr>
        <w:t>.- Que dicha Contraloría Interna también ha venido operando con el Acuerdo por el que se delegan en el Contralor Interno del Tribunal Federal de Conciliación y Arbitraje las facultades que se indican, publicado en el Diario Oficial de la Federación el cinco de marzo de dos mil tres y el Marco Jurídico de la Ley General de Responsabilidades Administrativas con entrada en vigor el diecinueve de julio de dos mil diecisiete;</w:t>
      </w:r>
    </w:p>
    <w:p w:rsidR="00E00A3D" w:rsidRPr="00E00A3D" w:rsidRDefault="00E00A3D" w:rsidP="00E00A3D">
      <w:pPr>
        <w:jc w:val="both"/>
        <w:rPr>
          <w:rFonts w:ascii="Verdana" w:hAnsi="Verdana"/>
          <w:bCs/>
          <w:sz w:val="20"/>
        </w:rPr>
      </w:pPr>
      <w:r w:rsidRPr="00E00A3D">
        <w:rPr>
          <w:rFonts w:ascii="Verdana" w:hAnsi="Verdana"/>
          <w:b/>
          <w:bCs/>
          <w:sz w:val="20"/>
        </w:rPr>
        <w:t>3</w:t>
      </w:r>
      <w:r w:rsidRPr="00E00A3D">
        <w:rPr>
          <w:rFonts w:ascii="Verdana" w:hAnsi="Verdana"/>
          <w:bCs/>
          <w:sz w:val="20"/>
        </w:rPr>
        <w:t>.- Que en el caso de que la Contraloría Interna del Tribunal Federal de Conciliación y Arbitraje no cuente con Titular por algún periodo; ya sea que la ausencia temporal o definitiva en tanto se expida nuevo nombramiento, se deba a distintos motivos de salud, administrativos o de cualquier otra índole, debe preverse el mecanismo de suplencia.</w:t>
      </w:r>
    </w:p>
    <w:p w:rsidR="00E00A3D" w:rsidRPr="00E00A3D" w:rsidRDefault="00E00A3D" w:rsidP="00E00A3D">
      <w:pPr>
        <w:jc w:val="both"/>
        <w:rPr>
          <w:rFonts w:ascii="Verdana" w:hAnsi="Verdana"/>
          <w:bCs/>
          <w:sz w:val="20"/>
        </w:rPr>
      </w:pPr>
      <w:r w:rsidRPr="00E00A3D">
        <w:rPr>
          <w:rFonts w:ascii="Verdana" w:hAnsi="Verdana"/>
          <w:b/>
          <w:bCs/>
          <w:sz w:val="20"/>
        </w:rPr>
        <w:t>4</w:t>
      </w:r>
      <w:r w:rsidRPr="00E00A3D">
        <w:rPr>
          <w:rFonts w:ascii="Verdana" w:hAnsi="Verdana"/>
          <w:bCs/>
          <w:sz w:val="20"/>
        </w:rPr>
        <w:t>.- Que actualmente ni la Ley Federal de los Trabajadores al Servicio del Estado, la Ley General de Responsabilidades Administrativas y los ordenamientos jurídicos internos y aplicables al ámbito en la materia de responsabilidades administrativas de este H. Tribunal, prevén la hipótesis de suplencia en caso de ausencia temporal o definitiva del titular del Órgano Interno de Control, en tanto se expida el nuevo nombramiento del Contralor Interno.</w:t>
      </w:r>
    </w:p>
    <w:p w:rsidR="00E00A3D" w:rsidRPr="00E00A3D" w:rsidRDefault="00E00A3D" w:rsidP="00E00A3D">
      <w:pPr>
        <w:jc w:val="both"/>
        <w:rPr>
          <w:rFonts w:ascii="Verdana" w:hAnsi="Verdana"/>
          <w:bCs/>
          <w:sz w:val="20"/>
        </w:rPr>
      </w:pPr>
      <w:r w:rsidRPr="00E00A3D">
        <w:rPr>
          <w:rFonts w:ascii="Verdana" w:hAnsi="Verdana"/>
          <w:b/>
          <w:bCs/>
          <w:sz w:val="20"/>
        </w:rPr>
        <w:t>5</w:t>
      </w:r>
      <w:r w:rsidRPr="00E00A3D">
        <w:rPr>
          <w:rFonts w:ascii="Verdana" w:hAnsi="Verdana"/>
          <w:bCs/>
          <w:sz w:val="20"/>
        </w:rPr>
        <w:t>.- Asimismo en la fracción IX del artículo 17 del Reglamento Interior del Tribunal Federal de Conciliación y Arbitraje faculta al Presidente del mismo, ... </w:t>
      </w:r>
      <w:r w:rsidRPr="00E00A3D">
        <w:rPr>
          <w:rFonts w:ascii="Verdana" w:hAnsi="Verdana"/>
          <w:bCs/>
          <w:i/>
          <w:iCs/>
          <w:sz w:val="20"/>
        </w:rPr>
        <w:t>vigilar el correcto funcionamiento de las Salas y demás Unidades Administrativas ...</w:t>
      </w:r>
      <w:r w:rsidRPr="00E00A3D">
        <w:rPr>
          <w:rFonts w:ascii="Verdana" w:hAnsi="Verdana"/>
          <w:bCs/>
          <w:sz w:val="20"/>
        </w:rPr>
        <w:t>, y para efectos de no incurrir en irregularidades, impedimentos o nulidades deberá aplicarse un </w:t>
      </w:r>
      <w:r w:rsidRPr="00E00A3D">
        <w:rPr>
          <w:rFonts w:ascii="Verdana" w:hAnsi="Verdana"/>
          <w:bCs/>
          <w:i/>
          <w:iCs/>
          <w:sz w:val="20"/>
        </w:rPr>
        <w:t>mecanismo de suplencia en caso de ausencia temporal o definitiva del Titular de la Contraloría Interna</w:t>
      </w:r>
      <w:r w:rsidRPr="00E00A3D">
        <w:rPr>
          <w:rFonts w:ascii="Verdana" w:hAnsi="Verdana"/>
          <w:bCs/>
          <w:sz w:val="20"/>
        </w:rPr>
        <w:t xml:space="preserve">, que permitan el desarrollo de los trámites y </w:t>
      </w:r>
      <w:r w:rsidRPr="00E00A3D">
        <w:rPr>
          <w:rFonts w:ascii="Verdana" w:hAnsi="Verdana"/>
          <w:bCs/>
          <w:sz w:val="20"/>
        </w:rPr>
        <w:lastRenderedPageBreak/>
        <w:t>sustanciación de los procedimientos que actualmente tiene activos, así como la atención a usuarios que solicitan el servicio, práctica de actuaciones y demás diligencias pertinentes mientras exista la ausencia del Titular de la Contraloría Interna.</w:t>
      </w:r>
    </w:p>
    <w:p w:rsidR="00E00A3D" w:rsidRPr="00E00A3D" w:rsidRDefault="00E00A3D" w:rsidP="00E00A3D">
      <w:pPr>
        <w:jc w:val="both"/>
        <w:rPr>
          <w:rFonts w:ascii="Verdana" w:hAnsi="Verdana"/>
          <w:bCs/>
          <w:sz w:val="20"/>
        </w:rPr>
      </w:pPr>
      <w:r w:rsidRPr="00E00A3D">
        <w:rPr>
          <w:rFonts w:ascii="Verdana" w:hAnsi="Verdana"/>
          <w:b/>
          <w:bCs/>
          <w:sz w:val="20"/>
        </w:rPr>
        <w:t>6.- </w:t>
      </w:r>
      <w:r w:rsidRPr="00E00A3D">
        <w:rPr>
          <w:rFonts w:ascii="Verdana" w:hAnsi="Verdana"/>
          <w:bCs/>
          <w:sz w:val="20"/>
        </w:rPr>
        <w:t xml:space="preserve">Por lo antes expuesto y con fundamento en lo dispuesto por el artículo 124-A de la Ley Federal de los Trabajadores al Servicio del Estado, 6 y 8, fracción VI, 17 </w:t>
      </w:r>
      <w:proofErr w:type="gramStart"/>
      <w:r w:rsidRPr="00E00A3D">
        <w:rPr>
          <w:rFonts w:ascii="Verdana" w:hAnsi="Verdana"/>
          <w:bCs/>
          <w:sz w:val="20"/>
        </w:rPr>
        <w:t>fracción</w:t>
      </w:r>
      <w:proofErr w:type="gramEnd"/>
      <w:r w:rsidRPr="00E00A3D">
        <w:rPr>
          <w:rFonts w:ascii="Verdana" w:hAnsi="Verdana"/>
          <w:bCs/>
          <w:sz w:val="20"/>
        </w:rPr>
        <w:t xml:space="preserve"> IX, 33 y 34 del Reglamento Interior del Tribunal Federal de Conciliación y Arbitraje, se emite el siguiente:</w:t>
      </w:r>
    </w:p>
    <w:p w:rsidR="00E00A3D" w:rsidRPr="00E00A3D" w:rsidRDefault="00E00A3D" w:rsidP="00E00A3D">
      <w:pPr>
        <w:jc w:val="both"/>
        <w:rPr>
          <w:rFonts w:ascii="Verdana" w:hAnsi="Verdana"/>
          <w:b/>
          <w:bCs/>
          <w:sz w:val="20"/>
        </w:rPr>
      </w:pPr>
      <w:r w:rsidRPr="00E00A3D">
        <w:rPr>
          <w:rFonts w:ascii="Verdana" w:hAnsi="Verdana"/>
          <w:b/>
          <w:bCs/>
          <w:sz w:val="20"/>
        </w:rPr>
        <w:t>ACUERDO</w:t>
      </w:r>
    </w:p>
    <w:p w:rsidR="00E00A3D" w:rsidRPr="00E00A3D" w:rsidRDefault="00E00A3D" w:rsidP="00E00A3D">
      <w:pPr>
        <w:jc w:val="both"/>
        <w:rPr>
          <w:rFonts w:ascii="Verdana" w:hAnsi="Verdana"/>
          <w:bCs/>
          <w:sz w:val="20"/>
        </w:rPr>
      </w:pPr>
      <w:r w:rsidRPr="00E00A3D">
        <w:rPr>
          <w:rFonts w:ascii="Verdana" w:hAnsi="Verdana"/>
          <w:b/>
          <w:bCs/>
          <w:sz w:val="20"/>
        </w:rPr>
        <w:t>PRIMERO.-</w:t>
      </w:r>
      <w:r w:rsidRPr="00E00A3D">
        <w:rPr>
          <w:rFonts w:ascii="Verdana" w:hAnsi="Verdana"/>
          <w:bCs/>
          <w:sz w:val="20"/>
        </w:rPr>
        <w:t> Se determina que en</w:t>
      </w:r>
      <w:r w:rsidRPr="00E00A3D">
        <w:rPr>
          <w:rFonts w:ascii="Verdana" w:hAnsi="Verdana"/>
          <w:b/>
          <w:bCs/>
          <w:sz w:val="20"/>
        </w:rPr>
        <w:t> </w:t>
      </w:r>
      <w:r w:rsidRPr="00E00A3D">
        <w:rPr>
          <w:rFonts w:ascii="Verdana" w:hAnsi="Verdana"/>
          <w:bCs/>
          <w:sz w:val="20"/>
        </w:rPr>
        <w:t>la ausencia temporal o definitiva del Titular de la Contraloría Interna del Tribunal Federal de Conciliación y Arbitraje, ésta será suplida por el Servidor Público de la Contraloría Interna, que el Magistrado Presidente del Tribunal designe por escrito, o en su orden, por las áreas subalternas de Responsabilidades, de Auditoría Interna, y de Quejas.</w:t>
      </w:r>
    </w:p>
    <w:p w:rsidR="00E00A3D" w:rsidRPr="00E00A3D" w:rsidRDefault="00E00A3D" w:rsidP="00E00A3D">
      <w:pPr>
        <w:jc w:val="both"/>
        <w:rPr>
          <w:rFonts w:ascii="Verdana" w:hAnsi="Verdana"/>
          <w:bCs/>
          <w:sz w:val="20"/>
        </w:rPr>
      </w:pPr>
      <w:r w:rsidRPr="00E00A3D">
        <w:rPr>
          <w:rFonts w:ascii="Verdana" w:hAnsi="Verdana"/>
          <w:b/>
          <w:bCs/>
          <w:sz w:val="20"/>
        </w:rPr>
        <w:t>SEGUNDO.- </w:t>
      </w:r>
      <w:r w:rsidRPr="00E00A3D">
        <w:rPr>
          <w:rFonts w:ascii="Verdana" w:hAnsi="Verdana"/>
          <w:bCs/>
          <w:sz w:val="20"/>
        </w:rPr>
        <w:t>Con la finalidad de que la Contraloría Interna del Tribunal Federal de Conciliación y Arbitraje actualmente no detenga su funcionamiento y la atención a usuarios, trámites y asuntos, se autoriza a los Subdirectores de Área que conforman la Contraloría Interna y que se encuentran adscritos al área de su responsabilidad, a atender y continuar los procedimientos que a la fecha tiene activos de acuerdo a la competencia de cada asunto en particular, por tratarse de funcionarios inmediatos inferiores conforme a la estructura actual de la Contraloría Interna que pueden auxiliar en funciones al Titular de la misma y a efecto de que los actos administrativos, internos y del procedimiento dentro de su competencia cuenten con la legitimación procesal correspondiente.</w:t>
      </w:r>
    </w:p>
    <w:p w:rsidR="00E00A3D" w:rsidRPr="00E00A3D" w:rsidRDefault="00E00A3D" w:rsidP="00E00A3D">
      <w:pPr>
        <w:jc w:val="both"/>
        <w:rPr>
          <w:rFonts w:ascii="Verdana" w:hAnsi="Verdana"/>
          <w:bCs/>
          <w:sz w:val="20"/>
        </w:rPr>
      </w:pPr>
      <w:r w:rsidRPr="00E00A3D">
        <w:rPr>
          <w:rFonts w:ascii="Verdana" w:hAnsi="Verdana"/>
          <w:b/>
          <w:bCs/>
          <w:sz w:val="20"/>
        </w:rPr>
        <w:t>TERCERO.- </w:t>
      </w:r>
      <w:r w:rsidRPr="00E00A3D">
        <w:rPr>
          <w:rFonts w:ascii="Verdana" w:hAnsi="Verdana"/>
          <w:bCs/>
          <w:sz w:val="20"/>
        </w:rPr>
        <w:t>Se instruye al Director General de Administración, para que realice todos los trámites administrativos que resulten necesarios para dar cumplimiento al presente acuerdo.</w:t>
      </w:r>
    </w:p>
    <w:p w:rsidR="00E00A3D" w:rsidRPr="00E00A3D" w:rsidRDefault="00E00A3D" w:rsidP="00E00A3D">
      <w:pPr>
        <w:jc w:val="both"/>
        <w:rPr>
          <w:rFonts w:ascii="Verdana" w:hAnsi="Verdana"/>
          <w:bCs/>
          <w:sz w:val="20"/>
        </w:rPr>
      </w:pPr>
      <w:r w:rsidRPr="00E00A3D">
        <w:rPr>
          <w:rFonts w:ascii="Verdana" w:hAnsi="Verdana"/>
          <w:bCs/>
          <w:sz w:val="20"/>
        </w:rPr>
        <w:t> </w:t>
      </w:r>
    </w:p>
    <w:p w:rsidR="00E00A3D" w:rsidRPr="00E00A3D" w:rsidRDefault="00E00A3D" w:rsidP="00E00A3D">
      <w:pPr>
        <w:jc w:val="both"/>
        <w:rPr>
          <w:rFonts w:ascii="Verdana" w:hAnsi="Verdana"/>
          <w:bCs/>
          <w:sz w:val="20"/>
        </w:rPr>
      </w:pPr>
      <w:r w:rsidRPr="00E00A3D">
        <w:rPr>
          <w:rFonts w:ascii="Verdana" w:hAnsi="Verdana"/>
          <w:b/>
          <w:bCs/>
          <w:sz w:val="20"/>
        </w:rPr>
        <w:t>CUARTO.- </w:t>
      </w:r>
      <w:r w:rsidRPr="00E00A3D">
        <w:rPr>
          <w:rFonts w:ascii="Verdana" w:hAnsi="Verdana"/>
          <w:bCs/>
          <w:sz w:val="20"/>
        </w:rPr>
        <w:t>Publíquese el presente acuerdo a través del Diario Oficial de la Federación; el Boletín Laboral Burocrático y en la página de internet de este Tribunal.</w:t>
      </w:r>
    </w:p>
    <w:p w:rsidR="00E00A3D" w:rsidRPr="00E00A3D" w:rsidRDefault="00E00A3D" w:rsidP="00E00A3D">
      <w:pPr>
        <w:jc w:val="both"/>
        <w:rPr>
          <w:rFonts w:ascii="Verdana" w:hAnsi="Verdana"/>
          <w:bCs/>
          <w:sz w:val="20"/>
        </w:rPr>
      </w:pPr>
      <w:r w:rsidRPr="00E00A3D">
        <w:rPr>
          <w:rFonts w:ascii="Verdana" w:hAnsi="Verdana"/>
          <w:bCs/>
          <w:sz w:val="20"/>
        </w:rPr>
        <w:t>Así lo resolvió por UNANIMIDAD de votos, el Pleno del Tribunal Federal de Conciliación y Arbitraje, en sesión celebrada el veintiuno de mayo de dos mil diecinueve.- El Presidente del Tribunal.- El Secretario General de Acuerdos.- Doy fe.</w:t>
      </w:r>
    </w:p>
    <w:p w:rsidR="00E00A3D" w:rsidRPr="00E00A3D" w:rsidRDefault="00E00A3D" w:rsidP="00E00A3D">
      <w:pPr>
        <w:jc w:val="both"/>
        <w:rPr>
          <w:rFonts w:ascii="Verdana" w:hAnsi="Verdana"/>
          <w:bCs/>
          <w:sz w:val="20"/>
        </w:rPr>
      </w:pPr>
      <w:r w:rsidRPr="00E00A3D">
        <w:rPr>
          <w:rFonts w:ascii="Verdana" w:hAnsi="Verdana"/>
          <w:bCs/>
          <w:sz w:val="20"/>
        </w:rPr>
        <w:t xml:space="preserve">EL SUSCRITO SECRETARIO GENERAL DE ACUERDOS DEL TRIBUNAL FEDERAL DE CONCILIACION Y ARBITRAJE: CERTIFICA. Que este acuerdo mediante el cual el Pleno del Tribunal Federal de Conciliación y Arbitraje, en sesión celebrada el veintiuno de mayo de dos mil diecinueve, emite Acuerdo del Pleno del Tribunal Federal de Conciliación y Arbitraje, por el que se comunica el mecanismo de Suplencia y Continuidad en caso de ausencia del titular de la Contraloría Interna, fue aprobado por unanimidad de votos de los Señores Magistrados: Plácido Humberto Morales Vázquez, José Luis Soto Miranda, Eduardo </w:t>
      </w:r>
      <w:proofErr w:type="spellStart"/>
      <w:r w:rsidRPr="00E00A3D">
        <w:rPr>
          <w:rFonts w:ascii="Verdana" w:hAnsi="Verdana"/>
          <w:bCs/>
          <w:sz w:val="20"/>
        </w:rPr>
        <w:t>Laris</w:t>
      </w:r>
      <w:proofErr w:type="spellEnd"/>
      <w:r w:rsidRPr="00E00A3D">
        <w:rPr>
          <w:rFonts w:ascii="Verdana" w:hAnsi="Verdana"/>
          <w:bCs/>
          <w:sz w:val="20"/>
        </w:rPr>
        <w:t xml:space="preserve"> González, Irma Ramírez Sánchez, Salvador </w:t>
      </w:r>
      <w:proofErr w:type="spellStart"/>
      <w:r w:rsidRPr="00E00A3D">
        <w:rPr>
          <w:rFonts w:ascii="Verdana" w:hAnsi="Verdana"/>
          <w:bCs/>
          <w:sz w:val="20"/>
        </w:rPr>
        <w:lastRenderedPageBreak/>
        <w:t>Oyanguren</w:t>
      </w:r>
      <w:proofErr w:type="spellEnd"/>
      <w:r w:rsidRPr="00E00A3D">
        <w:rPr>
          <w:rFonts w:ascii="Verdana" w:hAnsi="Verdana"/>
          <w:bCs/>
          <w:sz w:val="20"/>
        </w:rPr>
        <w:t xml:space="preserve"> </w:t>
      </w:r>
      <w:proofErr w:type="spellStart"/>
      <w:r w:rsidRPr="00E00A3D">
        <w:rPr>
          <w:rFonts w:ascii="Verdana" w:hAnsi="Verdana"/>
          <w:bCs/>
          <w:sz w:val="20"/>
        </w:rPr>
        <w:t>Guedea</w:t>
      </w:r>
      <w:proofErr w:type="spellEnd"/>
      <w:r w:rsidRPr="00E00A3D">
        <w:rPr>
          <w:rFonts w:ascii="Verdana" w:hAnsi="Verdana"/>
          <w:bCs/>
          <w:sz w:val="20"/>
        </w:rPr>
        <w:t xml:space="preserve">, José Luis Amador Morales Gutiérrez, José Roberto Córdova Becerril, Miguel Ángel Gutiérrez Cantú, Patricia </w:t>
      </w:r>
      <w:proofErr w:type="spellStart"/>
      <w:r w:rsidRPr="00E00A3D">
        <w:rPr>
          <w:rFonts w:ascii="Verdana" w:hAnsi="Verdana"/>
          <w:bCs/>
          <w:sz w:val="20"/>
        </w:rPr>
        <w:t>Isabella</w:t>
      </w:r>
      <w:proofErr w:type="spellEnd"/>
      <w:r w:rsidRPr="00E00A3D">
        <w:rPr>
          <w:rFonts w:ascii="Verdana" w:hAnsi="Verdana"/>
          <w:bCs/>
          <w:sz w:val="20"/>
        </w:rPr>
        <w:t xml:space="preserve"> Pedrero Duarte, Janitzio Ramón Guzmán Gutiérrez, Mario Emilio Garzón Chapa, Nicéforo Guerrero Reynoso, Humberto Cervantes Vega, Carlos Francisco Quintana Roldán, María de Rosario Jiménez Moles, Rocío Rojas Pérez, Alfredo </w:t>
      </w:r>
      <w:proofErr w:type="spellStart"/>
      <w:r w:rsidRPr="00E00A3D">
        <w:rPr>
          <w:rFonts w:ascii="Verdana" w:hAnsi="Verdana"/>
          <w:bCs/>
          <w:sz w:val="20"/>
        </w:rPr>
        <w:t>Freyssinier</w:t>
      </w:r>
      <w:proofErr w:type="spellEnd"/>
      <w:r w:rsidRPr="00E00A3D">
        <w:rPr>
          <w:rFonts w:ascii="Verdana" w:hAnsi="Verdana"/>
          <w:bCs/>
          <w:sz w:val="20"/>
        </w:rPr>
        <w:t xml:space="preserve"> Álvarez, </w:t>
      </w:r>
      <w:proofErr w:type="spellStart"/>
      <w:r w:rsidRPr="00E00A3D">
        <w:rPr>
          <w:rFonts w:ascii="Verdana" w:hAnsi="Verdana"/>
          <w:bCs/>
          <w:sz w:val="20"/>
        </w:rPr>
        <w:t>Errol</w:t>
      </w:r>
      <w:proofErr w:type="spellEnd"/>
      <w:r w:rsidRPr="00E00A3D">
        <w:rPr>
          <w:rFonts w:ascii="Verdana" w:hAnsi="Verdana"/>
          <w:bCs/>
          <w:sz w:val="20"/>
        </w:rPr>
        <w:t xml:space="preserve"> Obed Ordóñez Camacho, Pedro José </w:t>
      </w:r>
      <w:proofErr w:type="spellStart"/>
      <w:r w:rsidRPr="00E00A3D">
        <w:rPr>
          <w:rFonts w:ascii="Verdana" w:hAnsi="Verdana"/>
          <w:bCs/>
          <w:sz w:val="20"/>
        </w:rPr>
        <w:t>Escarcega</w:t>
      </w:r>
      <w:proofErr w:type="spellEnd"/>
      <w:r w:rsidRPr="00E00A3D">
        <w:rPr>
          <w:rFonts w:ascii="Verdana" w:hAnsi="Verdana"/>
          <w:bCs/>
          <w:sz w:val="20"/>
        </w:rPr>
        <w:t xml:space="preserve"> Delgado, Fernando Ignacio Tovar y de Teresa, Elizabeth Cataño Navarro, Eduardo Arturo Hernández Castillón, Israel Requena Palafox, Carlos </w:t>
      </w:r>
      <w:proofErr w:type="spellStart"/>
      <w:r w:rsidRPr="00E00A3D">
        <w:rPr>
          <w:rFonts w:ascii="Verdana" w:hAnsi="Verdana"/>
          <w:bCs/>
          <w:sz w:val="20"/>
        </w:rPr>
        <w:t>MaldonadoBarón</w:t>
      </w:r>
      <w:proofErr w:type="spellEnd"/>
      <w:r w:rsidRPr="00E00A3D">
        <w:rPr>
          <w:rFonts w:ascii="Verdana" w:hAnsi="Verdana"/>
          <w:bCs/>
          <w:sz w:val="20"/>
        </w:rPr>
        <w:t xml:space="preserve"> y Ángel Humberto Félix Estrada.- En la Ciudad de México, a los veintidós días del mes de mayo de dos mil diecinueve.- Doy fe.</w:t>
      </w:r>
    </w:p>
    <w:p w:rsidR="00E00A3D" w:rsidRPr="00E00A3D" w:rsidRDefault="00E00A3D" w:rsidP="00E00A3D">
      <w:pPr>
        <w:jc w:val="both"/>
        <w:rPr>
          <w:rFonts w:ascii="Verdana" w:hAnsi="Verdana"/>
          <w:bCs/>
          <w:sz w:val="20"/>
        </w:rPr>
      </w:pPr>
      <w:r w:rsidRPr="00E00A3D">
        <w:rPr>
          <w:rFonts w:ascii="Verdana" w:hAnsi="Verdana"/>
          <w:bCs/>
          <w:sz w:val="20"/>
        </w:rPr>
        <w:t>El Secretario General de Acuerdos, </w:t>
      </w:r>
      <w:proofErr w:type="spellStart"/>
      <w:r w:rsidRPr="00E00A3D">
        <w:rPr>
          <w:rFonts w:ascii="Verdana" w:hAnsi="Verdana"/>
          <w:b/>
          <w:bCs/>
          <w:sz w:val="20"/>
        </w:rPr>
        <w:t>Raziel</w:t>
      </w:r>
      <w:proofErr w:type="spellEnd"/>
      <w:r w:rsidRPr="00E00A3D">
        <w:rPr>
          <w:rFonts w:ascii="Verdana" w:hAnsi="Verdana"/>
          <w:b/>
          <w:bCs/>
          <w:sz w:val="20"/>
        </w:rPr>
        <w:t xml:space="preserve"> Levi Segura de Iturbide</w:t>
      </w:r>
      <w:r w:rsidRPr="00E00A3D">
        <w:rPr>
          <w:rFonts w:ascii="Verdana" w:hAnsi="Verdana"/>
          <w:bCs/>
          <w:sz w:val="20"/>
        </w:rPr>
        <w:t>.- Rúbrica.</w:t>
      </w:r>
    </w:p>
    <w:p w:rsidR="00E00A3D" w:rsidRPr="00E00A3D" w:rsidRDefault="00E00A3D" w:rsidP="00E00A3D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E00A3D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3D"/>
    <w:rsid w:val="002228FA"/>
    <w:rsid w:val="00C06CE1"/>
    <w:rsid w:val="00E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5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2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7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2019-05-28T13:25:00Z</dcterms:created>
  <dcterms:modified xsi:type="dcterms:W3CDTF">2019-05-28T13:27:00Z</dcterms:modified>
</cp:coreProperties>
</file>