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Séptimo Protocolo Adicional al Apéndice II "Sobre el Comercio en el Sector Automotor entre Brasil y México", del Acuerdo de Complementación Económica No. 55 celebrado entre el Mercosur y los Estados Unidos Mexicanos.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el marco del Tratado,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No. 55 (ACE No.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Apéndice II del ACE No. 55, Sobre el Comercio en el Sector Automotor entre el Brasil y México, establece las disposiciones aplicables al intercambio comercial en el sector automotor entre los Estados Unidos Mexicanos y la República Federativa del Brasil, de los bienes listados en el mismo.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6 de julio de 2020 los respectivos Plenipotenciarios de los Estados Unidos Mexicanos y de la República Federativa del Brasil suscribieron el Séptimo Protocolo Adicional al Apéndice II "Sobre el Comercio en el Sector Automotor entre Brasil y México" del ACE No. 55, que mediante el artículo 3° acordaron un período de transición al libre comercio para vehículos automóviles pesados de los literales e) y f) del Artículo 1º del Apéndice II del ACE 55.</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resulta necesario dar a conocer a los operadores económicos y autoridades, el texto íntegro del Séptimo Protocolo Adicional referido en el párrafo anterior, se expide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DA A CONOCER EL SÉPTIMO PROTOCOLO ADICIONAL AL APÉNDICE II</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"SOBRE EL COMERCIO EN EL SECTOR AUTOMOTOR ENTRE BRASIL Y MÉXICO", DEL ACUERDO</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COMPLEMENTACIÓN ECONÓMICA No. 55 CELEBRADO ENTRE EL MERCOSUR Y LOS ESTADOS</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UNIDOS MEXICANOS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da a conocer el texto íntegro del Séptimo Protocolo Adicional al Apéndice II "Sobre el Comercio en el Sector Automotor entre Brasil y México" del Acuerdo de Complementación Económica No. 55 celebrado entre el MERCOSUR y los Estados Unidos Mexicanos:</w:t>
      </w:r>
    </w:p>
    <w:p w:rsidR="00000000" w:rsidDel="00000000" w:rsidP="00000000" w:rsidRDefault="00000000" w:rsidRPr="00000000" w14:paraId="0000001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DE COMPLEMENTACIÓN ECONÓMICA No 55 CELEBRADO ENTRE EL MERCOSUR Y LOS</w:t>
      </w:r>
    </w:p>
    <w:p w:rsidR="00000000" w:rsidDel="00000000" w:rsidP="00000000" w:rsidRDefault="00000000" w:rsidRPr="00000000" w14:paraId="0000001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ESTADOS UNIDOS MEXICANOS</w:t>
      </w:r>
    </w:p>
    <w:p w:rsidR="00000000" w:rsidDel="00000000" w:rsidP="00000000" w:rsidRDefault="00000000" w:rsidRPr="00000000" w14:paraId="0000001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Séptimo Protocolo Adicional al Apéndice II</w:t>
      </w:r>
    </w:p>
    <w:p w:rsidR="00000000" w:rsidDel="00000000" w:rsidP="00000000" w:rsidRDefault="00000000" w:rsidRPr="00000000" w14:paraId="0000001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"Sobre el Comercio en el Sector Automotor entre Brasil y México"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Plenipotenciarios de la República Federativa del Brasil y de los Estados Unidos Mexicanos, acreditados por sus respectivos Gobiernos según poderes otorgados en buena y debida forma, oportunamente depositados en la Secretaría General de la Asociación Latinoamericana de Integración (ALADI),</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CONVENCIDOS</w:t>
      </w:r>
      <w:r w:rsidDel="00000000" w:rsidR="00000000" w:rsidRPr="00000000">
        <w:rPr>
          <w:rFonts w:ascii="Verdana" w:cs="Verdana" w:eastAsia="Verdana" w:hAnsi="Verdana"/>
          <w:sz w:val="20"/>
          <w:szCs w:val="20"/>
          <w:rtl w:val="0"/>
        </w:rPr>
        <w:t xml:space="preserve"> de la importancia de ampliar el comercio bilateral de bienes del sector automotor,</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RECONOCIENDO</w:t>
      </w:r>
      <w:r w:rsidDel="00000000" w:rsidR="00000000" w:rsidRPr="00000000">
        <w:rPr>
          <w:rFonts w:ascii="Verdana" w:cs="Verdana" w:eastAsia="Verdana" w:hAnsi="Verdana"/>
          <w:sz w:val="20"/>
          <w:szCs w:val="20"/>
          <w:rtl w:val="0"/>
        </w:rPr>
        <w:t xml:space="preserve"> la importancia de actualizar las disposiciones sobre el comercio en el sector automotor frente a los desafíos impuestos por la coyuntura internacional,</w:t>
      </w:r>
    </w:p>
    <w:p w:rsidR="00000000" w:rsidDel="00000000" w:rsidP="00000000" w:rsidRDefault="00000000" w:rsidRPr="00000000" w14:paraId="0000001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CONVIENEN:</w:t>
      </w:r>
    </w:p>
    <w:p w:rsidR="00000000" w:rsidDel="00000000" w:rsidP="00000000" w:rsidRDefault="00000000" w:rsidRPr="00000000" w14:paraId="00000019">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Artículo 1º</w:t>
      </w:r>
      <w:r w:rsidDel="00000000" w:rsidR="00000000" w:rsidRPr="00000000">
        <w:rPr>
          <w:rFonts w:ascii="Verdana" w:cs="Verdana" w:eastAsia="Verdana" w:hAnsi="Verdana"/>
          <w:color w:val="2f2f2f"/>
          <w:sz w:val="20"/>
          <w:szCs w:val="20"/>
          <w:rtl w:val="0"/>
        </w:rPr>
        <w:t xml:space="preserve"> - Modificar el Artículo 1º del Apéndice II "Sobre el Comercio en el Sector Automotor entre el Brasil y México" (en adelante "Apéndice II") del Acuerdo de Complementación Económica N° 55 (en adelante "Acuerdo") para quedar como sigue:</w:t>
      </w:r>
    </w:p>
    <w:p w:rsidR="00000000" w:rsidDel="00000000" w:rsidP="00000000" w:rsidRDefault="00000000" w:rsidRPr="00000000" w14:paraId="0000001A">
      <w:pPr>
        <w:shd w:fill="ffffff" w:val="clear"/>
        <w:spacing w:after="100" w:lineRule="auto"/>
        <w:ind w:left="280" w:firstLine="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u w:val="single"/>
          <w:rtl w:val="0"/>
        </w:rPr>
        <w:t xml:space="preserve">"Ámbito de aplicación</w:t>
      </w:r>
    </w:p>
    <w:p w:rsidR="00000000" w:rsidDel="00000000" w:rsidP="00000000" w:rsidRDefault="00000000" w:rsidRPr="00000000" w14:paraId="0000001B">
      <w:pPr>
        <w:shd w:fill="ffffff" w:val="clear"/>
        <w:spacing w:after="100" w:lineRule="auto"/>
        <w:ind w:left="2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u w:val="single"/>
          <w:rtl w:val="0"/>
        </w:rPr>
        <w:t xml:space="preserve">Artículo 1</w:t>
      </w:r>
      <w:r w:rsidDel="00000000" w:rsidR="00000000" w:rsidRPr="00000000">
        <w:rPr>
          <w:rFonts w:ascii="Verdana" w:cs="Verdana" w:eastAsia="Verdana" w:hAnsi="Verdana"/>
          <w:color w:val="2f2f2f"/>
          <w:sz w:val="20"/>
          <w:szCs w:val="20"/>
          <w:u w:val="single"/>
          <w:vertAlign w:val="superscript"/>
          <w:rtl w:val="0"/>
        </w:rPr>
        <w:t xml:space="preserve">o</w:t>
      </w:r>
      <w:r w:rsidDel="00000000" w:rsidR="00000000" w:rsidRPr="00000000">
        <w:rPr>
          <w:rFonts w:ascii="Verdana" w:cs="Verdana" w:eastAsia="Verdana" w:hAnsi="Verdana"/>
          <w:color w:val="2f2f2f"/>
          <w:sz w:val="20"/>
          <w:szCs w:val="20"/>
          <w:rtl w:val="0"/>
        </w:rPr>
        <w:t xml:space="preserve"> Las disposiciones contenidas en el presente Apéndice serán aplicadas al intercambio comercial entre Brasil y México (en adelante "las Partes") de los bienes listados a continuación (en adelante "los productos automotores"), siempre que se trate de bienes nuevos, comprendidos en los códigos de la NALADI/SA, con sus respectivas descripciones, que figuran en los Anexos I (productos automotores incluidos en los literales a), b), c), e) y f)) y II (productos automotores incluidos en el literal d)) de este Apéndice.</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automóviles;</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vehículos de peso total con carga máxima inferior o igual a 8.845 kg ocho mil ochocientos cuarenta y cinco kilogramos (comerciales livianos, chasis con motor y cabina y carrocerías para esos vehículos, camiones y chasis con motor y cabina);</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tractores agrícolas, cosechadoras, máquinas agrícolas autopropulsadas y máquinas viales autopropulsadas;</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autopartes para los productos automotores listados en todos los literales de este Artículo, incluyendo las destinadas al mercado de repuestos;</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vehículos de peso total con carga máxima superior a 8.845 kg ocho mil ochocientos cuarenta y cinco kilogramos (camiones, camiones-tractores y chasis con motor y cabina, de peso total con carga máxima superior a 8.845 kg ocho mil ochocientos cuarenta y cinco kilogramos ); y</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ómnibus (ómnibus completos, chasis con motor y carrocería para ómnibus)."</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2º</w:t>
      </w:r>
      <w:r w:rsidDel="00000000" w:rsidR="00000000" w:rsidRPr="00000000">
        <w:rPr>
          <w:rFonts w:ascii="Verdana" w:cs="Verdana" w:eastAsia="Verdana" w:hAnsi="Verdana"/>
          <w:color w:val="2f2f2f"/>
          <w:sz w:val="20"/>
          <w:szCs w:val="20"/>
          <w:rtl w:val="0"/>
        </w:rPr>
        <w:t xml:space="preserve"> - Modificar el "Anexo I al Apéndice II" y remplazarlo por el Anexo del presente Protocolo.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Artículo 3°</w:t>
      </w:r>
      <w:r w:rsidDel="00000000" w:rsidR="00000000" w:rsidRPr="00000000">
        <w:rPr>
          <w:rFonts w:ascii="Verdana" w:cs="Verdana" w:eastAsia="Verdana" w:hAnsi="Verdana"/>
          <w:sz w:val="20"/>
          <w:szCs w:val="20"/>
          <w:rtl w:val="0"/>
        </w:rPr>
        <w:t xml:space="preserve">- No obstante el compromiso dispuesto en el Artículo 9º del Quinto Protocolo Adicional al Apéndice II, que establece el libre comercio al 1º de julio de 2020 para los productos automotores que constan en los literales </w:t>
      </w:r>
      <w:r w:rsidDel="00000000" w:rsidR="00000000" w:rsidRPr="00000000">
        <w:rPr>
          <w:rFonts w:ascii="Verdana" w:cs="Verdana" w:eastAsia="Verdana" w:hAnsi="Verdana"/>
          <w:color w:val="2f2f2f"/>
          <w:sz w:val="20"/>
          <w:szCs w:val="20"/>
          <w:rtl w:val="0"/>
        </w:rPr>
        <w:t xml:space="preserve">e) y f) del Artículo 1º del Apéndice II del Acuerdo, las Partes acuerdan un período de transición al libre comercio. El período de transición tendrá una duración de tres (3) años, con preferencias arancelarias crecientes, conforme el cronograma establecido en la siguiente tabla:</w:t>
      </w:r>
    </w:p>
    <w:tbl>
      <w:tblPr>
        <w:tblStyle w:val="Table1"/>
        <w:tblW w:w="47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385"/>
        <w:tblGridChange w:id="0">
          <w:tblGrid>
            <w:gridCol w:w="2385"/>
            <w:gridCol w:w="238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4">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Período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5">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Preferencia Arancelaria</w:t>
            </w:r>
          </w:p>
        </w:tc>
      </w:tr>
      <w:tr>
        <w:trPr>
          <w:trHeight w:val="9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6">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1º de julio de 2020 o a</w:t>
            </w:r>
          </w:p>
          <w:p w:rsidR="00000000" w:rsidDel="00000000" w:rsidP="00000000" w:rsidRDefault="00000000" w:rsidRPr="00000000" w14:paraId="00000027">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partir de la entrada en</w:t>
            </w:r>
          </w:p>
          <w:p w:rsidR="00000000" w:rsidDel="00000000" w:rsidP="00000000" w:rsidRDefault="00000000" w:rsidRPr="00000000" w14:paraId="00000028">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vigor del presente</w:t>
            </w:r>
          </w:p>
          <w:p w:rsidR="00000000" w:rsidDel="00000000" w:rsidP="00000000" w:rsidRDefault="00000000" w:rsidRPr="00000000" w14:paraId="00000029">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Protocolo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A">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B">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1º de julio de 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C">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D">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1º de julio de 2022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E">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F">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1º de julio de 2023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0">
            <w:pPr>
              <w:spacing w:after="60" w:before="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w:t>
            </w:r>
          </w:p>
        </w:tc>
      </w:tr>
    </w:tbl>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productos a que se refiere este Artículo </w:t>
      </w:r>
      <w:r w:rsidDel="00000000" w:rsidR="00000000" w:rsidRPr="00000000">
        <w:rPr>
          <w:rFonts w:ascii="Verdana" w:cs="Verdana" w:eastAsia="Verdana" w:hAnsi="Verdana"/>
          <w:color w:val="2f2f2f"/>
          <w:sz w:val="20"/>
          <w:szCs w:val="20"/>
          <w:rtl w:val="0"/>
        </w:rPr>
        <w:t xml:space="preserve">serán considerados originarios</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si cumplen con la regla de origen prevista en el Artículo 6º, párrafo 2, Anexo II, del Acuerdo</w:t>
      </w:r>
      <w:r w:rsidDel="00000000" w:rsidR="00000000" w:rsidRPr="00000000">
        <w:rPr>
          <w:rFonts w:ascii="Verdana" w:cs="Verdana" w:eastAsia="Verdana" w:hAnsi="Verdana"/>
          <w:sz w:val="20"/>
          <w:szCs w:val="20"/>
          <w:rtl w:val="0"/>
        </w:rPr>
        <w:t xml:space="preserve">. Para la determinación del Índice de Contenido Regional (ICR) será utilizada la fórmula prevista en el Artículo 6º, párrafo 1, literal a), del Anexo II del Acuerdo cuando fuera producido en Brasil; y la fórmula prevista en el Artículo 6º, párrafo 1, literal b), del Anexo II del Acuerdo, cuando éste fuera producido en México.</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Partes iniciarán el tercer trimestre de 2020 un período de consultas y trabajos técnicos sobre vehículos pesados, </w:t>
      </w:r>
      <w:r w:rsidDel="00000000" w:rsidR="00000000" w:rsidRPr="00000000">
        <w:rPr>
          <w:rFonts w:ascii="Verdana" w:cs="Verdana" w:eastAsia="Verdana" w:hAnsi="Verdana"/>
          <w:color w:val="2f2f2f"/>
          <w:sz w:val="20"/>
          <w:szCs w:val="20"/>
          <w:rtl w:val="0"/>
        </w:rPr>
        <w:t xml:space="preserve">bajo metodología y cronograma a ser definidos,</w:t>
      </w:r>
      <w:r w:rsidDel="00000000" w:rsidR="00000000" w:rsidRPr="00000000">
        <w:rPr>
          <w:rFonts w:ascii="Verdana" w:cs="Verdana" w:eastAsia="Verdana" w:hAnsi="Verdana"/>
          <w:sz w:val="20"/>
          <w:szCs w:val="20"/>
          <w:rtl w:val="0"/>
        </w:rPr>
        <w:t xml:space="preserve"> con la finalidad de </w:t>
      </w:r>
      <w:r w:rsidDel="00000000" w:rsidR="00000000" w:rsidRPr="00000000">
        <w:rPr>
          <w:rFonts w:ascii="Verdana" w:cs="Verdana" w:eastAsia="Verdana" w:hAnsi="Verdana"/>
          <w:color w:val="2f2f2f"/>
          <w:sz w:val="20"/>
          <w:szCs w:val="20"/>
          <w:rtl w:val="0"/>
        </w:rPr>
        <w:t xml:space="preserve">evaluar la posibilidad de reconocimiento mutuo de resultados de evaluación de la conformidad [ensayos] sobre ítems de seguridad vehicular a ser acordados mutuamente. C</w:t>
      </w:r>
      <w:r w:rsidDel="00000000" w:rsidR="00000000" w:rsidRPr="00000000">
        <w:rPr>
          <w:rFonts w:ascii="Verdana" w:cs="Verdana" w:eastAsia="Verdana" w:hAnsi="Verdana"/>
          <w:sz w:val="20"/>
          <w:szCs w:val="20"/>
          <w:rtl w:val="0"/>
        </w:rPr>
        <w:t xml:space="preserve">oncluida esa etapa, las Partes se comprometen a evaluar la posibilidad de extender las consultas y trabajos técnicos a temas regulatorios ambientales que afecten el comercio de vehículos pesados. En 2022, las Partes realizarán una evaluación de los avances de los trabajos técnicos realizados.</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4º- </w:t>
      </w:r>
      <w:r w:rsidDel="00000000" w:rsidR="00000000" w:rsidRPr="00000000">
        <w:rPr>
          <w:rFonts w:ascii="Verdana" w:cs="Verdana" w:eastAsia="Verdana" w:hAnsi="Verdana"/>
          <w:color w:val="2f2f2f"/>
          <w:sz w:val="20"/>
          <w:szCs w:val="20"/>
          <w:rtl w:val="0"/>
        </w:rPr>
        <w:t xml:space="preserve">No obstante lo establecido en los literales c) y d) del párrafo 1, y en los párrafos 2, 3 y 4 del Artículo 5º del Anexo II del Acuerdo, las Partes, para la determinación del ICR de las autopartes comprendidas en el literal d) del Artículo 1º del Apéndice II del Acuerdo, aplicarán la siguiente fórmula:</w:t>
      </w:r>
    </w:p>
    <w:p w:rsidR="00000000" w:rsidDel="00000000" w:rsidP="00000000" w:rsidRDefault="00000000" w:rsidRPr="00000000" w14:paraId="00000036">
      <w:pPr>
        <w:shd w:fill="ffffff" w:val="clear"/>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ICR = (</w:t>
      </w:r>
      <w:r w:rsidDel="00000000" w:rsidR="00000000" w:rsidRPr="00000000">
        <w:rPr>
          <w:rFonts w:ascii="Verdana" w:cs="Verdana" w:eastAsia="Verdana" w:hAnsi="Verdana"/>
          <w:color w:val="2f2f2f"/>
          <w:sz w:val="20"/>
          <w:szCs w:val="20"/>
          <w:u w:val="single"/>
          <w:rtl w:val="0"/>
        </w:rPr>
        <w:t xml:space="preserve">Valor de los materiales originarios</w:t>
      </w:r>
      <w:r w:rsidDel="00000000" w:rsidR="00000000" w:rsidRPr="00000000">
        <w:rPr>
          <w:rFonts w:ascii="Verdana" w:cs="Verdana" w:eastAsia="Verdana" w:hAnsi="Verdana"/>
          <w:color w:val="2f2f2f"/>
          <w:sz w:val="20"/>
          <w:szCs w:val="20"/>
          <w:rtl w:val="0"/>
        </w:rPr>
        <w:t xml:space="preserve">) x 100</w:t>
      </w:r>
    </w:p>
    <w:p w:rsidR="00000000" w:rsidDel="00000000" w:rsidP="00000000" w:rsidRDefault="00000000" w:rsidRPr="00000000" w14:paraId="00000037">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Valor del bien</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productos mencionados en el encabezado de este Artículo serán considerados originarios si cumplen con un ICR de 40%.</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5°- </w:t>
      </w:r>
      <w:r w:rsidDel="00000000" w:rsidR="00000000" w:rsidRPr="00000000">
        <w:rPr>
          <w:rFonts w:ascii="Verdana" w:cs="Verdana" w:eastAsia="Verdana" w:hAnsi="Verdana"/>
          <w:sz w:val="20"/>
          <w:szCs w:val="20"/>
          <w:rtl w:val="0"/>
        </w:rPr>
        <w:t xml:space="preserve">Un "producto automotor nuevo" que conste en el literal e) del Artículo 1° del Apéndice II del Acuerdo será considerado originario si cumple lo establecido en los párrafos 5 y 6 del Artículo 6º del Anexo II del Acuerdo.</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6°</w:t>
      </w:r>
      <w:r w:rsidDel="00000000" w:rsidR="00000000" w:rsidRPr="00000000">
        <w:rPr>
          <w:rFonts w:ascii="Verdana" w:cs="Verdana" w:eastAsia="Verdana" w:hAnsi="Verdana"/>
          <w:sz w:val="20"/>
          <w:szCs w:val="20"/>
          <w:rtl w:val="0"/>
        </w:rPr>
        <w:t xml:space="preserve">- Los "productos automotores nuevos" mencionados en los literales a) y b) del Artículo 1° del Apéndice II del Acuerdo, lanzados comercialmente entre los días 1º de abril de 2018 y 31 de diciembre de 2019, tendrán un plazo de treinta (30) meses para alcanzar el ICR vigente de 40%. Ese plazo iniciará a partir de la fecha del lanzamiento comercial del producto.</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fines de la utilización de esta disposición, las Partes se comprometen a reportar una a la otra, en un plazo máximo de quince (15) días, todos los modelos, empresas fabricantes y fechas de lanzamiento comercial de los vehículos nuevos en el marco de lo dispuesto en este Artículo.</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Artículo 7º</w:t>
      </w:r>
      <w:r w:rsidDel="00000000" w:rsidR="00000000" w:rsidRPr="00000000">
        <w:rPr>
          <w:rFonts w:ascii="Verdana" w:cs="Verdana" w:eastAsia="Verdana" w:hAnsi="Verdana"/>
          <w:color w:val="2f2f2f"/>
          <w:sz w:val="20"/>
          <w:szCs w:val="20"/>
          <w:rtl w:val="0"/>
        </w:rPr>
        <w:t xml:space="preserve"> - El presente Protocolo entrará en vigor en un plazo de quince (15) días contados a partir de la fecha en que la última Parte comunique a la Secretaría General de la ALADI que han sido cumplidas las formalidades jurídicas necesarias para su aplicación.</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8º </w:t>
      </w:r>
      <w:r w:rsidDel="00000000" w:rsidR="00000000" w:rsidRPr="00000000">
        <w:rPr>
          <w:rFonts w:ascii="Verdana" w:cs="Verdana" w:eastAsia="Verdana" w:hAnsi="Verdana"/>
          <w:sz w:val="20"/>
          <w:szCs w:val="20"/>
          <w:rtl w:val="0"/>
        </w:rPr>
        <w:t xml:space="preserve">- La Secretaría General de la ALADI será depositaria del presente Protocolo, del cual enviará copias debidamente autenticadas a los Gobiernos de los países signatarios.</w:t>
      </w:r>
    </w:p>
    <w:p w:rsidR="00000000" w:rsidDel="00000000" w:rsidP="00000000" w:rsidRDefault="00000000" w:rsidRPr="00000000" w14:paraId="0000003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EN FE DE LO CUAL</w:t>
      </w:r>
      <w:r w:rsidDel="00000000" w:rsidR="00000000" w:rsidRPr="00000000">
        <w:rPr>
          <w:rFonts w:ascii="Verdana" w:cs="Verdana" w:eastAsia="Verdana" w:hAnsi="Verdana"/>
          <w:color w:val="2f2f2f"/>
          <w:sz w:val="20"/>
          <w:szCs w:val="20"/>
          <w:rtl w:val="0"/>
        </w:rPr>
        <w:t xml:space="preserve">, los respectivos Plenipotenciarios suscriben el presente Protocolo en la ciudad de Montevideo, a los seis días del mes de julio de dos mil veinte, en un original en los idiomas español y portugués, siendo ambos textos igualmente válidos.</w:t>
      </w:r>
    </w:p>
    <w:p w:rsidR="00000000" w:rsidDel="00000000" w:rsidP="00000000" w:rsidRDefault="00000000" w:rsidRPr="00000000" w14:paraId="0000003F">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(Fdo.:) Por el Gobierno de la República Federal del Brasil: Bruno de Rísios Bath, Representante Permanente de Brasil ante la ALADI y MERCOSUR;</w:t>
      </w:r>
    </w:p>
    <w:p w:rsidR="00000000" w:rsidDel="00000000" w:rsidP="00000000" w:rsidRDefault="00000000" w:rsidRPr="00000000" w14:paraId="00000040">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Por el Gobierno de los Estados Unidos Mexicanos: Víctor Manuel Barceló, Representante Permanente de México ante la ALADI.</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4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w:t>
      </w:r>
    </w:p>
    <w:p w:rsidR="00000000" w:rsidDel="00000000" w:rsidP="00000000" w:rsidRDefault="00000000" w:rsidRPr="00000000" w14:paraId="0000004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I AL APÉNDICE II</w:t>
      </w:r>
    </w:p>
    <w:p w:rsidR="00000000" w:rsidDel="00000000" w:rsidP="00000000" w:rsidRDefault="00000000" w:rsidRPr="00000000" w14:paraId="0000004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PRODUCTOS AUTOMOTORES A QUE SE REFIEREN LOS LITERALES a), b), c), e) Y f) DEL ARTÍCULO</w:t>
      </w:r>
    </w:p>
    <w:p w:rsidR="00000000" w:rsidDel="00000000" w:rsidP="00000000" w:rsidRDefault="00000000" w:rsidRPr="00000000" w14:paraId="0000004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VEHÍCULOS</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Automóviles.</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literal a) del Artículo 1° de este Apéndice comprende los siguientes productos automotores:</w:t>
      </w:r>
    </w:p>
    <w:tbl>
      <w:tblPr>
        <w:tblStyle w:val="Table2"/>
        <w:tblW w:w="86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4125"/>
        <w:gridCol w:w="2655"/>
        <w:tblGridChange w:id="0">
          <w:tblGrid>
            <w:gridCol w:w="1830"/>
            <w:gridCol w:w="4125"/>
            <w:gridCol w:w="2655"/>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8">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NALADI/SA 2002</w:t>
            </w:r>
          </w:p>
          <w:p w:rsidR="00000000" w:rsidDel="00000000" w:rsidP="00000000" w:rsidRDefault="00000000" w:rsidRPr="00000000" w14:paraId="00000049">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A">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DESCRIPCIÓN</w:t>
            </w:r>
          </w:p>
          <w:p w:rsidR="00000000" w:rsidDel="00000000" w:rsidP="00000000" w:rsidRDefault="00000000" w:rsidRPr="00000000" w14:paraId="0000004B">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C">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OBSERVACIONES</w:t>
            </w:r>
          </w:p>
          <w:p w:rsidR="00000000" w:rsidDel="00000000" w:rsidP="00000000" w:rsidRDefault="00000000" w:rsidRPr="00000000" w14:paraId="0000004D">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E">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8703.2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F">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vehículos con motor de émbolo (pistón) alternativo, de encendido por chispa: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0">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1">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8703.21.00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2">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cilindrada inferior o igual a 1000 cm3.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3">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4">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8703.22.00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5">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cilindrada superior a 1000 cm3, pero inferior o igual a 1500 cm3.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6">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7">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8703.23.00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8">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cilindrada superior a 1500 cm3, pero inferior o igual a 3000 cm3.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9">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5A">
      <w:pPr>
        <w:jc w:val="both"/>
        <w:rPr>
          <w:rFonts w:ascii="Verdana" w:cs="Verdana" w:eastAsia="Verdana" w:hAnsi="Verdana"/>
          <w:color w:val="0000ff"/>
          <w:sz w:val="20"/>
          <w:szCs w:val="20"/>
        </w:rPr>
      </w:pPr>
      <w:r w:rsidDel="00000000" w:rsidR="00000000" w:rsidRPr="00000000">
        <w:rPr>
          <w:rtl w:val="0"/>
        </w:rPr>
      </w:r>
    </w:p>
    <w:tbl>
      <w:tblPr>
        <w:tblStyle w:val="Table3"/>
        <w:tblW w:w="86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4185"/>
        <w:gridCol w:w="2610"/>
        <w:tblGridChange w:id="0">
          <w:tblGrid>
            <w:gridCol w:w="1815"/>
            <w:gridCol w:w="4185"/>
            <w:gridCol w:w="261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B">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8703.24.00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C">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cilindrada superior a 3000 cm3.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D">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E">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8703.3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F">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vehículos con motor de émbolo (pistón), de encendido por compresión (Diésel o semi-Diésel):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0">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1">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8703.31.00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2">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cilindrada inferior o igual a 1500 cm3.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3">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4">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8703.32.00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5">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cilindrada superior a 1500 cm3 pero inferior o igual a 2500 cm3.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6">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7">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8703.33.00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8">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cilindrada superior a 2500 cm3.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9">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A">
            <w:pPr>
              <w:spacing w:after="2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8703.90.00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B">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C">
            <w:pPr>
              <w:spacing w:after="2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6D">
      <w:pPr>
        <w:shd w:fill="ffffff" w:val="clear"/>
        <w:spacing w:after="100" w:lineRule="auto"/>
        <w:ind w:left="2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6E">
      <w:pPr>
        <w:shd w:fill="ffffff" w:val="clear"/>
        <w:spacing w:after="100" w:lineRule="auto"/>
        <w:ind w:left="2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Vehículos de peso total con carga máxima inferior o igual a 8.845 kg ocho mil ochocientos cuarenta y cinco kilogramos- (comerciales livianos, chasis con motor y cabina y carrocerías para esos vehículos, camiones y chasis con motor y cabina).</w:t>
      </w:r>
    </w:p>
    <w:p w:rsidR="00000000" w:rsidDel="00000000" w:rsidP="00000000" w:rsidRDefault="00000000" w:rsidRPr="00000000" w14:paraId="0000006F">
      <w:pPr>
        <w:shd w:fill="ffffff" w:val="clear"/>
        <w:spacing w:after="100" w:lineRule="auto"/>
        <w:ind w:left="2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literal b) del Artículo 1</w:t>
      </w:r>
      <w:r w:rsidDel="00000000" w:rsidR="00000000" w:rsidRPr="00000000">
        <w:rPr>
          <w:rFonts w:ascii="Verdana" w:cs="Verdana" w:eastAsia="Verdana" w:hAnsi="Verdana"/>
          <w:color w:val="2f2f2f"/>
          <w:sz w:val="20"/>
          <w:szCs w:val="20"/>
          <w:u w:val="single"/>
          <w:vertAlign w:val="superscript"/>
          <w:rtl w:val="0"/>
        </w:rPr>
        <w:t xml:space="preserve">°</w:t>
      </w:r>
      <w:r w:rsidDel="00000000" w:rsidR="00000000" w:rsidRPr="00000000">
        <w:rPr>
          <w:rFonts w:ascii="Verdana" w:cs="Verdana" w:eastAsia="Verdana" w:hAnsi="Verdana"/>
          <w:color w:val="2f2f2f"/>
          <w:sz w:val="20"/>
          <w:szCs w:val="20"/>
          <w:rtl w:val="0"/>
        </w:rPr>
        <w:t xml:space="preserve"> de este Apéndice comprende los siguientes productos automotores:</w:t>
      </w:r>
    </w:p>
    <w:tbl>
      <w:tblPr>
        <w:tblStyle w:val="Table4"/>
        <w:tblW w:w="86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4125"/>
        <w:gridCol w:w="2625"/>
        <w:tblGridChange w:id="0">
          <w:tblGrid>
            <w:gridCol w:w="1860"/>
            <w:gridCol w:w="4125"/>
            <w:gridCol w:w="2625"/>
          </w:tblGrid>
        </w:tblGridChange>
      </w:tblGrid>
      <w:tr>
        <w:trPr>
          <w:trHeight w:val="6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0">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NALADI/SA 2002</w:t>
            </w:r>
          </w:p>
          <w:p w:rsidR="00000000" w:rsidDel="00000000" w:rsidP="00000000" w:rsidRDefault="00000000" w:rsidRPr="00000000" w14:paraId="00000071">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2">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DESCRIPCIÓN</w:t>
            </w:r>
          </w:p>
          <w:p w:rsidR="00000000" w:rsidDel="00000000" w:rsidP="00000000" w:rsidRDefault="00000000" w:rsidRPr="00000000" w14:paraId="00000073">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4">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OBSERVACIONES</w:t>
            </w:r>
          </w:p>
          <w:p w:rsidR="00000000" w:rsidDel="00000000" w:rsidP="00000000" w:rsidRDefault="00000000" w:rsidRPr="00000000" w14:paraId="00000075">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6">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7">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con motor de émbolo (pistón), de encendido por compresión (Diésel o semi-Diésel):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8">
            <w:pPr>
              <w:ind w:left="280" w:firstLine="0"/>
              <w:jc w:val="both"/>
              <w:rPr>
                <w:rFonts w:ascii="Verdana" w:cs="Verdana" w:eastAsia="Verdana" w:hAnsi="Verdana"/>
                <w:color w:val="2f2f2f"/>
                <w:sz w:val="20"/>
                <w:szCs w:val="20"/>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9">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8704.21.00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A">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peso total con carga máxima inferior o igual a 5 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B">
            <w:pPr>
              <w:ind w:left="280" w:firstLine="0"/>
              <w:jc w:val="both"/>
              <w:rPr>
                <w:rFonts w:ascii="Verdana" w:cs="Verdana" w:eastAsia="Verdana" w:hAnsi="Verdana"/>
                <w:color w:val="2f2f2f"/>
                <w:sz w:val="20"/>
                <w:szCs w:val="20"/>
              </w:rPr>
            </w:pPr>
            <w:r w:rsidDel="00000000" w:rsidR="00000000" w:rsidRPr="00000000">
              <w:rPr>
                <w:rtl w:val="0"/>
              </w:rPr>
            </w:r>
          </w:p>
        </w:tc>
      </w:tr>
      <w:tr>
        <w:trPr>
          <w:trHeight w:val="11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C">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8704.22.00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D">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peso total con carga máxima superior a 5 t pero inferior o igual a 20 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E">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Únicamente de peso total con carga máxima inferior o igual a 8.845 kg ocho mil ochocientos cuarenta y cinco kilogramos-</w:t>
            </w:r>
          </w:p>
        </w:tc>
      </w:tr>
      <w:tr>
        <w:trPr>
          <w:trHeight w:val="6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F">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0">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con motor de émbolo (pistón), de encendido por chispa: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1">
            <w:pPr>
              <w:ind w:left="280" w:firstLine="0"/>
              <w:jc w:val="both"/>
              <w:rPr>
                <w:rFonts w:ascii="Verdana" w:cs="Verdana" w:eastAsia="Verdana" w:hAnsi="Verdana"/>
                <w:color w:val="2f2f2f"/>
                <w:sz w:val="20"/>
                <w:szCs w:val="20"/>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2">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8704.31.00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3">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peso total con carga máxima inferior o igual a 5 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4">
            <w:pPr>
              <w:ind w:left="280" w:firstLine="0"/>
              <w:jc w:val="both"/>
              <w:rPr>
                <w:rFonts w:ascii="Verdana" w:cs="Verdana" w:eastAsia="Verdana" w:hAnsi="Verdana"/>
                <w:color w:val="2f2f2f"/>
                <w:sz w:val="20"/>
                <w:szCs w:val="20"/>
              </w:rPr>
            </w:pPr>
            <w:r w:rsidDel="00000000" w:rsidR="00000000" w:rsidRPr="00000000">
              <w:rPr>
                <w:rtl w:val="0"/>
              </w:rPr>
            </w:r>
          </w:p>
        </w:tc>
      </w:tr>
      <w:tr>
        <w:trPr>
          <w:trHeight w:val="10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5">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8704.32.00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6">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peso total con carga máxima superior a 5 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7">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Únicamente de peso total de carga máxima inferior o igual a 8.845 kg ocho mil ochocientos cuarenta y cinco kilogramos-</w:t>
            </w:r>
          </w:p>
        </w:tc>
      </w:tr>
    </w:tbl>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Tractores agrícolas, cosechadoras, maquinaria agrícola y maquinaria vial auto-propulsadas.</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literal c) del Artículo 1° de este Apéndice comprende los siguientes productos automotores:</w:t>
      </w:r>
    </w:p>
    <w:tbl>
      <w:tblPr>
        <w:tblStyle w:val="Table5"/>
        <w:tblW w:w="86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3825"/>
        <w:gridCol w:w="2475"/>
        <w:tblGridChange w:id="0">
          <w:tblGrid>
            <w:gridCol w:w="2310"/>
            <w:gridCol w:w="3825"/>
            <w:gridCol w:w="2475"/>
          </w:tblGrid>
        </w:tblGridChange>
      </w:tblGrid>
      <w:tr>
        <w:trPr>
          <w:trHeight w:val="70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B">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NALADI/SA 2002</w:t>
            </w:r>
          </w:p>
          <w:p w:rsidR="00000000" w:rsidDel="00000000" w:rsidP="00000000" w:rsidRDefault="00000000" w:rsidRPr="00000000" w14:paraId="0000008C">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D">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DESCRIPCIÓN</w:t>
            </w:r>
          </w:p>
          <w:p w:rsidR="00000000" w:rsidDel="00000000" w:rsidP="00000000" w:rsidRDefault="00000000" w:rsidRPr="00000000" w14:paraId="0000008E">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F">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OBSERVACIONES</w:t>
            </w:r>
          </w:p>
          <w:p w:rsidR="00000000" w:rsidDel="00000000" w:rsidP="00000000" w:rsidRDefault="00000000" w:rsidRPr="00000000" w14:paraId="00000090">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1">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8424.8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2">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aparatos: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3">
            <w:pPr>
              <w:ind w:left="280" w:firstLine="0"/>
              <w:jc w:val="both"/>
              <w:rPr>
                <w:rFonts w:ascii="Verdana" w:cs="Verdana" w:eastAsia="Verdana" w:hAnsi="Verdana"/>
                <w:color w:val="2f2f2f"/>
                <w:sz w:val="20"/>
                <w:szCs w:val="20"/>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4">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8424.81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5">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agricultura u horticultura.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6">
            <w:pPr>
              <w:ind w:left="280" w:firstLine="0"/>
              <w:jc w:val="both"/>
              <w:rPr>
                <w:rFonts w:ascii="Verdana" w:cs="Verdana" w:eastAsia="Verdana" w:hAnsi="Verdana"/>
                <w:color w:val="2f2f2f"/>
                <w:sz w:val="20"/>
                <w:szCs w:val="20"/>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7">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8424.81.10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8">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Manuales o de pedal.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9">
            <w:pPr>
              <w:ind w:left="280" w:firstLine="0"/>
              <w:jc w:val="both"/>
              <w:rPr>
                <w:rFonts w:ascii="Verdana" w:cs="Verdana" w:eastAsia="Verdana" w:hAnsi="Verdana"/>
                <w:color w:val="2f2f2f"/>
                <w:sz w:val="20"/>
                <w:szCs w:val="20"/>
              </w:rPr>
            </w:pPr>
            <w:r w:rsidDel="00000000" w:rsidR="00000000" w:rsidRPr="00000000">
              <w:rPr>
                <w:rtl w:val="0"/>
              </w:rPr>
            </w:r>
          </w:p>
        </w:tc>
      </w:tr>
      <w:tr>
        <w:trPr>
          <w:trHeight w:val="6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A">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8429.1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B">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Topadoras frontales (&lt;bulldozers&gt;) y topadoras angulares (&lt;angledozers&gt;):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C">
            <w:pPr>
              <w:ind w:left="280" w:firstLine="0"/>
              <w:jc w:val="both"/>
              <w:rPr>
                <w:rFonts w:ascii="Verdana" w:cs="Verdana" w:eastAsia="Verdana" w:hAnsi="Verdana"/>
                <w:color w:val="2f2f2f"/>
                <w:sz w:val="20"/>
                <w:szCs w:val="20"/>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D">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8429.11.00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E">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orugas.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F">
            <w:pPr>
              <w:ind w:left="280" w:firstLine="0"/>
              <w:jc w:val="both"/>
              <w:rPr>
                <w:rFonts w:ascii="Verdana" w:cs="Verdana" w:eastAsia="Verdana" w:hAnsi="Verdana"/>
                <w:color w:val="2f2f2f"/>
                <w:sz w:val="20"/>
                <w:szCs w:val="20"/>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0">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8429.19.00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1">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2">
            <w:pPr>
              <w:ind w:left="280" w:firstLine="0"/>
              <w:jc w:val="both"/>
              <w:rPr>
                <w:rFonts w:ascii="Verdana" w:cs="Verdana" w:eastAsia="Verdana" w:hAnsi="Verdana"/>
                <w:color w:val="2f2f2f"/>
                <w:sz w:val="20"/>
                <w:szCs w:val="20"/>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3">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8429.20.00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4">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Niveladores.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5">
            <w:pPr>
              <w:ind w:left="280" w:firstLine="0"/>
              <w:jc w:val="both"/>
              <w:rPr>
                <w:rFonts w:ascii="Verdana" w:cs="Verdana" w:eastAsia="Verdana" w:hAnsi="Verdana"/>
                <w:color w:val="2f2f2f"/>
                <w:sz w:val="20"/>
                <w:szCs w:val="20"/>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6">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8429.30.00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7">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Traillas ("scrapers").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8">
            <w:pPr>
              <w:ind w:left="280" w:firstLine="0"/>
              <w:jc w:val="both"/>
              <w:rPr>
                <w:rFonts w:ascii="Verdana" w:cs="Verdana" w:eastAsia="Verdana" w:hAnsi="Verdana"/>
                <w:color w:val="2f2f2f"/>
                <w:sz w:val="20"/>
                <w:szCs w:val="20"/>
              </w:rPr>
            </w:pPr>
            <w:r w:rsidDel="00000000" w:rsidR="00000000" w:rsidRPr="00000000">
              <w:rPr>
                <w:rtl w:val="0"/>
              </w:rPr>
            </w:r>
          </w:p>
        </w:tc>
      </w:tr>
    </w:tbl>
    <w:p w:rsidR="00000000" w:rsidDel="00000000" w:rsidP="00000000" w:rsidRDefault="00000000" w:rsidRPr="00000000" w14:paraId="000000A9">
      <w:pPr>
        <w:jc w:val="both"/>
        <w:rPr>
          <w:rFonts w:ascii="Verdana" w:cs="Verdana" w:eastAsia="Verdana" w:hAnsi="Verdana"/>
          <w:color w:val="0000ff"/>
          <w:sz w:val="20"/>
          <w:szCs w:val="20"/>
        </w:rPr>
      </w:pPr>
      <w:r w:rsidDel="00000000" w:rsidR="00000000" w:rsidRPr="00000000">
        <w:rPr>
          <w:rtl w:val="0"/>
        </w:rPr>
      </w:r>
    </w:p>
    <w:tbl>
      <w:tblPr>
        <w:tblStyle w:val="Table6"/>
        <w:tblW w:w="86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3855"/>
        <w:gridCol w:w="2430"/>
        <w:tblGridChange w:id="0">
          <w:tblGrid>
            <w:gridCol w:w="2325"/>
            <w:gridCol w:w="3855"/>
            <w:gridCol w:w="243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A">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8429.40.00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B">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Compactadoras y apisonadoras (aplanadoras).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C">
            <w:pPr>
              <w:ind w:left="280" w:firstLine="0"/>
              <w:jc w:val="both"/>
              <w:rPr>
                <w:rFonts w:ascii="Verdana" w:cs="Verdana" w:eastAsia="Verdana" w:hAnsi="Verdana"/>
                <w:color w:val="2f2f2f"/>
                <w:sz w:val="20"/>
                <w:szCs w:val="20"/>
              </w:rPr>
            </w:pPr>
            <w:r w:rsidDel="00000000" w:rsidR="00000000" w:rsidRPr="00000000">
              <w:rPr>
                <w:rtl w:val="0"/>
              </w:rPr>
            </w:r>
          </w:p>
        </w:tc>
      </w:tr>
    </w:tbl>
    <w:p w:rsidR="00000000" w:rsidDel="00000000" w:rsidP="00000000" w:rsidRDefault="00000000" w:rsidRPr="00000000" w14:paraId="000000AD">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7"/>
        <w:tblW w:w="86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3885"/>
        <w:gridCol w:w="2415"/>
        <w:tblGridChange w:id="0">
          <w:tblGrid>
            <w:gridCol w:w="2310"/>
            <w:gridCol w:w="3885"/>
            <w:gridCol w:w="2415"/>
          </w:tblGrid>
        </w:tblGridChange>
      </w:tblGrid>
      <w:tr>
        <w:trPr>
          <w:trHeight w:val="6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E">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8429.5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F">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Palas mecánicas, excavadoras, cargadoras y palas cargadoras: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0">
            <w:pPr>
              <w:ind w:left="280" w:firstLine="0"/>
              <w:jc w:val="both"/>
              <w:rPr>
                <w:rFonts w:ascii="Verdana" w:cs="Verdana" w:eastAsia="Verdana" w:hAnsi="Verdana"/>
                <w:color w:val="2f2f2f"/>
                <w:sz w:val="20"/>
                <w:szCs w:val="20"/>
              </w:rPr>
            </w:pPr>
            <w:r w:rsidDel="00000000" w:rsidR="00000000" w:rsidRPr="00000000">
              <w:rPr>
                <w:rtl w:val="0"/>
              </w:rPr>
            </w:r>
          </w:p>
        </w:tc>
      </w:tr>
      <w:tr>
        <w:trPr>
          <w:trHeight w:val="3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1">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8429.51.00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2">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Cargadoras y palas cargadoras de carga frontal.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3">
            <w:pPr>
              <w:ind w:left="280" w:firstLine="0"/>
              <w:jc w:val="both"/>
              <w:rPr>
                <w:rFonts w:ascii="Verdana" w:cs="Verdana" w:eastAsia="Verdana" w:hAnsi="Verdana"/>
                <w:color w:val="2f2f2f"/>
                <w:sz w:val="20"/>
                <w:szCs w:val="20"/>
              </w:rPr>
            </w:pPr>
            <w:r w:rsidDel="00000000" w:rsidR="00000000" w:rsidRPr="00000000">
              <w:rPr>
                <w:rtl w:val="0"/>
              </w:rPr>
            </w:r>
          </w:p>
        </w:tc>
      </w:tr>
      <w:tr>
        <w:trPr>
          <w:trHeight w:val="3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4">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8429.52.00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5">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Máquinas cuya superestructura pueda girar 360°.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6">
            <w:pPr>
              <w:ind w:left="280" w:firstLine="0"/>
              <w:jc w:val="both"/>
              <w:rPr>
                <w:rFonts w:ascii="Verdana" w:cs="Verdana" w:eastAsia="Verdana" w:hAnsi="Verdana"/>
                <w:color w:val="2f2f2f"/>
                <w:sz w:val="20"/>
                <w:szCs w:val="20"/>
              </w:rPr>
            </w:pPr>
            <w:r w:rsidDel="00000000" w:rsidR="00000000" w:rsidRPr="00000000">
              <w:rPr>
                <w:rtl w:val="0"/>
              </w:rPr>
            </w:r>
          </w:p>
        </w:tc>
      </w:tr>
      <w:tr>
        <w:trPr>
          <w:trHeight w:val="3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7">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8429.59.00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8">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9">
            <w:pPr>
              <w:ind w:left="280" w:firstLine="0"/>
              <w:jc w:val="both"/>
              <w:rPr>
                <w:rFonts w:ascii="Verdana" w:cs="Verdana" w:eastAsia="Verdana" w:hAnsi="Verdana"/>
                <w:color w:val="2f2f2f"/>
                <w:sz w:val="20"/>
                <w:szCs w:val="20"/>
              </w:rPr>
            </w:pPr>
            <w:r w:rsidDel="00000000" w:rsidR="00000000" w:rsidRPr="00000000">
              <w:rPr>
                <w:rtl w:val="0"/>
              </w:rPr>
            </w:r>
          </w:p>
        </w:tc>
      </w:tr>
      <w:tr>
        <w:trPr>
          <w:trHeight w:val="6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A">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8430.3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B">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Cortadoras y arrancadoras, de carbón o rocas, y máquinas de hacer túneles o galerías: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C">
            <w:pPr>
              <w:ind w:left="280" w:firstLine="0"/>
              <w:jc w:val="both"/>
              <w:rPr>
                <w:rFonts w:ascii="Verdana" w:cs="Verdana" w:eastAsia="Verdana" w:hAnsi="Verdana"/>
                <w:color w:val="2f2f2f"/>
                <w:sz w:val="20"/>
                <w:szCs w:val="20"/>
              </w:rPr>
            </w:pPr>
            <w:r w:rsidDel="00000000" w:rsidR="00000000" w:rsidRPr="00000000">
              <w:rPr>
                <w:rtl w:val="0"/>
              </w:rPr>
            </w:r>
          </w:p>
        </w:tc>
      </w:tr>
      <w:tr>
        <w:trPr>
          <w:trHeight w:val="3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D">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8430.31.00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E">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Autopropulsadas.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F">
            <w:pPr>
              <w:ind w:left="280" w:firstLine="0"/>
              <w:jc w:val="both"/>
              <w:rPr>
                <w:rFonts w:ascii="Verdana" w:cs="Verdana" w:eastAsia="Verdana" w:hAnsi="Verdana"/>
                <w:color w:val="2f2f2f"/>
                <w:sz w:val="20"/>
                <w:szCs w:val="20"/>
              </w:rPr>
            </w:pPr>
            <w:r w:rsidDel="00000000" w:rsidR="00000000" w:rsidRPr="00000000">
              <w:rPr>
                <w:rtl w:val="0"/>
              </w:rPr>
            </w:r>
          </w:p>
        </w:tc>
      </w:tr>
      <w:tr>
        <w:trPr>
          <w:trHeight w:val="3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0">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8430.4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1">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demás máquinas de sondeo o perforación: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2">
            <w:pPr>
              <w:ind w:left="280" w:firstLine="0"/>
              <w:jc w:val="both"/>
              <w:rPr>
                <w:rFonts w:ascii="Verdana" w:cs="Verdana" w:eastAsia="Verdana" w:hAnsi="Verdana"/>
                <w:color w:val="2f2f2f"/>
                <w:sz w:val="20"/>
                <w:szCs w:val="20"/>
              </w:rPr>
            </w:pPr>
            <w:r w:rsidDel="00000000" w:rsidR="00000000" w:rsidRPr="00000000">
              <w:rPr>
                <w:rtl w:val="0"/>
              </w:rPr>
            </w:r>
          </w:p>
        </w:tc>
      </w:tr>
      <w:tr>
        <w:trPr>
          <w:trHeight w:val="3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3">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8430.41.00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4">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Autopropulsadas.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5">
            <w:pPr>
              <w:ind w:left="280" w:firstLine="0"/>
              <w:jc w:val="both"/>
              <w:rPr>
                <w:rFonts w:ascii="Verdana" w:cs="Verdana" w:eastAsia="Verdana" w:hAnsi="Verdana"/>
                <w:color w:val="2f2f2f"/>
                <w:sz w:val="20"/>
                <w:szCs w:val="20"/>
              </w:rPr>
            </w:pPr>
            <w:r w:rsidDel="00000000" w:rsidR="00000000" w:rsidRPr="00000000">
              <w:rPr>
                <w:rtl w:val="0"/>
              </w:rPr>
            </w:r>
          </w:p>
        </w:tc>
      </w:tr>
      <w:tr>
        <w:trPr>
          <w:trHeight w:val="3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6">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8430.50.00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7">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demás máquinas y aparatos, autopropulsados.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8">
            <w:pPr>
              <w:ind w:left="280" w:firstLine="0"/>
              <w:jc w:val="both"/>
              <w:rPr>
                <w:rFonts w:ascii="Verdana" w:cs="Verdana" w:eastAsia="Verdana" w:hAnsi="Verdana"/>
                <w:color w:val="2f2f2f"/>
                <w:sz w:val="20"/>
                <w:szCs w:val="20"/>
              </w:rPr>
            </w:pPr>
            <w:r w:rsidDel="00000000" w:rsidR="00000000" w:rsidRPr="00000000">
              <w:rPr>
                <w:rtl w:val="0"/>
              </w:rPr>
            </w:r>
          </w:p>
        </w:tc>
      </w:tr>
      <w:tr>
        <w:trPr>
          <w:trHeight w:val="6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9">
            <w:pPr>
              <w:spacing w:after="10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8433.5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A">
            <w:pPr>
              <w:spacing w:after="10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demás máquinas y aparatos de cosechar; máquinas y aparatos de trillar:</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B">
            <w:pPr>
              <w:ind w:left="280" w:firstLine="0"/>
              <w:jc w:val="both"/>
              <w:rPr>
                <w:rFonts w:ascii="Verdana" w:cs="Verdana" w:eastAsia="Verdana" w:hAnsi="Verdana"/>
                <w:color w:val="2f2f2f"/>
                <w:sz w:val="20"/>
                <w:szCs w:val="20"/>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C">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8433.51.00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D">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Cosechadoras-trilladoras.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E">
            <w:pPr>
              <w:ind w:left="280" w:firstLine="0"/>
              <w:jc w:val="both"/>
              <w:rPr>
                <w:rFonts w:ascii="Verdana" w:cs="Verdana" w:eastAsia="Verdana" w:hAnsi="Verdana"/>
                <w:color w:val="2f2f2f"/>
                <w:sz w:val="20"/>
                <w:szCs w:val="20"/>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F">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8433.52.00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0">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demás máquinas y aparatos de trillar.</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1">
            <w:pPr>
              <w:ind w:left="280" w:firstLine="0"/>
              <w:jc w:val="both"/>
              <w:rPr>
                <w:rFonts w:ascii="Verdana" w:cs="Verdana" w:eastAsia="Verdana" w:hAnsi="Verdana"/>
                <w:color w:val="2f2f2f"/>
                <w:sz w:val="20"/>
                <w:szCs w:val="20"/>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2">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8433.53.00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3">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Máquinas de cosechar raíces o tubérculos.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4">
            <w:pPr>
              <w:ind w:left="280" w:firstLine="0"/>
              <w:jc w:val="both"/>
              <w:rPr>
                <w:rFonts w:ascii="Verdana" w:cs="Verdana" w:eastAsia="Verdana" w:hAnsi="Verdana"/>
                <w:color w:val="2f2f2f"/>
                <w:sz w:val="20"/>
                <w:szCs w:val="20"/>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5">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8433.59.00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6">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7">
            <w:pPr>
              <w:ind w:left="280" w:firstLine="0"/>
              <w:jc w:val="both"/>
              <w:rPr>
                <w:rFonts w:ascii="Verdana" w:cs="Verdana" w:eastAsia="Verdana" w:hAnsi="Verdana"/>
                <w:color w:val="2f2f2f"/>
                <w:sz w:val="20"/>
                <w:szCs w:val="20"/>
              </w:rPr>
            </w:pPr>
            <w:r w:rsidDel="00000000" w:rsidR="00000000" w:rsidRPr="00000000">
              <w:rPr>
                <w:rtl w:val="0"/>
              </w:rPr>
            </w:r>
          </w:p>
        </w:tc>
      </w:tr>
      <w:tr>
        <w:trPr>
          <w:trHeight w:val="6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8">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8479.10.00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9">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Máquinas y aparatos para obras públicas, la construcción o trabajos análogos.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A">
            <w:pPr>
              <w:ind w:left="280" w:firstLine="0"/>
              <w:jc w:val="both"/>
              <w:rPr>
                <w:rFonts w:ascii="Verdana" w:cs="Verdana" w:eastAsia="Verdana" w:hAnsi="Verdana"/>
                <w:color w:val="2f2f2f"/>
                <w:sz w:val="20"/>
                <w:szCs w:val="20"/>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B">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8701.10.00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C">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Motocultores.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D">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E">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8701.30.00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F">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Tractores de orugas.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0">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1">
            <w:pPr>
              <w:spacing w:after="40" w:before="40" w:lineRule="auto"/>
              <w:ind w:left="2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8701.90.00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2">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3">
            <w:pPr>
              <w:spacing w:after="40" w:before="40" w:lineRule="auto"/>
              <w:ind w:left="2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E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E5">
      <w:pPr>
        <w:shd w:fill="ffffff" w:val="clear"/>
        <w:spacing w:after="100" w:lineRule="auto"/>
        <w:ind w:left="2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Vehículos de peso total con carga máxima superior a 8.845 kg ocho mil ochocientos cuarenta y cinco kilogramos (camiones, camiones tractores y chasis con motor y cabina de peso total con carga máxima superior a 8.845 kg ocho mil ochocientos cuarenta y cinco kilogramos )</w:t>
      </w:r>
    </w:p>
    <w:p w:rsidR="00000000" w:rsidDel="00000000" w:rsidP="00000000" w:rsidRDefault="00000000" w:rsidRPr="00000000" w14:paraId="000000E6">
      <w:pPr>
        <w:shd w:fill="ffffff" w:val="clear"/>
        <w:spacing w:after="100" w:lineRule="auto"/>
        <w:ind w:left="2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literal e) del Artículo 1° de este Apéndice comprende los siguientes productos automotores:</w:t>
      </w:r>
    </w:p>
    <w:tbl>
      <w:tblPr>
        <w:tblStyle w:val="Table8"/>
        <w:tblW w:w="86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4050"/>
        <w:gridCol w:w="2715"/>
        <w:tblGridChange w:id="0">
          <w:tblGrid>
            <w:gridCol w:w="1860"/>
            <w:gridCol w:w="4050"/>
            <w:gridCol w:w="2715"/>
          </w:tblGrid>
        </w:tblGridChange>
      </w:tblGrid>
      <w:tr>
        <w:trPr>
          <w:trHeight w:val="73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7">
            <w:pPr>
              <w:spacing w:after="10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NALADI/SA 2002</w:t>
            </w:r>
          </w:p>
          <w:p w:rsidR="00000000" w:rsidDel="00000000" w:rsidP="00000000" w:rsidRDefault="00000000" w:rsidRPr="00000000" w14:paraId="000000E8">
            <w:pPr>
              <w:spacing w:after="10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9">
            <w:pPr>
              <w:spacing w:after="10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DESCRIPCIÓN</w:t>
            </w:r>
          </w:p>
          <w:p w:rsidR="00000000" w:rsidDel="00000000" w:rsidP="00000000" w:rsidRDefault="00000000" w:rsidRPr="00000000" w14:paraId="000000EA">
            <w:pPr>
              <w:spacing w:after="10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B">
            <w:pPr>
              <w:spacing w:after="10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OBSERVACIONES</w:t>
            </w:r>
          </w:p>
          <w:p w:rsidR="00000000" w:rsidDel="00000000" w:rsidP="00000000" w:rsidRDefault="00000000" w:rsidRPr="00000000" w14:paraId="000000EC">
            <w:pPr>
              <w:spacing w:after="10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r>
      <w:tr>
        <w:trPr>
          <w:trHeight w:val="3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D">
            <w:pPr>
              <w:spacing w:after="10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8701.20.00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E">
            <w:pPr>
              <w:spacing w:after="10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Tractores de carretera para semirremolques.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F">
            <w:pPr>
              <w:ind w:left="260" w:firstLine="0"/>
              <w:jc w:val="both"/>
              <w:rPr>
                <w:rFonts w:ascii="Verdana" w:cs="Verdana" w:eastAsia="Verdana" w:hAnsi="Verdana"/>
                <w:color w:val="2f2f2f"/>
                <w:sz w:val="20"/>
                <w:szCs w:val="20"/>
              </w:rPr>
            </w:pPr>
            <w:r w:rsidDel="00000000" w:rsidR="00000000" w:rsidRPr="00000000">
              <w:rPr>
                <w:rtl w:val="0"/>
              </w:rPr>
            </w:r>
          </w:p>
        </w:tc>
      </w:tr>
      <w:tr>
        <w:trPr>
          <w:trHeight w:val="6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0">
            <w:pPr>
              <w:spacing w:after="10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8704.10.00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1">
            <w:pPr>
              <w:spacing w:after="10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Volquetes automotores concebidos para utilizarlos fuera de la red de carreteras.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2">
            <w:pPr>
              <w:ind w:left="260" w:firstLine="0"/>
              <w:jc w:val="both"/>
              <w:rPr>
                <w:rFonts w:ascii="Verdana" w:cs="Verdana" w:eastAsia="Verdana" w:hAnsi="Verdana"/>
                <w:color w:val="2f2f2f"/>
                <w:sz w:val="20"/>
                <w:szCs w:val="20"/>
              </w:rPr>
            </w:pPr>
            <w:r w:rsidDel="00000000" w:rsidR="00000000" w:rsidRPr="00000000">
              <w:rPr>
                <w:rtl w:val="0"/>
              </w:rPr>
            </w:r>
          </w:p>
        </w:tc>
      </w:tr>
      <w:tr>
        <w:trPr>
          <w:trHeight w:val="6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3">
            <w:pPr>
              <w:spacing w:after="40" w:before="4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4">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con motor de émbolo (pistón), de encendido por compresión (Diésel o semi-Diésel):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5">
            <w:pPr>
              <w:ind w:left="260" w:firstLine="0"/>
              <w:jc w:val="both"/>
              <w:rPr>
                <w:rFonts w:ascii="Verdana" w:cs="Verdana" w:eastAsia="Verdana" w:hAnsi="Verdana"/>
                <w:color w:val="2f2f2f"/>
                <w:sz w:val="20"/>
                <w:szCs w:val="20"/>
              </w:rPr>
            </w:pPr>
            <w:r w:rsidDel="00000000" w:rsidR="00000000" w:rsidRPr="00000000">
              <w:rPr>
                <w:rtl w:val="0"/>
              </w:rPr>
            </w:r>
          </w:p>
        </w:tc>
      </w:tr>
      <w:tr>
        <w:trPr>
          <w:trHeight w:val="11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6">
            <w:pPr>
              <w:spacing w:after="40" w:before="4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8704.22.00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7">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peso total con carga máxima superior a 5 t pero inferior o igual a 20 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8">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Únicamente aquéllos de peso total con carga máxima superior a 8.845 kg ocho mil ochocientos cuarenta y cinco kilogramos-</w:t>
            </w:r>
          </w:p>
        </w:tc>
      </w:tr>
    </w:tbl>
    <w:p w:rsidR="00000000" w:rsidDel="00000000" w:rsidP="00000000" w:rsidRDefault="00000000" w:rsidRPr="00000000" w14:paraId="000000F9">
      <w:pPr>
        <w:jc w:val="both"/>
        <w:rPr>
          <w:rFonts w:ascii="Verdana" w:cs="Verdana" w:eastAsia="Verdana" w:hAnsi="Verdana"/>
          <w:color w:val="0000ff"/>
          <w:sz w:val="20"/>
          <w:szCs w:val="20"/>
        </w:rPr>
      </w:pPr>
      <w:r w:rsidDel="00000000" w:rsidR="00000000" w:rsidRPr="00000000">
        <w:rPr>
          <w:rtl w:val="0"/>
        </w:rPr>
      </w:r>
    </w:p>
    <w:tbl>
      <w:tblPr>
        <w:tblStyle w:val="Table9"/>
        <w:tblW w:w="86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4095"/>
        <w:gridCol w:w="2670"/>
        <w:tblGridChange w:id="0">
          <w:tblGrid>
            <w:gridCol w:w="1845"/>
            <w:gridCol w:w="4095"/>
            <w:gridCol w:w="267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A">
            <w:pPr>
              <w:spacing w:after="40" w:before="4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8704.23.00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B">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peso total con carga máxima superior a 20 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C">
            <w:pPr>
              <w:ind w:left="260" w:firstLine="0"/>
              <w:jc w:val="both"/>
              <w:rPr>
                <w:rFonts w:ascii="Verdana" w:cs="Verdana" w:eastAsia="Verdana" w:hAnsi="Verdana"/>
                <w:color w:val="2f2f2f"/>
                <w:sz w:val="20"/>
                <w:szCs w:val="20"/>
              </w:rPr>
            </w:pPr>
            <w:r w:rsidDel="00000000" w:rsidR="00000000" w:rsidRPr="00000000">
              <w:rPr>
                <w:rtl w:val="0"/>
              </w:rPr>
            </w:r>
          </w:p>
        </w:tc>
      </w:tr>
    </w:tbl>
    <w:p w:rsidR="00000000" w:rsidDel="00000000" w:rsidP="00000000" w:rsidRDefault="00000000" w:rsidRPr="00000000" w14:paraId="000000FD">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0"/>
        <w:tblW w:w="86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165"/>
        <w:gridCol w:w="3885"/>
        <w:tblGridChange w:id="0">
          <w:tblGrid>
            <w:gridCol w:w="1560"/>
            <w:gridCol w:w="3165"/>
            <w:gridCol w:w="3885"/>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E">
            <w:pPr>
              <w:spacing w:after="40" w:before="4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F">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con motor de émbolo (pistón), de encendido por chispa: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0">
            <w:pPr>
              <w:ind w:left="260" w:firstLine="0"/>
              <w:jc w:val="both"/>
              <w:rPr>
                <w:rFonts w:ascii="Verdana" w:cs="Verdana" w:eastAsia="Verdana" w:hAnsi="Verdana"/>
                <w:color w:val="2f2f2f"/>
                <w:sz w:val="20"/>
                <w:szCs w:val="20"/>
              </w:rPr>
            </w:pPr>
            <w:r w:rsidDel="00000000" w:rsidR="00000000" w:rsidRPr="00000000">
              <w:rPr>
                <w:rtl w:val="0"/>
              </w:rPr>
            </w:r>
          </w:p>
        </w:tc>
      </w:tr>
      <w:tr>
        <w:trPr>
          <w:trHeight w:val="100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1">
            <w:pPr>
              <w:spacing w:after="40" w:before="4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8704.32.00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2">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peso total con carga máxima superior a 5 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3">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Únicamente aquéllos de peso total con carga máxima superior a 8.845 kg ocho mil ochocientos cuarenta y cinco kilogramos-</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4">
            <w:pPr>
              <w:spacing w:after="40" w:before="4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8704.90.00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5">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6">
            <w:pPr>
              <w:ind w:left="260" w:firstLine="0"/>
              <w:jc w:val="both"/>
              <w:rPr>
                <w:rFonts w:ascii="Verdana" w:cs="Verdana" w:eastAsia="Verdana" w:hAnsi="Verdana"/>
                <w:color w:val="2f2f2f"/>
                <w:sz w:val="20"/>
                <w:szCs w:val="20"/>
              </w:rPr>
            </w:pPr>
            <w:r w:rsidDel="00000000" w:rsidR="00000000" w:rsidRPr="00000000">
              <w:rPr>
                <w:rtl w:val="0"/>
              </w:rPr>
            </w:r>
          </w:p>
        </w:tc>
      </w:tr>
      <w:tr>
        <w:trPr>
          <w:trHeight w:val="223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7">
            <w:pPr>
              <w:spacing w:after="40" w:before="4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8706.00.00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8">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Chasis de vehículos automóviles de las partidas 87.01 a 87.05, equipados con su motor.</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9">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Únicamente chasis para vehículos automóviles de los ítem 8701.20.00, 8704.10.00, 8704.22.00,</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8704.23.00, 8704.32.00</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u 8704.90.00, incluidos en este apartado.</w:t>
            </w:r>
          </w:p>
          <w:p w:rsidR="00000000" w:rsidDel="00000000" w:rsidP="00000000" w:rsidRDefault="00000000" w:rsidRPr="00000000" w14:paraId="0000010A">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De peso total con carga superior a 8.845 kg. ocho mil ochocientos cuarenta y cinco kilogramos.</w:t>
            </w:r>
          </w:p>
        </w:tc>
      </w:tr>
      <w:tr>
        <w:trPr>
          <w:trHeight w:val="225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B">
            <w:pPr>
              <w:spacing w:after="40" w:before="40" w:lineRule="auto"/>
              <w:ind w:left="2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8707.90.00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C">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D">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Únicamente carrocerías para los vehículos automóviles de los ítem 8701.20.00, 8704.10.00, 8704.22.00,</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8704.23.00, 8704.32.00</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u 8704.90.00, incluidos en este apartado.</w:t>
            </w:r>
          </w:p>
          <w:p w:rsidR="00000000" w:rsidDel="00000000" w:rsidP="00000000" w:rsidRDefault="00000000" w:rsidRPr="00000000" w14:paraId="0000010E">
            <w:pPr>
              <w:spacing w:after="40" w:before="40" w:lineRule="auto"/>
              <w:ind w:left="260"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De peso total con carga superior a 8.845 kg. ocho mil ochocientos cuarenta y cinco kilogramos.</w:t>
            </w:r>
          </w:p>
        </w:tc>
      </w:tr>
    </w:tbl>
    <w:p w:rsidR="00000000" w:rsidDel="00000000" w:rsidP="00000000" w:rsidRDefault="00000000" w:rsidRPr="00000000" w14:paraId="000001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Ómnibus (ómnibus completos, chasis con motor y carrocerías para ómnibus).</w:t>
      </w:r>
    </w:p>
    <w:p w:rsidR="00000000" w:rsidDel="00000000" w:rsidP="00000000" w:rsidRDefault="00000000" w:rsidRPr="00000000" w14:paraId="000001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literal f) del Artículo 1</w:t>
      </w:r>
      <w:r w:rsidDel="00000000" w:rsidR="00000000" w:rsidRPr="00000000">
        <w:rPr>
          <w:rFonts w:ascii="Verdana" w:cs="Verdana" w:eastAsia="Verdana" w:hAnsi="Verdana"/>
          <w:color w:val="2f2f2f"/>
          <w:sz w:val="20"/>
          <w:szCs w:val="20"/>
          <w:u w:val="single"/>
          <w:vertAlign w:val="superscript"/>
          <w:rtl w:val="0"/>
        </w:rPr>
        <w:t xml:space="preserve">o</w:t>
      </w:r>
      <w:r w:rsidDel="00000000" w:rsidR="00000000" w:rsidRPr="00000000">
        <w:rPr>
          <w:rFonts w:ascii="Verdana" w:cs="Verdana" w:eastAsia="Verdana" w:hAnsi="Verdana"/>
          <w:color w:val="2f2f2f"/>
          <w:sz w:val="20"/>
          <w:szCs w:val="20"/>
          <w:rtl w:val="0"/>
        </w:rPr>
        <w:t xml:space="preserve"> del Acuerdo comprende los siguientes productos automotores:</w:t>
      </w:r>
    </w:p>
    <w:tbl>
      <w:tblPr>
        <w:tblStyle w:val="Table11"/>
        <w:tblW w:w="86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975"/>
        <w:gridCol w:w="2775"/>
        <w:tblGridChange w:id="0">
          <w:tblGrid>
            <w:gridCol w:w="1875"/>
            <w:gridCol w:w="3975"/>
            <w:gridCol w:w="2775"/>
          </w:tblGrid>
        </w:tblGridChange>
      </w:tblGrid>
      <w:tr>
        <w:trPr>
          <w:trHeight w:val="6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2">
            <w:pPr>
              <w:spacing w:after="40" w:before="40" w:lineRule="auto"/>
              <w:ind w:left="2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NALADI/SH 2002</w:t>
            </w:r>
          </w:p>
          <w:p w:rsidR="00000000" w:rsidDel="00000000" w:rsidP="00000000" w:rsidRDefault="00000000" w:rsidRPr="00000000" w14:paraId="00000113">
            <w:pPr>
              <w:spacing w:after="40" w:before="40" w:lineRule="auto"/>
              <w:ind w:left="2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4">
            <w:pPr>
              <w:spacing w:after="40" w:before="40" w:lineRule="auto"/>
              <w:ind w:left="2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DESCRIPCIÓN</w:t>
            </w:r>
          </w:p>
          <w:p w:rsidR="00000000" w:rsidDel="00000000" w:rsidP="00000000" w:rsidRDefault="00000000" w:rsidRPr="00000000" w14:paraId="00000115">
            <w:pPr>
              <w:spacing w:after="40" w:before="40" w:lineRule="auto"/>
              <w:ind w:left="2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6">
            <w:pPr>
              <w:spacing w:after="40" w:before="40" w:lineRule="auto"/>
              <w:ind w:left="2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OBSERVACIONES</w:t>
            </w:r>
          </w:p>
          <w:p w:rsidR="00000000" w:rsidDel="00000000" w:rsidP="00000000" w:rsidRDefault="00000000" w:rsidRPr="00000000" w14:paraId="00000117">
            <w:pPr>
              <w:spacing w:after="40" w:before="40" w:lineRule="auto"/>
              <w:ind w:left="2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8">
            <w:pPr>
              <w:spacing w:after="40" w:before="40" w:lineRule="auto"/>
              <w:ind w:left="2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8702.10.00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9">
            <w:pPr>
              <w:spacing w:after="40" w:before="40" w:lineRule="auto"/>
              <w:ind w:left="2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motor de émbolo (pistón), de encendido por compresión (Diésel o semi-Diésel).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A">
            <w:pPr>
              <w:ind w:left="240" w:firstLine="0"/>
              <w:jc w:val="both"/>
              <w:rPr>
                <w:rFonts w:ascii="Verdana" w:cs="Verdana" w:eastAsia="Verdana" w:hAnsi="Verdana"/>
                <w:color w:val="2f2f2f"/>
                <w:sz w:val="20"/>
                <w:szCs w:val="20"/>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B">
            <w:pPr>
              <w:spacing w:after="40" w:before="40" w:lineRule="auto"/>
              <w:ind w:left="2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8702.90.00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C">
            <w:pPr>
              <w:spacing w:after="40" w:before="40" w:lineRule="auto"/>
              <w:ind w:left="2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D">
            <w:pPr>
              <w:ind w:left="240" w:firstLine="0"/>
              <w:jc w:val="both"/>
              <w:rPr>
                <w:rFonts w:ascii="Verdana" w:cs="Verdana" w:eastAsia="Verdana" w:hAnsi="Verdana"/>
                <w:color w:val="2f2f2f"/>
                <w:sz w:val="20"/>
                <w:szCs w:val="20"/>
              </w:rPr>
            </w:pPr>
            <w:r w:rsidDel="00000000" w:rsidR="00000000" w:rsidRPr="00000000">
              <w:rPr>
                <w:rtl w:val="0"/>
              </w:rPr>
            </w:r>
          </w:p>
        </w:tc>
      </w:tr>
      <w:tr>
        <w:trPr>
          <w:trHeight w:val="8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E">
            <w:pPr>
              <w:spacing w:after="40" w:before="40" w:lineRule="auto"/>
              <w:ind w:left="2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8706.00.00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F">
            <w:pPr>
              <w:spacing w:after="40" w:before="40" w:lineRule="auto"/>
              <w:ind w:left="2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Chasis de vehículos automóviles de las partidas 87.01 a 87.05, equipados con su motor.</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0">
            <w:pPr>
              <w:spacing w:after="40" w:before="40" w:lineRule="auto"/>
              <w:ind w:left="2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Únicamente chasis para vehículos automóviles de los ítem 8702.10.00 u 8702.90.00</w:t>
            </w:r>
          </w:p>
        </w:tc>
      </w:tr>
      <w:tr>
        <w:trPr>
          <w:trHeight w:val="8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1">
            <w:pPr>
              <w:spacing w:after="40" w:before="40" w:lineRule="auto"/>
              <w:ind w:left="2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8707.90.00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2">
            <w:pPr>
              <w:spacing w:after="40" w:before="40" w:lineRule="auto"/>
              <w:ind w:left="2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3">
            <w:pPr>
              <w:spacing w:after="40" w:before="40" w:lineRule="auto"/>
              <w:ind w:left="2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Únicamente carrocerías para los vehículos automóviles de los ítem 8702.10.00 u 8702.90.00</w:t>
            </w:r>
          </w:p>
        </w:tc>
      </w:tr>
    </w:tbl>
    <w:p w:rsidR="00000000" w:rsidDel="00000000" w:rsidP="00000000" w:rsidRDefault="00000000" w:rsidRPr="00000000" w14:paraId="000001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2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1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1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disposiciones previstas en el Séptimo Protocolo Adicional al Apéndice II "Sobre el Comercio en el Sector Automotor entre Brasil y México" del Acuerdo de Complementación Económica No. 55 celebrado entre el MERCOSUR y los Estados Unidos Mexicanos, serán aplicables en términos del Artículo 7º del propio Protocolo.</w:t>
      </w:r>
    </w:p>
    <w:p w:rsidR="00000000" w:rsidDel="00000000" w:rsidP="00000000" w:rsidRDefault="00000000" w:rsidRPr="00000000" w14:paraId="000001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25 de septiembre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12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