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74A" w:rsidRDefault="004F674A" w:rsidP="004F674A">
      <w:pPr>
        <w:jc w:val="center"/>
        <w:rPr>
          <w:rFonts w:ascii="Verdana" w:hAnsi="Verdana"/>
          <w:b/>
          <w:bCs/>
          <w:color w:val="0070C0"/>
          <w:sz w:val="24"/>
        </w:rPr>
      </w:pPr>
      <w:r w:rsidRPr="004F674A">
        <w:rPr>
          <w:rFonts w:ascii="Verdana" w:hAnsi="Verdana"/>
          <w:b/>
          <w:bCs/>
          <w:color w:val="0070C0"/>
          <w:sz w:val="24"/>
        </w:rPr>
        <w:t>Decreto por el que se reforman la Ley Orgánica de la Administración Pública Federal, la Ley Federal para la Administración y Enajenación de Bienes del Sector Público y, el Artículo Séptimo Transitorio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w:t>
      </w:r>
      <w:r>
        <w:rPr>
          <w:rFonts w:ascii="Verdana" w:hAnsi="Verdana"/>
          <w:b/>
          <w:bCs/>
          <w:color w:val="0070C0"/>
          <w:sz w:val="24"/>
        </w:rPr>
        <w:t>ublicado el 9 de agosto de 2019</w:t>
      </w:r>
    </w:p>
    <w:p w:rsidR="004F674A" w:rsidRDefault="004F674A" w:rsidP="004F674A">
      <w:pPr>
        <w:jc w:val="center"/>
        <w:rPr>
          <w:rFonts w:ascii="Verdana" w:hAnsi="Verdana"/>
          <w:b/>
          <w:bCs/>
          <w:color w:val="0070C0"/>
          <w:sz w:val="24"/>
        </w:rPr>
      </w:pPr>
      <w:r>
        <w:rPr>
          <w:rFonts w:ascii="Verdana" w:hAnsi="Verdana"/>
          <w:b/>
          <w:bCs/>
          <w:color w:val="0070C0"/>
          <w:sz w:val="24"/>
        </w:rPr>
        <w:t>(DOF del 22 de enero de 2020)</w:t>
      </w:r>
    </w:p>
    <w:p w:rsidR="004F674A" w:rsidRPr="004F674A" w:rsidRDefault="004F674A" w:rsidP="004F674A">
      <w:pPr>
        <w:jc w:val="both"/>
        <w:rPr>
          <w:rFonts w:ascii="Verdana" w:hAnsi="Verdana"/>
          <w:bCs/>
          <w:sz w:val="20"/>
        </w:rPr>
      </w:pPr>
      <w:r w:rsidRPr="004F674A">
        <w:rPr>
          <w:rFonts w:ascii="Verdana" w:hAnsi="Verdana"/>
          <w:bCs/>
          <w:sz w:val="20"/>
        </w:rPr>
        <w:t>Al margen un sello con el Escudo Nacional, que dice: Estados Unidos Mexicanos.- Presidencia de la República.</w:t>
      </w:r>
    </w:p>
    <w:p w:rsidR="004F674A" w:rsidRPr="004F674A" w:rsidRDefault="004F674A" w:rsidP="004F674A">
      <w:pPr>
        <w:jc w:val="both"/>
        <w:rPr>
          <w:rFonts w:ascii="Verdana" w:hAnsi="Verdana"/>
          <w:bCs/>
          <w:sz w:val="20"/>
        </w:rPr>
      </w:pPr>
      <w:r w:rsidRPr="004F674A">
        <w:rPr>
          <w:rFonts w:ascii="Verdana" w:hAnsi="Verdana"/>
          <w:bCs/>
          <w:sz w:val="20"/>
        </w:rPr>
        <w:t>ANDRÉS MANUEL LÓPEZ OBRADOR, Presidente de los Estados Unidos Mexicanos, a sus habitantes sabed:</w:t>
      </w:r>
    </w:p>
    <w:p w:rsidR="004F674A" w:rsidRPr="004F674A" w:rsidRDefault="004F674A" w:rsidP="004F674A">
      <w:pPr>
        <w:jc w:val="both"/>
        <w:rPr>
          <w:rFonts w:ascii="Verdana" w:hAnsi="Verdana"/>
          <w:bCs/>
          <w:sz w:val="20"/>
        </w:rPr>
      </w:pPr>
      <w:r w:rsidRPr="004F674A">
        <w:rPr>
          <w:rFonts w:ascii="Verdana" w:hAnsi="Verdana"/>
          <w:bCs/>
          <w:sz w:val="20"/>
        </w:rPr>
        <w:t>Que el Honorable Congreso de la Unión, se ha servido dirigirme el siguiente</w:t>
      </w:r>
    </w:p>
    <w:p w:rsidR="004F674A" w:rsidRPr="004F674A" w:rsidRDefault="004F674A" w:rsidP="004F674A">
      <w:pPr>
        <w:jc w:val="both"/>
        <w:rPr>
          <w:rFonts w:ascii="Verdana" w:hAnsi="Verdana"/>
          <w:bCs/>
          <w:sz w:val="20"/>
        </w:rPr>
      </w:pPr>
      <w:r w:rsidRPr="004F674A">
        <w:rPr>
          <w:rFonts w:ascii="Verdana" w:hAnsi="Verdana"/>
          <w:bCs/>
          <w:sz w:val="20"/>
        </w:rPr>
        <w:t>DECRETO</w:t>
      </w:r>
    </w:p>
    <w:p w:rsidR="004F674A" w:rsidRPr="004F674A" w:rsidRDefault="004F674A" w:rsidP="004F674A">
      <w:pPr>
        <w:jc w:val="both"/>
        <w:rPr>
          <w:rFonts w:ascii="Verdana" w:hAnsi="Verdana"/>
          <w:bCs/>
          <w:sz w:val="20"/>
        </w:rPr>
      </w:pPr>
      <w:r w:rsidRPr="004F674A">
        <w:rPr>
          <w:rFonts w:ascii="Verdana" w:hAnsi="Verdana"/>
          <w:bCs/>
          <w:sz w:val="20"/>
        </w:rPr>
        <w:t>"EL CONGRESO GENERAL DE LOS ESTADOS UNIDOS MEXICANOS, DECRETA:</w:t>
      </w:r>
    </w:p>
    <w:p w:rsidR="004F674A" w:rsidRPr="004F674A" w:rsidRDefault="004F674A" w:rsidP="004F674A">
      <w:pPr>
        <w:jc w:val="both"/>
        <w:rPr>
          <w:rFonts w:ascii="Verdana" w:hAnsi="Verdana"/>
          <w:bCs/>
          <w:sz w:val="20"/>
        </w:rPr>
      </w:pPr>
      <w:r w:rsidRPr="004F674A">
        <w:rPr>
          <w:rFonts w:ascii="Verdana" w:hAnsi="Verdana"/>
          <w:bCs/>
          <w:sz w:val="20"/>
        </w:rPr>
        <w:t>SE REFORMAN LA LEY ORGÁNICA DE LA ADMINISTRACIÓN PÚBLICA FEDERAL, LA LEY FEDERAL PARA LA ADMINISTRACIÓN Y ENAJENACIÓN DE BIENES DEL SECTOR PÚBLICO Y, EL ARTÍCULO SÉPTIMO TRANSITORIO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PUBLICADO EN EL DIARIO OFICIAL DE LA FEDERACIÓN EL 9 DE AGOSTO DE 2019.</w:t>
      </w:r>
    </w:p>
    <w:p w:rsidR="004F674A" w:rsidRPr="004F674A" w:rsidRDefault="004F674A" w:rsidP="004F674A">
      <w:pPr>
        <w:jc w:val="both"/>
        <w:rPr>
          <w:rFonts w:ascii="Verdana" w:hAnsi="Verdana"/>
          <w:bCs/>
          <w:sz w:val="20"/>
        </w:rPr>
      </w:pPr>
      <w:r w:rsidRPr="004F674A">
        <w:rPr>
          <w:rFonts w:ascii="Verdana" w:hAnsi="Verdana"/>
          <w:bCs/>
          <w:sz w:val="20"/>
        </w:rPr>
        <w:t>Artículo Primero. Se reforma la fracción VII del artículo 44 Bis de la Ley Orgánica de la Administración Pública Federal, para quedar como sigue:</w:t>
      </w:r>
    </w:p>
    <w:p w:rsidR="004F674A" w:rsidRPr="004F674A" w:rsidRDefault="004F674A" w:rsidP="004F674A">
      <w:pPr>
        <w:jc w:val="both"/>
        <w:rPr>
          <w:rFonts w:ascii="Verdana" w:hAnsi="Verdana"/>
          <w:bCs/>
          <w:sz w:val="20"/>
        </w:rPr>
      </w:pPr>
      <w:r w:rsidRPr="004F674A">
        <w:rPr>
          <w:rFonts w:ascii="Verdana" w:hAnsi="Verdana"/>
          <w:bCs/>
          <w:sz w:val="20"/>
        </w:rPr>
        <w:t>Artículo 44 Bis.</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t>I. a VI. ...</w:t>
      </w:r>
    </w:p>
    <w:p w:rsidR="004F674A" w:rsidRPr="004F674A" w:rsidRDefault="004F674A" w:rsidP="004F674A">
      <w:pPr>
        <w:jc w:val="both"/>
        <w:rPr>
          <w:rFonts w:ascii="Verdana" w:hAnsi="Verdana"/>
          <w:bCs/>
          <w:sz w:val="20"/>
        </w:rPr>
      </w:pPr>
      <w:r w:rsidRPr="004F674A">
        <w:rPr>
          <w:rFonts w:ascii="Verdana" w:hAnsi="Verdana"/>
          <w:bCs/>
          <w:sz w:val="20"/>
        </w:rPr>
        <w:t>VII.   La persona Titular de la Dirección General del Instituto para Devolver al Pueblo lo Robado, quien encabezará la Secretaría Técnica;</w:t>
      </w:r>
    </w:p>
    <w:p w:rsidR="004F674A" w:rsidRPr="004F674A" w:rsidRDefault="004F674A" w:rsidP="004F674A">
      <w:pPr>
        <w:jc w:val="both"/>
        <w:rPr>
          <w:rFonts w:ascii="Verdana" w:hAnsi="Verdana"/>
          <w:bCs/>
          <w:sz w:val="20"/>
        </w:rPr>
      </w:pPr>
      <w:r w:rsidRPr="004F674A">
        <w:rPr>
          <w:rFonts w:ascii="Verdana" w:hAnsi="Verdana"/>
          <w:bCs/>
          <w:sz w:val="20"/>
        </w:rPr>
        <w:t>VIII. a XI. ...</w:t>
      </w:r>
    </w:p>
    <w:p w:rsidR="004F674A" w:rsidRPr="004F674A" w:rsidRDefault="004F674A" w:rsidP="004F674A">
      <w:pPr>
        <w:jc w:val="both"/>
        <w:rPr>
          <w:rFonts w:ascii="Verdana" w:hAnsi="Verdana"/>
          <w:bCs/>
          <w:sz w:val="20"/>
        </w:rPr>
      </w:pPr>
      <w:r w:rsidRPr="004F674A">
        <w:rPr>
          <w:rFonts w:ascii="Verdana" w:hAnsi="Verdana"/>
          <w:bCs/>
          <w:sz w:val="20"/>
        </w:rPr>
        <w:t>...</w:t>
      </w:r>
    </w:p>
    <w:p w:rsidR="004F674A" w:rsidRPr="004F674A" w:rsidRDefault="004F674A" w:rsidP="004F674A">
      <w:pPr>
        <w:jc w:val="both"/>
        <w:rPr>
          <w:rFonts w:ascii="Verdana" w:hAnsi="Verdana"/>
          <w:bCs/>
          <w:sz w:val="20"/>
        </w:rPr>
      </w:pPr>
      <w:r w:rsidRPr="004F674A">
        <w:rPr>
          <w:rFonts w:ascii="Verdana" w:hAnsi="Verdana"/>
          <w:bCs/>
          <w:sz w:val="20"/>
        </w:rPr>
        <w:lastRenderedPageBreak/>
        <w:t>...</w:t>
      </w:r>
    </w:p>
    <w:p w:rsidR="004F674A" w:rsidRPr="004F674A" w:rsidRDefault="004F674A" w:rsidP="004F674A">
      <w:pPr>
        <w:jc w:val="both"/>
        <w:rPr>
          <w:rFonts w:ascii="Verdana" w:hAnsi="Verdana"/>
          <w:bCs/>
          <w:sz w:val="20"/>
        </w:rPr>
      </w:pPr>
      <w:r w:rsidRPr="004F674A">
        <w:rPr>
          <w:rFonts w:ascii="Verdana" w:hAnsi="Verdana"/>
          <w:bCs/>
          <w:sz w:val="20"/>
        </w:rPr>
        <w:t>Artículo Segundo. Se reforman los párrafos primero y su fracción XI, segundo, tercero, quinto, sexto, séptimo y octavo del artículo 1o., y las fracciones V, VI y VIII del artículo 2o., de la Ley Federal para la Administración y Enajenación de Bienes del Sector Público, para quedar como sigue:</w:t>
      </w:r>
    </w:p>
    <w:p w:rsidR="004F674A" w:rsidRPr="004F674A" w:rsidRDefault="004F674A" w:rsidP="004F674A">
      <w:pPr>
        <w:jc w:val="both"/>
        <w:rPr>
          <w:rFonts w:ascii="Verdana" w:hAnsi="Verdana"/>
          <w:bCs/>
          <w:sz w:val="20"/>
        </w:rPr>
      </w:pPr>
      <w:r w:rsidRPr="004F674A">
        <w:rPr>
          <w:rFonts w:ascii="Verdana" w:hAnsi="Verdana"/>
          <w:bCs/>
          <w:sz w:val="20"/>
        </w:rPr>
        <w:t>Artículo 1o.- La presente Ley es de orden e interés público, de observancia general en toda la República y tiene por objeto regular la administración y destino, por parte del Instituto para Devolver al Pueblo lo Robado, de los Bienes, activos y empresas siguientes:</w:t>
      </w:r>
    </w:p>
    <w:p w:rsidR="004F674A" w:rsidRPr="004F674A" w:rsidRDefault="004F674A" w:rsidP="004F674A">
      <w:pPr>
        <w:jc w:val="both"/>
        <w:rPr>
          <w:rFonts w:ascii="Verdana" w:hAnsi="Verdana"/>
          <w:bCs/>
          <w:sz w:val="20"/>
        </w:rPr>
      </w:pPr>
      <w:r w:rsidRPr="004F674A">
        <w:rPr>
          <w:rFonts w:ascii="Verdana" w:hAnsi="Verdana"/>
          <w:bCs/>
          <w:sz w:val="20"/>
        </w:rPr>
        <w:t>I.- a X.</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t>XI.- Las empresas que hayan sido transferidas al Instituto para Devolver al Pueblo lo Robado, y éste haya aceptado el cargo de liquidador o responsable del proceso de desincorporación, liquidación o extinción y reciba recursos para la consecución de su encargo;</w:t>
      </w:r>
    </w:p>
    <w:p w:rsidR="004F674A" w:rsidRPr="004F674A" w:rsidRDefault="004F674A" w:rsidP="004F674A">
      <w:pPr>
        <w:jc w:val="both"/>
        <w:rPr>
          <w:rFonts w:ascii="Verdana" w:hAnsi="Verdana"/>
          <w:bCs/>
          <w:sz w:val="20"/>
        </w:rPr>
      </w:pPr>
      <w:r w:rsidRPr="004F674A">
        <w:rPr>
          <w:rFonts w:ascii="Verdana" w:hAnsi="Verdana"/>
          <w:bCs/>
          <w:sz w:val="20"/>
        </w:rPr>
        <w:t>XII.- y XIII.</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t xml:space="preserve"> </w:t>
      </w:r>
    </w:p>
    <w:p w:rsidR="004F674A" w:rsidRPr="004F674A" w:rsidRDefault="004F674A" w:rsidP="004F674A">
      <w:pPr>
        <w:jc w:val="both"/>
        <w:rPr>
          <w:rFonts w:ascii="Verdana" w:hAnsi="Verdana"/>
          <w:bCs/>
          <w:sz w:val="20"/>
        </w:rPr>
      </w:pPr>
      <w:r w:rsidRPr="004F674A">
        <w:rPr>
          <w:rFonts w:ascii="Verdana" w:hAnsi="Verdana"/>
          <w:bCs/>
          <w:sz w:val="20"/>
        </w:rPr>
        <w:t>Los Bienes, activos o empresas a que se refiere este artículo, deberán ser transferidos al Instituto para Devolver al Pueblo lo Robado, cuando así lo determinen las leyes o cuando así lo ordenen las autoridades judiciales. En los demás casos, las Entidades Transferentes determinarán, de conformidad con las disposiciones aplicables para tal efecto, la conveniencia de transferir los Bienes al Instituto para Devolver al Pueblo lo Robado, o bien, de llevar a cabo por sí mismas la administración, destrucción o enajenación correspondientes, en cuyo caso aplicarán la normativa que corresponda de acuerdo a los Bienes de que se trate.</w:t>
      </w:r>
    </w:p>
    <w:p w:rsidR="004F674A" w:rsidRPr="004F674A" w:rsidRDefault="004F674A" w:rsidP="004F674A">
      <w:pPr>
        <w:jc w:val="both"/>
        <w:rPr>
          <w:rFonts w:ascii="Verdana" w:hAnsi="Verdana"/>
          <w:bCs/>
          <w:sz w:val="20"/>
        </w:rPr>
      </w:pPr>
      <w:r w:rsidRPr="004F674A">
        <w:rPr>
          <w:rFonts w:ascii="Verdana" w:hAnsi="Verdana"/>
          <w:bCs/>
          <w:sz w:val="20"/>
        </w:rPr>
        <w:t>El Instituto para Devolver al Pueblo lo Robado, podrá administrar, enajenar, usar, usufructuar, monetizar, dar destino o destruir directamente los Bienes, activos o empresas que le sean transferidos o nombrar depositarios, liquidadores, interventores o administradores de los mismos, así como encomendar a terceros la enajenación y destrucción de éstos.</w:t>
      </w:r>
    </w:p>
    <w:p w:rsidR="004F674A" w:rsidRPr="004F674A" w:rsidRDefault="004F674A" w:rsidP="004F674A">
      <w:pPr>
        <w:jc w:val="both"/>
        <w:rPr>
          <w:rFonts w:ascii="Verdana" w:hAnsi="Verdana"/>
          <w:bCs/>
          <w:sz w:val="20"/>
        </w:rPr>
      </w:pPr>
      <w:r w:rsidRPr="004F674A">
        <w:rPr>
          <w:rFonts w:ascii="Verdana" w:hAnsi="Verdana"/>
          <w:bCs/>
          <w:sz w:val="20"/>
        </w:rPr>
        <w:t>...</w:t>
      </w:r>
    </w:p>
    <w:p w:rsidR="004F674A" w:rsidRPr="004F674A" w:rsidRDefault="004F674A" w:rsidP="004F674A">
      <w:pPr>
        <w:jc w:val="both"/>
        <w:rPr>
          <w:rFonts w:ascii="Verdana" w:hAnsi="Verdana"/>
          <w:bCs/>
          <w:sz w:val="20"/>
        </w:rPr>
      </w:pPr>
      <w:r w:rsidRPr="004F674A">
        <w:rPr>
          <w:rFonts w:ascii="Verdana" w:hAnsi="Verdana"/>
          <w:bCs/>
          <w:sz w:val="20"/>
        </w:rPr>
        <w:t>Hasta que se realice la Transferencia de los Bienes al Instituto para Devolver al Pueblo lo Robado, éstos se regirán por las disposiciones aplicables de acuerdo a su naturaleza.</w:t>
      </w:r>
    </w:p>
    <w:p w:rsidR="004F674A" w:rsidRPr="004F674A" w:rsidRDefault="004F674A" w:rsidP="004F674A">
      <w:pPr>
        <w:jc w:val="both"/>
        <w:rPr>
          <w:rFonts w:ascii="Verdana" w:hAnsi="Verdana"/>
          <w:bCs/>
          <w:sz w:val="20"/>
        </w:rPr>
      </w:pPr>
      <w:r w:rsidRPr="004F674A">
        <w:rPr>
          <w:rFonts w:ascii="Verdana" w:hAnsi="Verdana"/>
          <w:bCs/>
          <w:sz w:val="20"/>
        </w:rPr>
        <w:t>Los Bienes provenientes de las entidades en desincorporación, liquidación o extinción a cargo del Instituto para Devolver al Pueblo lo Robado, se entenderán transferidos a partir de la designación del cargo correspondiente.</w:t>
      </w:r>
    </w:p>
    <w:p w:rsidR="004F674A" w:rsidRPr="004F674A" w:rsidRDefault="004F674A" w:rsidP="004F674A">
      <w:pPr>
        <w:jc w:val="both"/>
        <w:rPr>
          <w:rFonts w:ascii="Verdana" w:hAnsi="Verdana"/>
          <w:bCs/>
          <w:sz w:val="20"/>
        </w:rPr>
      </w:pPr>
      <w:r w:rsidRPr="004F674A">
        <w:rPr>
          <w:rFonts w:ascii="Verdana" w:hAnsi="Verdana"/>
          <w:bCs/>
          <w:sz w:val="20"/>
        </w:rPr>
        <w:t xml:space="preserve">La presente Ley será aplicable a los Bienes, activos o empresas desde que éstos sean formal y materialmente transferidos al Instituto para Devolver al Pueblo lo Robado y hasta que éste determine su destino, realice la destrucción, enajenación, Monetización </w:t>
      </w:r>
      <w:r w:rsidRPr="004F674A">
        <w:rPr>
          <w:rFonts w:ascii="Verdana" w:hAnsi="Verdana"/>
          <w:bCs/>
          <w:sz w:val="20"/>
        </w:rPr>
        <w:lastRenderedPageBreak/>
        <w:t>o termine su administración, inclusive tratándose de Bienes de Entidades Transferentes cuyo marco legal aplicable establezca requisitos o procedimientos de administración, enajenación y control especiales o particulares, en las materias que regula esta Ley. Habiéndose presentado cualquiera de estos supuestos, se estará a las disposiciones aplicables para el entero, destino y determinación de la naturaleza de los ingresos correspondientes.</w:t>
      </w:r>
    </w:p>
    <w:p w:rsidR="004F674A" w:rsidRPr="004F674A" w:rsidRDefault="004F674A" w:rsidP="004F674A">
      <w:pPr>
        <w:jc w:val="both"/>
        <w:rPr>
          <w:rFonts w:ascii="Verdana" w:hAnsi="Verdana"/>
          <w:bCs/>
          <w:sz w:val="20"/>
        </w:rPr>
      </w:pPr>
      <w:r w:rsidRPr="004F674A">
        <w:rPr>
          <w:rFonts w:ascii="Verdana" w:hAnsi="Verdana"/>
          <w:bCs/>
          <w:sz w:val="20"/>
        </w:rPr>
        <w:t>Los bienes inmuebles del Gobierno Federal que se transfieran al Instituto para Devolver al Pueblo lo Robado, continuarán sujetos al régimen jurídico que establece la Ley General de Bienes Nacionales; con excepción de los que correspondan a empresas en proceso de desincorporación, los cuales se entenderán desincorporados desde el momento en que se publique el acuerdo por el que se autorice la desincorporación del ente correspondiente, los que se regirán por lo dispuesto en el propio acuerdo, las disposiciones de esta Ley y demás normativa aplicable.</w:t>
      </w:r>
    </w:p>
    <w:p w:rsidR="004F674A" w:rsidRPr="004F674A" w:rsidRDefault="004F674A" w:rsidP="004F674A">
      <w:pPr>
        <w:jc w:val="both"/>
        <w:rPr>
          <w:rFonts w:ascii="Verdana" w:hAnsi="Verdana"/>
          <w:bCs/>
          <w:sz w:val="20"/>
        </w:rPr>
      </w:pPr>
      <w:r w:rsidRPr="004F674A">
        <w:rPr>
          <w:rFonts w:ascii="Verdana" w:hAnsi="Verdana"/>
          <w:bCs/>
          <w:sz w:val="20"/>
        </w:rPr>
        <w:t>...</w:t>
      </w:r>
    </w:p>
    <w:p w:rsidR="004F674A" w:rsidRPr="004F674A" w:rsidRDefault="004F674A" w:rsidP="004F674A">
      <w:pPr>
        <w:jc w:val="both"/>
        <w:rPr>
          <w:rFonts w:ascii="Verdana" w:hAnsi="Verdana"/>
          <w:bCs/>
          <w:sz w:val="20"/>
        </w:rPr>
      </w:pPr>
      <w:r w:rsidRPr="004F674A">
        <w:rPr>
          <w:rFonts w:ascii="Verdana" w:hAnsi="Verdana"/>
          <w:bCs/>
          <w:sz w:val="20"/>
        </w:rPr>
        <w:t>Artículo 2o.</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t>I.- a IV.</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t>V.-   Entidades Transferentes: Las Autoridades Aduaneras; la Tesorería de la Federación; la Fiscalía General de la República, o bien las fiscalías generales de las entidades federativas; las dependencias y entidades de las administraciones públicas Federal, del Gobierno de la Ciudad de México, Estatales y Municipales; las unidades administrativas de la Presidencia de la República; los órganos reguladores coordinados en materia energética; las empresas productivas del Estado y sus empresas productivas subsidiarias y empresas filiales; la Cámara de Diputados y la Cámara de Senadores del Poder Legislativo; los órganos del Poder Judicial de la Federación, de la Ciudad de México y de los Estados; las instituciones de carácter federal o local con autonomía otorgada por la</w:t>
      </w:r>
    </w:p>
    <w:p w:rsidR="004F674A" w:rsidRPr="004F674A" w:rsidRDefault="004F674A" w:rsidP="004F674A">
      <w:pPr>
        <w:jc w:val="both"/>
        <w:rPr>
          <w:rFonts w:ascii="Verdana" w:hAnsi="Verdana"/>
          <w:bCs/>
          <w:sz w:val="20"/>
        </w:rPr>
      </w:pPr>
      <w:r w:rsidRPr="004F674A">
        <w:rPr>
          <w:rFonts w:ascii="Verdana" w:hAnsi="Verdana"/>
          <w:bCs/>
          <w:sz w:val="20"/>
        </w:rPr>
        <w:t>Constitución Política de los Estados Unidos Mexicanos o por las Constituciones de los Estados; los fideicomisos en los que alguna de las anteriores instituciones sea fideicomitente o fideicomisaria; y cualquier otra institución que llegase a tener el carácter de pública en términos de disposición constitucional o legal; que en términos de las disposiciones aplicables transfieran para su administración, enajenación o destrucción los Bienes a que se refiere el artículo 1o. de esta Ley al Instituto para Devolver al Pueblo lo Robado.</w:t>
      </w:r>
    </w:p>
    <w:p w:rsidR="004F674A" w:rsidRPr="004F674A" w:rsidRDefault="004F674A" w:rsidP="004F674A">
      <w:pPr>
        <w:jc w:val="both"/>
        <w:rPr>
          <w:rFonts w:ascii="Verdana" w:hAnsi="Verdana"/>
          <w:bCs/>
          <w:sz w:val="20"/>
        </w:rPr>
      </w:pPr>
      <w:r w:rsidRPr="004F674A">
        <w:rPr>
          <w:rFonts w:ascii="Verdana" w:hAnsi="Verdana"/>
          <w:bCs/>
          <w:sz w:val="20"/>
        </w:rPr>
        <w:t xml:space="preserve">       ...</w:t>
      </w:r>
    </w:p>
    <w:p w:rsidR="004F674A" w:rsidRPr="004F674A" w:rsidRDefault="004F674A" w:rsidP="004F674A">
      <w:pPr>
        <w:jc w:val="both"/>
        <w:rPr>
          <w:rFonts w:ascii="Verdana" w:hAnsi="Verdana"/>
          <w:bCs/>
          <w:sz w:val="20"/>
        </w:rPr>
      </w:pPr>
      <w:r w:rsidRPr="004F674A">
        <w:rPr>
          <w:rFonts w:ascii="Verdana" w:hAnsi="Verdana"/>
          <w:bCs/>
          <w:sz w:val="20"/>
        </w:rPr>
        <w:t>VI.-  Instituto: Al organismo descentralizado de la Administración Pública Federal, denominado Instituto para Devolver al Pueblo lo Robado, previsto en el Título Sexto de la presente Ley;</w:t>
      </w:r>
    </w:p>
    <w:p w:rsidR="004F674A" w:rsidRPr="004F674A" w:rsidRDefault="004F674A" w:rsidP="004F674A">
      <w:pPr>
        <w:jc w:val="both"/>
        <w:rPr>
          <w:rFonts w:ascii="Verdana" w:hAnsi="Verdana"/>
          <w:bCs/>
          <w:sz w:val="20"/>
        </w:rPr>
      </w:pPr>
      <w:r w:rsidRPr="004F674A">
        <w:rPr>
          <w:rFonts w:ascii="Verdana" w:hAnsi="Verdana"/>
          <w:bCs/>
          <w:sz w:val="20"/>
        </w:rPr>
        <w:t>VII.</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lastRenderedPageBreak/>
        <w:t>VIII.- Junta de Gobierno: La Junta de Gobierno del Instituto para Devolver al Pueblo lo Robado;</w:t>
      </w:r>
    </w:p>
    <w:p w:rsidR="004F674A" w:rsidRPr="004F674A" w:rsidRDefault="004F674A" w:rsidP="004F674A">
      <w:pPr>
        <w:jc w:val="both"/>
        <w:rPr>
          <w:rFonts w:ascii="Verdana" w:hAnsi="Verdana"/>
          <w:bCs/>
          <w:sz w:val="20"/>
        </w:rPr>
      </w:pPr>
      <w:r w:rsidRPr="004F674A">
        <w:rPr>
          <w:rFonts w:ascii="Verdana" w:hAnsi="Verdana"/>
          <w:bCs/>
          <w:sz w:val="20"/>
        </w:rPr>
        <w:t>IX.- a XIII.</w:t>
      </w:r>
      <w:proofErr w:type="gramStart"/>
      <w:r w:rsidRPr="004F674A">
        <w:rPr>
          <w:rFonts w:ascii="Verdana" w:hAnsi="Verdana"/>
          <w:bCs/>
          <w:sz w:val="20"/>
        </w:rPr>
        <w:t>- ...</w:t>
      </w:r>
      <w:proofErr w:type="gramEnd"/>
    </w:p>
    <w:p w:rsidR="004F674A" w:rsidRPr="004F674A" w:rsidRDefault="004F674A" w:rsidP="004F674A">
      <w:pPr>
        <w:jc w:val="both"/>
        <w:rPr>
          <w:rFonts w:ascii="Verdana" w:hAnsi="Verdana"/>
          <w:bCs/>
          <w:sz w:val="20"/>
        </w:rPr>
      </w:pPr>
      <w:r w:rsidRPr="004F674A">
        <w:rPr>
          <w:rFonts w:ascii="Verdana" w:hAnsi="Verdana"/>
          <w:bCs/>
          <w:sz w:val="20"/>
        </w:rPr>
        <w:t>Artículo Tercero. Se reforma el artículo Séptimo transitorio del "Decreto por el que se expide la Ley Nacional de Extinción de Dominio, y se reforman y adicionan diversas disposiciones del Código Nacional de Procedimientos Penales, de la Ley Federal para la Administración y Enajenación de Bienes del Sector Público, de la Ley de Concursos Mercantiles y de la Ley Orgánica de la Administración Pública Federal", publicado en el Diario Oficial de la Federación el 9 de agosto de 2019, para quedar como sigue:</w:t>
      </w:r>
    </w:p>
    <w:p w:rsidR="004F674A" w:rsidRPr="004F674A" w:rsidRDefault="004F674A" w:rsidP="004F674A">
      <w:pPr>
        <w:jc w:val="both"/>
        <w:rPr>
          <w:rFonts w:ascii="Verdana" w:hAnsi="Verdana"/>
          <w:bCs/>
          <w:sz w:val="20"/>
        </w:rPr>
      </w:pPr>
      <w:r w:rsidRPr="004F674A">
        <w:rPr>
          <w:rFonts w:ascii="Verdana" w:hAnsi="Verdana"/>
          <w:bCs/>
          <w:sz w:val="20"/>
        </w:rPr>
        <w:t>Séptimo. Todas las referencias que hagan mención al Servicio de Administración y Enajenación de Bienes en la normatividad vigente, se entenderán realizadas al Instituto para Devolver al Pueblo lo Robado, por lo que las obligaciones a cargo de dicho organismo que se generen con la entrada en vigor del presente Decreto, se cubrirán con cargo al presupuesto aprobado para el ejercicio fiscal en curso, por lo que no se requerirán recursos adicionales para tales efectos y no se incrementará el presupuesto del organismo descentralizado, y en caso de que se realice alguna modificación a su estructura orgánica, ésta deberá realizarse mediante movimientos compensados conforme a las disposiciones jurídicas aplicables, los cuales serán cubiertos por el Instituto para Devolver al Pueblo lo Robado a costo compensado, por lo que no se autorizarán ampliaciones a su presupuesto para el presente ejercicio fiscal ni subsecuentes como resultado de la entrada en vigor del presente Decreto.</w:t>
      </w:r>
    </w:p>
    <w:p w:rsidR="004F674A" w:rsidRPr="004F674A" w:rsidRDefault="004F674A" w:rsidP="004F674A">
      <w:pPr>
        <w:jc w:val="both"/>
        <w:rPr>
          <w:rFonts w:ascii="Verdana" w:hAnsi="Verdana"/>
          <w:bCs/>
          <w:sz w:val="20"/>
        </w:rPr>
      </w:pPr>
      <w:r w:rsidRPr="004F674A">
        <w:rPr>
          <w:rFonts w:ascii="Verdana" w:hAnsi="Verdana"/>
          <w:bCs/>
          <w:sz w:val="20"/>
        </w:rPr>
        <w:t>Transitorios</w:t>
      </w:r>
    </w:p>
    <w:p w:rsidR="004F674A" w:rsidRPr="004F674A" w:rsidRDefault="004F674A" w:rsidP="004F674A">
      <w:pPr>
        <w:jc w:val="both"/>
        <w:rPr>
          <w:rFonts w:ascii="Verdana" w:hAnsi="Verdana"/>
          <w:bCs/>
          <w:sz w:val="20"/>
        </w:rPr>
      </w:pPr>
      <w:r w:rsidRPr="004F674A">
        <w:rPr>
          <w:rFonts w:ascii="Verdana" w:hAnsi="Verdana"/>
          <w:bCs/>
          <w:sz w:val="20"/>
        </w:rPr>
        <w:t>Primero. El presente Decreto entrará en vigor el día siguiente al de su publicación en el Diario Oficial de la Federación.</w:t>
      </w:r>
    </w:p>
    <w:p w:rsidR="004F674A" w:rsidRPr="004F674A" w:rsidRDefault="004F674A" w:rsidP="004F674A">
      <w:pPr>
        <w:jc w:val="both"/>
        <w:rPr>
          <w:rFonts w:ascii="Verdana" w:hAnsi="Verdana"/>
          <w:bCs/>
          <w:sz w:val="20"/>
        </w:rPr>
      </w:pPr>
      <w:r w:rsidRPr="004F674A">
        <w:rPr>
          <w:rFonts w:ascii="Verdana" w:hAnsi="Verdana"/>
          <w:bCs/>
          <w:sz w:val="20"/>
        </w:rPr>
        <w:t>Segundo. Todas las referencias que hagan mención al Instituto de Administración de Bienes y Activos en las leyes y demás normatividad vigente, se entenderán realizadas al Instituto para Devolver al Pueblo lo Robado.</w:t>
      </w:r>
    </w:p>
    <w:p w:rsidR="004F674A" w:rsidRPr="004F674A" w:rsidRDefault="004F674A" w:rsidP="004F674A">
      <w:pPr>
        <w:jc w:val="both"/>
        <w:rPr>
          <w:rFonts w:ascii="Verdana" w:hAnsi="Verdana"/>
          <w:bCs/>
          <w:sz w:val="20"/>
        </w:rPr>
      </w:pPr>
      <w:r w:rsidRPr="004F674A">
        <w:rPr>
          <w:rFonts w:ascii="Verdana" w:hAnsi="Verdana"/>
          <w:bCs/>
          <w:sz w:val="20"/>
        </w:rPr>
        <w:t xml:space="preserve">Ciudad de México, a 10 de diciembre de 2019.- </w:t>
      </w:r>
      <w:proofErr w:type="spellStart"/>
      <w:r w:rsidRPr="004F674A">
        <w:rPr>
          <w:rFonts w:ascii="Verdana" w:hAnsi="Verdana"/>
          <w:bCs/>
          <w:sz w:val="20"/>
        </w:rPr>
        <w:t>Dip</w:t>
      </w:r>
      <w:proofErr w:type="spellEnd"/>
      <w:r w:rsidRPr="004F674A">
        <w:rPr>
          <w:rFonts w:ascii="Verdana" w:hAnsi="Verdana"/>
          <w:bCs/>
          <w:sz w:val="20"/>
        </w:rPr>
        <w:t xml:space="preserve">. Laura Angélica Rojas Hernández, Presidenta.- </w:t>
      </w:r>
      <w:proofErr w:type="spellStart"/>
      <w:r w:rsidRPr="004F674A">
        <w:rPr>
          <w:rFonts w:ascii="Verdana" w:hAnsi="Verdana"/>
          <w:bCs/>
          <w:sz w:val="20"/>
        </w:rPr>
        <w:t>Sen</w:t>
      </w:r>
      <w:proofErr w:type="spellEnd"/>
      <w:r w:rsidRPr="004F674A">
        <w:rPr>
          <w:rFonts w:ascii="Verdana" w:hAnsi="Verdana"/>
          <w:bCs/>
          <w:sz w:val="20"/>
        </w:rPr>
        <w:t xml:space="preserve">. Mónica Fernández Balboa, Presidenta.- </w:t>
      </w:r>
      <w:proofErr w:type="spellStart"/>
      <w:r w:rsidRPr="004F674A">
        <w:rPr>
          <w:rFonts w:ascii="Verdana" w:hAnsi="Verdana"/>
          <w:bCs/>
          <w:sz w:val="20"/>
        </w:rPr>
        <w:t>Dip</w:t>
      </w:r>
      <w:proofErr w:type="spellEnd"/>
      <w:r w:rsidRPr="004F674A">
        <w:rPr>
          <w:rFonts w:ascii="Verdana" w:hAnsi="Verdana"/>
          <w:bCs/>
          <w:sz w:val="20"/>
        </w:rPr>
        <w:t xml:space="preserve">. Jesús Carlos Vidal Peniche, Secretario.- </w:t>
      </w:r>
      <w:proofErr w:type="spellStart"/>
      <w:r w:rsidRPr="004F674A">
        <w:rPr>
          <w:rFonts w:ascii="Verdana" w:hAnsi="Verdana"/>
          <w:bCs/>
          <w:sz w:val="20"/>
        </w:rPr>
        <w:t>Sen</w:t>
      </w:r>
      <w:proofErr w:type="spellEnd"/>
      <w:r w:rsidRPr="004F674A">
        <w:rPr>
          <w:rFonts w:ascii="Verdana" w:hAnsi="Verdana"/>
          <w:bCs/>
          <w:sz w:val="20"/>
        </w:rPr>
        <w:t xml:space="preserve">. Primo </w:t>
      </w:r>
      <w:proofErr w:type="spellStart"/>
      <w:r w:rsidRPr="004F674A">
        <w:rPr>
          <w:rFonts w:ascii="Verdana" w:hAnsi="Verdana"/>
          <w:bCs/>
          <w:sz w:val="20"/>
        </w:rPr>
        <w:t>Dothé</w:t>
      </w:r>
      <w:proofErr w:type="spellEnd"/>
      <w:r w:rsidRPr="004F674A">
        <w:rPr>
          <w:rFonts w:ascii="Verdana" w:hAnsi="Verdana"/>
          <w:bCs/>
          <w:sz w:val="20"/>
        </w:rPr>
        <w:t xml:space="preserve"> Mata, Secretario.- Rúbricas."</w:t>
      </w:r>
    </w:p>
    <w:p w:rsidR="004F674A" w:rsidRPr="004F674A" w:rsidRDefault="004F674A" w:rsidP="004F674A">
      <w:pPr>
        <w:jc w:val="both"/>
        <w:rPr>
          <w:rFonts w:ascii="Verdana" w:hAnsi="Verdana"/>
          <w:bCs/>
          <w:sz w:val="20"/>
        </w:rPr>
      </w:pPr>
      <w:r w:rsidRPr="004F674A">
        <w:rPr>
          <w:rFonts w:ascii="Verdana" w:hAnsi="Verdana"/>
          <w:bCs/>
          <w:sz w:val="20"/>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21 de enero de 2020.- Andrés Manuel López Obrador.- Rúbrica.- La Secretaria de Gobernación, Dra. Olga María del Carmen Sánchez Cordero Dávila.- Rúbrica.</w:t>
      </w:r>
    </w:p>
    <w:p w:rsidR="004F674A" w:rsidRPr="004F674A" w:rsidRDefault="004F674A" w:rsidP="004F674A">
      <w:pPr>
        <w:jc w:val="both"/>
        <w:rPr>
          <w:rFonts w:ascii="Verdana" w:hAnsi="Verdana"/>
          <w:bCs/>
          <w:sz w:val="20"/>
        </w:rPr>
      </w:pPr>
      <w:bookmarkStart w:id="0" w:name="_GoBack"/>
      <w:bookmarkEnd w:id="0"/>
    </w:p>
    <w:p w:rsidR="00BF3AEB" w:rsidRDefault="004F674A"/>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4A"/>
    <w:rsid w:val="002228FA"/>
    <w:rsid w:val="004F674A"/>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44570">
      <w:bodyDiv w:val="1"/>
      <w:marLeft w:val="0"/>
      <w:marRight w:val="0"/>
      <w:marTop w:val="0"/>
      <w:marBottom w:val="0"/>
      <w:divBdr>
        <w:top w:val="none" w:sz="0" w:space="0" w:color="auto"/>
        <w:left w:val="none" w:sz="0" w:space="0" w:color="auto"/>
        <w:bottom w:val="none" w:sz="0" w:space="0" w:color="auto"/>
        <w:right w:val="none" w:sz="0" w:space="0" w:color="auto"/>
      </w:divBdr>
      <w:divsChild>
        <w:div w:id="899293175">
          <w:marLeft w:val="0"/>
          <w:marRight w:val="0"/>
          <w:marTop w:val="0"/>
          <w:marBottom w:val="101"/>
          <w:divBdr>
            <w:top w:val="none" w:sz="0" w:space="0" w:color="auto"/>
            <w:left w:val="none" w:sz="0" w:space="0" w:color="auto"/>
            <w:bottom w:val="none" w:sz="0" w:space="0" w:color="auto"/>
            <w:right w:val="none" w:sz="0" w:space="0" w:color="auto"/>
          </w:divBdr>
        </w:div>
        <w:div w:id="1183544619">
          <w:marLeft w:val="0"/>
          <w:marRight w:val="0"/>
          <w:marTop w:val="0"/>
          <w:marBottom w:val="101"/>
          <w:divBdr>
            <w:top w:val="none" w:sz="0" w:space="0" w:color="auto"/>
            <w:left w:val="none" w:sz="0" w:space="0" w:color="auto"/>
            <w:bottom w:val="none" w:sz="0" w:space="0" w:color="auto"/>
            <w:right w:val="none" w:sz="0" w:space="0" w:color="auto"/>
          </w:divBdr>
        </w:div>
        <w:div w:id="577204576">
          <w:marLeft w:val="0"/>
          <w:marRight w:val="0"/>
          <w:marTop w:val="101"/>
          <w:marBottom w:val="101"/>
          <w:divBdr>
            <w:top w:val="none" w:sz="0" w:space="0" w:color="auto"/>
            <w:left w:val="none" w:sz="0" w:space="0" w:color="auto"/>
            <w:bottom w:val="none" w:sz="0" w:space="0" w:color="auto"/>
            <w:right w:val="none" w:sz="0" w:space="0" w:color="auto"/>
          </w:divBdr>
        </w:div>
        <w:div w:id="537277301">
          <w:marLeft w:val="0"/>
          <w:marRight w:val="0"/>
          <w:marTop w:val="0"/>
          <w:marBottom w:val="101"/>
          <w:divBdr>
            <w:top w:val="none" w:sz="0" w:space="0" w:color="auto"/>
            <w:left w:val="none" w:sz="0" w:space="0" w:color="auto"/>
            <w:bottom w:val="none" w:sz="0" w:space="0" w:color="auto"/>
            <w:right w:val="none" w:sz="0" w:space="0" w:color="auto"/>
          </w:divBdr>
        </w:div>
        <w:div w:id="596670204">
          <w:marLeft w:val="0"/>
          <w:marRight w:val="0"/>
          <w:marTop w:val="0"/>
          <w:marBottom w:val="101"/>
          <w:divBdr>
            <w:top w:val="none" w:sz="0" w:space="0" w:color="auto"/>
            <w:left w:val="none" w:sz="0" w:space="0" w:color="auto"/>
            <w:bottom w:val="none" w:sz="0" w:space="0" w:color="auto"/>
            <w:right w:val="none" w:sz="0" w:space="0" w:color="auto"/>
          </w:divBdr>
        </w:div>
        <w:div w:id="1030572102">
          <w:marLeft w:val="0"/>
          <w:marRight w:val="0"/>
          <w:marTop w:val="0"/>
          <w:marBottom w:val="101"/>
          <w:divBdr>
            <w:top w:val="none" w:sz="0" w:space="0" w:color="auto"/>
            <w:left w:val="none" w:sz="0" w:space="0" w:color="auto"/>
            <w:bottom w:val="none" w:sz="0" w:space="0" w:color="auto"/>
            <w:right w:val="none" w:sz="0" w:space="0" w:color="auto"/>
          </w:divBdr>
        </w:div>
        <w:div w:id="1068378859">
          <w:marLeft w:val="0"/>
          <w:marRight w:val="0"/>
          <w:marTop w:val="0"/>
          <w:marBottom w:val="101"/>
          <w:divBdr>
            <w:top w:val="none" w:sz="0" w:space="0" w:color="auto"/>
            <w:left w:val="none" w:sz="0" w:space="0" w:color="auto"/>
            <w:bottom w:val="none" w:sz="0" w:space="0" w:color="auto"/>
            <w:right w:val="none" w:sz="0" w:space="0" w:color="auto"/>
          </w:divBdr>
        </w:div>
        <w:div w:id="2112045969">
          <w:marLeft w:val="1008"/>
          <w:marRight w:val="0"/>
          <w:marTop w:val="0"/>
          <w:marBottom w:val="101"/>
          <w:divBdr>
            <w:top w:val="none" w:sz="0" w:space="0" w:color="auto"/>
            <w:left w:val="none" w:sz="0" w:space="0" w:color="auto"/>
            <w:bottom w:val="none" w:sz="0" w:space="0" w:color="auto"/>
            <w:right w:val="none" w:sz="0" w:space="0" w:color="auto"/>
          </w:divBdr>
        </w:div>
        <w:div w:id="813522030">
          <w:marLeft w:val="1008"/>
          <w:marRight w:val="0"/>
          <w:marTop w:val="0"/>
          <w:marBottom w:val="101"/>
          <w:divBdr>
            <w:top w:val="none" w:sz="0" w:space="0" w:color="auto"/>
            <w:left w:val="none" w:sz="0" w:space="0" w:color="auto"/>
            <w:bottom w:val="none" w:sz="0" w:space="0" w:color="auto"/>
            <w:right w:val="none" w:sz="0" w:space="0" w:color="auto"/>
          </w:divBdr>
        </w:div>
        <w:div w:id="44723149">
          <w:marLeft w:val="1008"/>
          <w:marRight w:val="0"/>
          <w:marTop w:val="0"/>
          <w:marBottom w:val="101"/>
          <w:divBdr>
            <w:top w:val="none" w:sz="0" w:space="0" w:color="auto"/>
            <w:left w:val="none" w:sz="0" w:space="0" w:color="auto"/>
            <w:bottom w:val="none" w:sz="0" w:space="0" w:color="auto"/>
            <w:right w:val="none" w:sz="0" w:space="0" w:color="auto"/>
          </w:divBdr>
        </w:div>
        <w:div w:id="958338576">
          <w:marLeft w:val="0"/>
          <w:marRight w:val="0"/>
          <w:marTop w:val="0"/>
          <w:marBottom w:val="101"/>
          <w:divBdr>
            <w:top w:val="none" w:sz="0" w:space="0" w:color="auto"/>
            <w:left w:val="none" w:sz="0" w:space="0" w:color="auto"/>
            <w:bottom w:val="none" w:sz="0" w:space="0" w:color="auto"/>
            <w:right w:val="none" w:sz="0" w:space="0" w:color="auto"/>
          </w:divBdr>
        </w:div>
        <w:div w:id="2143300905">
          <w:marLeft w:val="0"/>
          <w:marRight w:val="0"/>
          <w:marTop w:val="0"/>
          <w:marBottom w:val="101"/>
          <w:divBdr>
            <w:top w:val="none" w:sz="0" w:space="0" w:color="auto"/>
            <w:left w:val="none" w:sz="0" w:space="0" w:color="auto"/>
            <w:bottom w:val="none" w:sz="0" w:space="0" w:color="auto"/>
            <w:right w:val="none" w:sz="0" w:space="0" w:color="auto"/>
          </w:divBdr>
        </w:div>
        <w:div w:id="306596790">
          <w:marLeft w:val="0"/>
          <w:marRight w:val="0"/>
          <w:marTop w:val="0"/>
          <w:marBottom w:val="101"/>
          <w:divBdr>
            <w:top w:val="none" w:sz="0" w:space="0" w:color="auto"/>
            <w:left w:val="none" w:sz="0" w:space="0" w:color="auto"/>
            <w:bottom w:val="none" w:sz="0" w:space="0" w:color="auto"/>
            <w:right w:val="none" w:sz="0" w:space="0" w:color="auto"/>
          </w:divBdr>
        </w:div>
        <w:div w:id="705637457">
          <w:marLeft w:val="0"/>
          <w:marRight w:val="0"/>
          <w:marTop w:val="0"/>
          <w:marBottom w:val="101"/>
          <w:divBdr>
            <w:top w:val="none" w:sz="0" w:space="0" w:color="auto"/>
            <w:left w:val="none" w:sz="0" w:space="0" w:color="auto"/>
            <w:bottom w:val="none" w:sz="0" w:space="0" w:color="auto"/>
            <w:right w:val="none" w:sz="0" w:space="0" w:color="auto"/>
          </w:divBdr>
        </w:div>
        <w:div w:id="936716742">
          <w:marLeft w:val="0"/>
          <w:marRight w:val="0"/>
          <w:marTop w:val="0"/>
          <w:marBottom w:val="101"/>
          <w:divBdr>
            <w:top w:val="none" w:sz="0" w:space="0" w:color="auto"/>
            <w:left w:val="none" w:sz="0" w:space="0" w:color="auto"/>
            <w:bottom w:val="none" w:sz="0" w:space="0" w:color="auto"/>
            <w:right w:val="none" w:sz="0" w:space="0" w:color="auto"/>
          </w:divBdr>
        </w:div>
        <w:div w:id="928731624">
          <w:marLeft w:val="0"/>
          <w:marRight w:val="0"/>
          <w:marTop w:val="0"/>
          <w:marBottom w:val="101"/>
          <w:divBdr>
            <w:top w:val="none" w:sz="0" w:space="0" w:color="auto"/>
            <w:left w:val="none" w:sz="0" w:space="0" w:color="auto"/>
            <w:bottom w:val="none" w:sz="0" w:space="0" w:color="auto"/>
            <w:right w:val="none" w:sz="0" w:space="0" w:color="auto"/>
          </w:divBdr>
        </w:div>
        <w:div w:id="1376391007">
          <w:marLeft w:val="0"/>
          <w:marRight w:val="0"/>
          <w:marTop w:val="0"/>
          <w:marBottom w:val="101"/>
          <w:divBdr>
            <w:top w:val="none" w:sz="0" w:space="0" w:color="auto"/>
            <w:left w:val="none" w:sz="0" w:space="0" w:color="auto"/>
            <w:bottom w:val="none" w:sz="0" w:space="0" w:color="auto"/>
            <w:right w:val="none" w:sz="0" w:space="0" w:color="auto"/>
          </w:divBdr>
        </w:div>
        <w:div w:id="937639190">
          <w:marLeft w:val="0"/>
          <w:marRight w:val="0"/>
          <w:marTop w:val="0"/>
          <w:marBottom w:val="101"/>
          <w:divBdr>
            <w:top w:val="none" w:sz="0" w:space="0" w:color="auto"/>
            <w:left w:val="none" w:sz="0" w:space="0" w:color="auto"/>
            <w:bottom w:val="none" w:sz="0" w:space="0" w:color="auto"/>
            <w:right w:val="none" w:sz="0" w:space="0" w:color="auto"/>
          </w:divBdr>
        </w:div>
        <w:div w:id="456490717">
          <w:marLeft w:val="0"/>
          <w:marRight w:val="0"/>
          <w:marTop w:val="0"/>
          <w:marBottom w:val="101"/>
          <w:divBdr>
            <w:top w:val="none" w:sz="0" w:space="0" w:color="auto"/>
            <w:left w:val="none" w:sz="0" w:space="0" w:color="auto"/>
            <w:bottom w:val="none" w:sz="0" w:space="0" w:color="auto"/>
            <w:right w:val="none" w:sz="0" w:space="0" w:color="auto"/>
          </w:divBdr>
        </w:div>
        <w:div w:id="65107257">
          <w:marLeft w:val="0"/>
          <w:marRight w:val="0"/>
          <w:marTop w:val="0"/>
          <w:marBottom w:val="101"/>
          <w:divBdr>
            <w:top w:val="none" w:sz="0" w:space="0" w:color="auto"/>
            <w:left w:val="none" w:sz="0" w:space="0" w:color="auto"/>
            <w:bottom w:val="none" w:sz="0" w:space="0" w:color="auto"/>
            <w:right w:val="none" w:sz="0" w:space="0" w:color="auto"/>
          </w:divBdr>
        </w:div>
        <w:div w:id="982391393">
          <w:marLeft w:val="0"/>
          <w:marRight w:val="0"/>
          <w:marTop w:val="0"/>
          <w:marBottom w:val="101"/>
          <w:divBdr>
            <w:top w:val="none" w:sz="0" w:space="0" w:color="auto"/>
            <w:left w:val="none" w:sz="0" w:space="0" w:color="auto"/>
            <w:bottom w:val="none" w:sz="0" w:space="0" w:color="auto"/>
            <w:right w:val="none" w:sz="0" w:space="0" w:color="auto"/>
          </w:divBdr>
        </w:div>
        <w:div w:id="17129047">
          <w:marLeft w:val="0"/>
          <w:marRight w:val="0"/>
          <w:marTop w:val="0"/>
          <w:marBottom w:val="101"/>
          <w:divBdr>
            <w:top w:val="none" w:sz="0" w:space="0" w:color="auto"/>
            <w:left w:val="none" w:sz="0" w:space="0" w:color="auto"/>
            <w:bottom w:val="none" w:sz="0" w:space="0" w:color="auto"/>
            <w:right w:val="none" w:sz="0" w:space="0" w:color="auto"/>
          </w:divBdr>
        </w:div>
        <w:div w:id="1607345779">
          <w:marLeft w:val="0"/>
          <w:marRight w:val="0"/>
          <w:marTop w:val="0"/>
          <w:marBottom w:val="101"/>
          <w:divBdr>
            <w:top w:val="none" w:sz="0" w:space="0" w:color="auto"/>
            <w:left w:val="none" w:sz="0" w:space="0" w:color="auto"/>
            <w:bottom w:val="none" w:sz="0" w:space="0" w:color="auto"/>
            <w:right w:val="none" w:sz="0" w:space="0" w:color="auto"/>
          </w:divBdr>
        </w:div>
        <w:div w:id="375936762">
          <w:marLeft w:val="0"/>
          <w:marRight w:val="0"/>
          <w:marTop w:val="0"/>
          <w:marBottom w:val="101"/>
          <w:divBdr>
            <w:top w:val="none" w:sz="0" w:space="0" w:color="auto"/>
            <w:left w:val="none" w:sz="0" w:space="0" w:color="auto"/>
            <w:bottom w:val="none" w:sz="0" w:space="0" w:color="auto"/>
            <w:right w:val="none" w:sz="0" w:space="0" w:color="auto"/>
          </w:divBdr>
        </w:div>
        <w:div w:id="1134952880">
          <w:marLeft w:val="0"/>
          <w:marRight w:val="0"/>
          <w:marTop w:val="0"/>
          <w:marBottom w:val="101"/>
          <w:divBdr>
            <w:top w:val="none" w:sz="0" w:space="0" w:color="auto"/>
            <w:left w:val="none" w:sz="0" w:space="0" w:color="auto"/>
            <w:bottom w:val="none" w:sz="0" w:space="0" w:color="auto"/>
            <w:right w:val="none" w:sz="0" w:space="0" w:color="auto"/>
          </w:divBdr>
        </w:div>
        <w:div w:id="1072503919">
          <w:marLeft w:val="0"/>
          <w:marRight w:val="0"/>
          <w:marTop w:val="0"/>
          <w:marBottom w:val="101"/>
          <w:divBdr>
            <w:top w:val="none" w:sz="0" w:space="0" w:color="auto"/>
            <w:left w:val="none" w:sz="0" w:space="0" w:color="auto"/>
            <w:bottom w:val="none" w:sz="0" w:space="0" w:color="auto"/>
            <w:right w:val="none" w:sz="0" w:space="0" w:color="auto"/>
          </w:divBdr>
        </w:div>
        <w:div w:id="1485657432">
          <w:marLeft w:val="0"/>
          <w:marRight w:val="0"/>
          <w:marTop w:val="0"/>
          <w:marBottom w:val="101"/>
          <w:divBdr>
            <w:top w:val="none" w:sz="0" w:space="0" w:color="auto"/>
            <w:left w:val="none" w:sz="0" w:space="0" w:color="auto"/>
            <w:bottom w:val="none" w:sz="0" w:space="0" w:color="auto"/>
            <w:right w:val="none" w:sz="0" w:space="0" w:color="auto"/>
          </w:divBdr>
        </w:div>
        <w:div w:id="971329470">
          <w:marLeft w:val="0"/>
          <w:marRight w:val="0"/>
          <w:marTop w:val="0"/>
          <w:marBottom w:val="101"/>
          <w:divBdr>
            <w:top w:val="none" w:sz="0" w:space="0" w:color="auto"/>
            <w:left w:val="none" w:sz="0" w:space="0" w:color="auto"/>
            <w:bottom w:val="none" w:sz="0" w:space="0" w:color="auto"/>
            <w:right w:val="none" w:sz="0" w:space="0" w:color="auto"/>
          </w:divBdr>
        </w:div>
        <w:div w:id="1134787782">
          <w:marLeft w:val="720"/>
          <w:marRight w:val="0"/>
          <w:marTop w:val="0"/>
          <w:marBottom w:val="101"/>
          <w:divBdr>
            <w:top w:val="none" w:sz="0" w:space="0" w:color="auto"/>
            <w:left w:val="none" w:sz="0" w:space="0" w:color="auto"/>
            <w:bottom w:val="none" w:sz="0" w:space="0" w:color="auto"/>
            <w:right w:val="none" w:sz="0" w:space="0" w:color="auto"/>
          </w:divBdr>
        </w:div>
        <w:div w:id="1415398361">
          <w:marLeft w:val="720"/>
          <w:marRight w:val="0"/>
          <w:marTop w:val="0"/>
          <w:marBottom w:val="101"/>
          <w:divBdr>
            <w:top w:val="none" w:sz="0" w:space="0" w:color="auto"/>
            <w:left w:val="none" w:sz="0" w:space="0" w:color="auto"/>
            <w:bottom w:val="none" w:sz="0" w:space="0" w:color="auto"/>
            <w:right w:val="none" w:sz="0" w:space="0" w:color="auto"/>
          </w:divBdr>
        </w:div>
        <w:div w:id="1898658743">
          <w:marLeft w:val="720"/>
          <w:marRight w:val="0"/>
          <w:marTop w:val="0"/>
          <w:marBottom w:val="101"/>
          <w:divBdr>
            <w:top w:val="none" w:sz="0" w:space="0" w:color="auto"/>
            <w:left w:val="none" w:sz="0" w:space="0" w:color="auto"/>
            <w:bottom w:val="none" w:sz="0" w:space="0" w:color="auto"/>
            <w:right w:val="none" w:sz="0" w:space="0" w:color="auto"/>
          </w:divBdr>
        </w:div>
        <w:div w:id="58285286">
          <w:marLeft w:val="720"/>
          <w:marRight w:val="0"/>
          <w:marTop w:val="0"/>
          <w:marBottom w:val="101"/>
          <w:divBdr>
            <w:top w:val="none" w:sz="0" w:space="0" w:color="auto"/>
            <w:left w:val="none" w:sz="0" w:space="0" w:color="auto"/>
            <w:bottom w:val="none" w:sz="0" w:space="0" w:color="auto"/>
            <w:right w:val="none" w:sz="0" w:space="0" w:color="auto"/>
          </w:divBdr>
        </w:div>
        <w:div w:id="1956979216">
          <w:marLeft w:val="720"/>
          <w:marRight w:val="0"/>
          <w:marTop w:val="0"/>
          <w:marBottom w:val="101"/>
          <w:divBdr>
            <w:top w:val="none" w:sz="0" w:space="0" w:color="auto"/>
            <w:left w:val="none" w:sz="0" w:space="0" w:color="auto"/>
            <w:bottom w:val="none" w:sz="0" w:space="0" w:color="auto"/>
            <w:right w:val="none" w:sz="0" w:space="0" w:color="auto"/>
          </w:divBdr>
        </w:div>
        <w:div w:id="1236822119">
          <w:marLeft w:val="720"/>
          <w:marRight w:val="0"/>
          <w:marTop w:val="0"/>
          <w:marBottom w:val="101"/>
          <w:divBdr>
            <w:top w:val="none" w:sz="0" w:space="0" w:color="auto"/>
            <w:left w:val="none" w:sz="0" w:space="0" w:color="auto"/>
            <w:bottom w:val="none" w:sz="0" w:space="0" w:color="auto"/>
            <w:right w:val="none" w:sz="0" w:space="0" w:color="auto"/>
          </w:divBdr>
        </w:div>
        <w:div w:id="1768964881">
          <w:marLeft w:val="720"/>
          <w:marRight w:val="0"/>
          <w:marTop w:val="0"/>
          <w:marBottom w:val="101"/>
          <w:divBdr>
            <w:top w:val="none" w:sz="0" w:space="0" w:color="auto"/>
            <w:left w:val="none" w:sz="0" w:space="0" w:color="auto"/>
            <w:bottom w:val="none" w:sz="0" w:space="0" w:color="auto"/>
            <w:right w:val="none" w:sz="0" w:space="0" w:color="auto"/>
          </w:divBdr>
        </w:div>
        <w:div w:id="2044403672">
          <w:marLeft w:val="0"/>
          <w:marRight w:val="0"/>
          <w:marTop w:val="0"/>
          <w:marBottom w:val="101"/>
          <w:divBdr>
            <w:top w:val="none" w:sz="0" w:space="0" w:color="auto"/>
            <w:left w:val="none" w:sz="0" w:space="0" w:color="auto"/>
            <w:bottom w:val="none" w:sz="0" w:space="0" w:color="auto"/>
            <w:right w:val="none" w:sz="0" w:space="0" w:color="auto"/>
          </w:divBdr>
        </w:div>
        <w:div w:id="823352230">
          <w:marLeft w:val="0"/>
          <w:marRight w:val="0"/>
          <w:marTop w:val="0"/>
          <w:marBottom w:val="101"/>
          <w:divBdr>
            <w:top w:val="none" w:sz="0" w:space="0" w:color="auto"/>
            <w:left w:val="none" w:sz="0" w:space="0" w:color="auto"/>
            <w:bottom w:val="none" w:sz="0" w:space="0" w:color="auto"/>
            <w:right w:val="none" w:sz="0" w:space="0" w:color="auto"/>
          </w:divBdr>
        </w:div>
        <w:div w:id="545723478">
          <w:marLeft w:val="0"/>
          <w:marRight w:val="0"/>
          <w:marTop w:val="101"/>
          <w:marBottom w:val="101"/>
          <w:divBdr>
            <w:top w:val="none" w:sz="0" w:space="0" w:color="auto"/>
            <w:left w:val="none" w:sz="0" w:space="0" w:color="auto"/>
            <w:bottom w:val="none" w:sz="0" w:space="0" w:color="auto"/>
            <w:right w:val="none" w:sz="0" w:space="0" w:color="auto"/>
          </w:divBdr>
        </w:div>
        <w:div w:id="631401150">
          <w:marLeft w:val="0"/>
          <w:marRight w:val="0"/>
          <w:marTop w:val="0"/>
          <w:marBottom w:val="101"/>
          <w:divBdr>
            <w:top w:val="none" w:sz="0" w:space="0" w:color="auto"/>
            <w:left w:val="none" w:sz="0" w:space="0" w:color="auto"/>
            <w:bottom w:val="none" w:sz="0" w:space="0" w:color="auto"/>
            <w:right w:val="none" w:sz="0" w:space="0" w:color="auto"/>
          </w:divBdr>
        </w:div>
        <w:div w:id="800150634">
          <w:marLeft w:val="0"/>
          <w:marRight w:val="0"/>
          <w:marTop w:val="0"/>
          <w:marBottom w:val="101"/>
          <w:divBdr>
            <w:top w:val="none" w:sz="0" w:space="0" w:color="auto"/>
            <w:left w:val="none" w:sz="0" w:space="0" w:color="auto"/>
            <w:bottom w:val="none" w:sz="0" w:space="0" w:color="auto"/>
            <w:right w:val="none" w:sz="0" w:space="0" w:color="auto"/>
          </w:divBdr>
        </w:div>
        <w:div w:id="246890769">
          <w:marLeft w:val="0"/>
          <w:marRight w:val="0"/>
          <w:marTop w:val="0"/>
          <w:marBottom w:val="101"/>
          <w:divBdr>
            <w:top w:val="none" w:sz="0" w:space="0" w:color="auto"/>
            <w:left w:val="none" w:sz="0" w:space="0" w:color="auto"/>
            <w:bottom w:val="none" w:sz="0" w:space="0" w:color="auto"/>
            <w:right w:val="none" w:sz="0" w:space="0" w:color="auto"/>
          </w:divBdr>
        </w:div>
        <w:div w:id="1055739706">
          <w:marLeft w:val="0"/>
          <w:marRight w:val="0"/>
          <w:marTop w:val="0"/>
          <w:marBottom w:val="101"/>
          <w:divBdr>
            <w:top w:val="none" w:sz="0" w:space="0" w:color="auto"/>
            <w:left w:val="none" w:sz="0" w:space="0" w:color="auto"/>
            <w:bottom w:val="none" w:sz="0" w:space="0" w:color="auto"/>
            <w:right w:val="none" w:sz="0" w:space="0" w:color="auto"/>
          </w:divBdr>
        </w:div>
        <w:div w:id="1904483637">
          <w:marLeft w:val="0"/>
          <w:marRight w:val="0"/>
          <w:marTop w:val="0"/>
          <w:marBottom w:val="101"/>
          <w:divBdr>
            <w:top w:val="none" w:sz="0" w:space="0" w:color="auto"/>
            <w:left w:val="none" w:sz="0" w:space="0" w:color="auto"/>
            <w:bottom w:val="none" w:sz="0" w:space="0" w:color="auto"/>
            <w:right w:val="none" w:sz="0" w:space="0" w:color="auto"/>
          </w:divBdr>
        </w:div>
      </w:divsChild>
    </w:div>
    <w:div w:id="714430435">
      <w:bodyDiv w:val="1"/>
      <w:marLeft w:val="0"/>
      <w:marRight w:val="0"/>
      <w:marTop w:val="0"/>
      <w:marBottom w:val="0"/>
      <w:divBdr>
        <w:top w:val="none" w:sz="0" w:space="0" w:color="auto"/>
        <w:left w:val="none" w:sz="0" w:space="0" w:color="auto"/>
        <w:bottom w:val="none" w:sz="0" w:space="0" w:color="auto"/>
        <w:right w:val="none" w:sz="0" w:space="0" w:color="auto"/>
      </w:divBdr>
    </w:div>
    <w:div w:id="203229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1476</Words>
  <Characters>8120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2020-01-22T14:39:00Z</dcterms:created>
  <dcterms:modified xsi:type="dcterms:W3CDTF">2020-01-22T14:42:00Z</dcterms:modified>
</cp:coreProperties>
</file>