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pacing w:before="120" w:beforeAutospacing="0" w:after="0" w:afterAutospacing="0"/>
        <w:ind w:left="0" w:firstLine="0"/>
        <w:jc w:val="center"/>
        <w:rPr>
          <w:rFonts w:hint="default" w:ascii="Verdana Regular" w:hAnsi="Verdana Regular" w:eastAsia="Times-Roman" w:cs="Verdana Regular"/>
          <w:b/>
          <w:bCs/>
          <w:color w:val="5B9BD5" w:themeColor="accent1"/>
          <w:sz w:val="20"/>
          <w:szCs w:val="20"/>
          <w14:textFill>
            <w14:solidFill>
              <w14:schemeClr w14:val="accent1"/>
            </w14:solidFill>
          </w14:textFill>
        </w:rPr>
      </w:pPr>
      <w:bookmarkStart w:id="0" w:name="_GoBack"/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cuerdo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por el que se determina la organización, funcionamiento y circunscripción de las Oficinas de Representación de la Secretaría de Economía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bookmarkEnd w:id="0"/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13 de marzo de 2023)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pacing w:after="101" w:afterAutospacing="0"/>
        <w:ind w:left="0" w:firstLine="0"/>
        <w:jc w:val="both"/>
        <w:rPr>
          <w:rFonts w:hint="default" w:ascii="Verdana Regular" w:hAnsi="Verdana Regular" w:cs="Verdana Regular"/>
          <w:sz w:val="20"/>
          <w:szCs w:val="20"/>
        </w:rPr>
      </w:pP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ECONOMÍA.- Secretaría</w:t>
      </w: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  <w:shd w:val="clear" w:fill="FFFFFF"/>
        </w:rPr>
        <w:t> de Economía.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RAQUEL BUENROSTRO SÁNCHEZ, Secretaria de Economía, con fundamento en los artículos 14 y 34 de la Ley Orgánica de la Administración Pública Federal y 3, párrafo segundo, 5, fracción XII, 64 y 65 del Reglamento Interior de la Secretaría de Economía, he tenido a bien expedir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96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POR EL QUE SE DETERMINA LA ORGANIZACIÓN, FUNCIONAMIENTO Y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CIRCUNSCRIPCIÓN DE LAS OFICINAS DE REPRESENTACIÓN DE LA SECRETARÍA DE ECONOMÍA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1.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El presente Acuerdo tiene por objeto determinar la organización, funcionamiento y circunscripción territorial de las Oficinas de Representación de la Secretaría de Economía.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2.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Para los efectos de este ordenamiento se entiende por: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Secretaría, a la Secretaría de Economía;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Dirección General, a la Dirección General de Coordinación Territorial de Trámites y Servicios de Economía de la Secretaría;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Oficinas de Representación, a las oficinas en las entidades federativas a que se refiere el artículo 2, apartado A, fracción II, numeral 48 del Reglamento Interior de la Secretaría de Economía;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Unidades administrativas centrales, a las unidades administrativas previstas en el artículo 2, apartado A del Reglamento Interior de la Secretaría de Economía, con excepción de las previstas en su fracción II, numeral 48.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3.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Las Oficinas de Representación ejercerán sus atribuciones y funciones en la circunscripción a que se refiere el artículo 5 del presente Acuerdo, en los términos previstos en el presente instrumento y conforme a los lineamientos e instrucciones que reciban de las unidades administrativas centrales, a través de la Dirección General.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4.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Las Oficinas de Representación tendrán la sede que a continuación se señala: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Aguascalientes, con sede en Aguascalientes, Aguascalientes;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Baja California, con sede en Tijuana, Baja California;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Baja California Sur, con sede en La Paz, Baja California Sur;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Campeche, con sede en Campeche, Campeche;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Coahuila, con sede en Saltillo, Coahuila;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Colima, con sede en Colima, Colima;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Chiapas, con sede en Tuxtla Gutiérrez, Chiapas;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Chihuahua 1, con sede en Chihuahua, Chihuahua;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IX.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Chihuahua 2, con sede en Ciudad Juárez, Chihuahua;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Durango, con sede en Durango, Durango;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Guanajuato, con sede en León, Guanajuato;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Guerrero, con sede en Acapulco, Guerrero;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Hidalgo, con sede en Pachuca, Hidalgo;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XIV.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Jalisco, con sede en Guadalajara, Jalisco;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México, con sede en Toluca, Estado de México;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XVI.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Michoacán, con sede en Morelia, Michoacán;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XVII.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Morelos, con sede en Cuernavaca, Morelos;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XVIII.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Nayarit, con sede en Tepic, Nayarit;</w:t>
      </w:r>
    </w:p>
    <w:p>
      <w:pPr>
        <w:keepNext w:val="0"/>
        <w:keepLines w:val="0"/>
        <w:widowControl/>
        <w:suppressLineNumbers w:val="0"/>
        <w:shd w:val="clear" w:fill="FFFFFF"/>
        <w:spacing w:after="96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XIX.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Nuevo León, con sede en Monterrey, Nuevo León;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Oaxaca, con sede en Oaxaca, Oaxaca;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Puebla, con sede en Puebla, Puebla;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Querétaro, con sede en Querétaro, Querétaro;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Quintana Roo, con sede en Benito Juárez, Quintana Roo;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XXIV.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San Luis Potosí, con sede en San Luis Potosí, San Luis Potosí;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Sinaloa, con sede en Culiacán, Sinaloa;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XXVI.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Sonora, con sede en Hermosillo, Sonora;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XXVII.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Tabasco, con sede en Villahermosa, Tabasco;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XXVIII.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Tamaulipas 1, con sede en Reynosa, Tamaulipas;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XXIX.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Tamaulipas 2, con sede en Nuevo Laredo, Tamaulipas;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XXX.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Tlaxcala, con sede en Tlaxcala, Tlaxcala;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XXXI.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Veracruz, con sede en Boca del Río, Veracruz;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XXXII.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Yucatán, con sede en Mérida, Yucatán, 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XXXIII.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Oficina de Representación de Zacatecas, con sede en Zacatecas, Zacatecas.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 Oficinas de Representación estarán a cargo de un Representante quien, para el desahogo de los asuntos de su competencia, se auxiliará del personal que se requiera para satisfacer las necesidades del servicio.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5.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Las Oficinas de Representación tienen como circunscripción los municipios de las entidades federativas donde se encuentra su sede, salvo los casos siguientes: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Oficina de Representación de México, tiene como circunscripción los municipios del Estado de México, con excepción de los siguientes: Atizapán de Zaragoza, Coacalco de Berriozábal, Cuautitlán, Cuautitlán Izcalli, Chalco, Chicoloapan, Chimalhuacán, Ecatepec, Huixquilucan, Ixtapaluca, Naucalpan de Juárez, Nezahualcóyotl, Nicolás Romero, La Paz, Tecámac, Texcoco, Tlalnepantla de Baz, Tultitlán y Valle de Chalco Solidaridad, cuyos asuntos se atenderán por las unidades administrativas centrales, de acuerdo a su competencia;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Oficina de Representación de Chihuahua 1, tiene como circunscripción el territorio del Estado de Chihuahua no comprendido en la fracción III de este artículo;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Oficina de Representación de Chihuahua 2, tiene como circunscripción la franja y región fronteriza que, en términos del artículo 136 de la Ley Aduanera, corresponde al Estado de Chihuahua;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IV.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Oficina de Representación de Tamaulipas 1, tiene como circunscripción el territorio del Estado de Tamaulipas no comprendido en la fracción V de este artículo, y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Oficina de Representación de Tamaulipas 2, tiene como circunscripción la franja y región fronteriza que, en términos del artículo 136 de la Ley Aduanera, corresponde al Estado de Tamaulipas.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6.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Además de las atribuciones que les correspondan conforme al artículo 67 del Reglamento Interior de la Secretaría de Economía, las Oficinas de Representación tendrán las siguientes facultades: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Difundir los instrumentos diseñados por la Secretaría para promover la actividad económica;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Realizar estudios sobre precios y tarifas de productos de consumo básico y de servicios esenciales, de conformidad con los lineamientos que para tal efecto emita la unidad administrativa central competente;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Difundir y orientar a la micro, pequeña y mediana empresa, sobre los trámites, servicios y apoyos que brinda la Secretaría;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Difundir y promover el Registro Público de Comercio;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Realizar visitas en materia de comercio exterior, conforme a las órdenes de verificación emitidas por la Dirección General de Facilitación Comercial y de Comercio Exterior;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Remitir a la unidad administrativa central que corresponda, a más tardar el día hábil siguiente a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1008" w:firstLine="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su recepción, los asuntos a que se refieren las fracciones II, II Bis y IX del artículo 67 del Reglamento Interior de la Secretaría;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Ejercer las atribuciones conferidas en el artículo 67 del Reglamento Interior de la Secretaría, conforme a las instrucciones y lineamientos que emita la Dirección General, y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 demás que determinen las unidades administrativas centrales y se instruyan a través de la Dirección General.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7.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Para la atención de los requerimientos administrativos, las Oficinas Regionales se organizarán en las siguientes regiones: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Noroeste, con sede en Tijuana, Baja California y circunscripción para las Oficinas de Representación de Baja California, Baja California Sur, Chihuahua 1, Chihuahua 2, Durango, Sinaloa y Sonora;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Noreste,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con sede en Monterrey, Nuevo León y circunscripción para las Oficinas de Representación de Coahuila, Nuevo León, Tamaulipas 1 y Tamaulipas 2;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III.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Occidente, con sede en Guadalajara, Jalisco y circunscripción para las Oficinas de Representación de Colima, Jalisco, Michoacán y Nayarit;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IV.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Oriente, con sede en Boca del Río, Veracruz y circunscripción para las Oficinas de Representación de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Hidalgo, Puebla, Tlaxcala y Veracruz;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Centro Norte, con sede en León, Guanajuato y circunscripción para las Oficinas de Representación de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Aguascalientes, Guanajuato, Querétaro, San Luis Potosí y Zacateas;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Centro Sur, con sede en Toluca, Estado de México y circunscripción para las Oficinas de Representación de México y Morelos;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Suroeste, con sede en Oaxaca, Oaxaca y circunscripción para las Oficinas de Representación de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Chiapas, Guerrero y Oaxaca, y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1008" w:hanging="72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VIII.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Sureste, con sede en Villahermosa, Tabasco y circunscripción para las Oficinas de Representación de Campeche, Quintana Roo, Tabasco y Yucatán.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Cada una de las regiones a que se refieren las fracciones anteriores contará con un Enlace Administrativo, quien para el desahogo de los asuntos de su competencia se auxiliará del personal que al efecto se asigne.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personal a que se refiere el párrafo anterior se adscribirán a la Unidad de Administración y Finanzas de la Secretaría.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persona titular de la Unidad de Administración y Finanzas, designará un coordinador de los enlaces administrativos a que se refiere este artículo y cada dirección general adscrita a dicha Unidad designará a un servidor público para que atienda a los referidos enlaces en las materias que corresponda, conforme a lo previsto en las "Políticas de Operación para los trámites administrativos de las Oficinas de Representación".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72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TRANSITORIOS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Primero.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presente Acuerdo entrará en vigor al día siguiente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Segundo.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 abroga el Acuerdo por el que se determinan las atribuciones, funciones, organización y circunscripción de las delegaciones y subdelegaciones federales y oficinas de servicios de la Secretaría de Economía, publicado en el Diario Oficial de la Federación el 14 de septiembre 1994 y sus posteriores modificaciones.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Tercero.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Los asuntos que a la entrada en vigor del presente Acuerdo se encuentren en trámite ante las delegaciones y subdelegaciones federales y oficinas de servicios a que se refiere el Acuerdo señalado en el transitorio anterior, y que conforme a este Acuerdo dejen de ser de competencia de las oficinas en las entidades federativas a que se refiere el artículo 2, apartado A, fracción II, numeral 48 del Reglamento Interior de la Secretaría de Economía, serán atendidos por las unidades administrativas centrales de la Secretaría a las que competa conforme al mencionado Reglamento.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Para los efectos del párrafo anterior, las unidades administrativas centrales remitirán a las Oficinas de Representación los formatos en los que se relacionarán los asuntos en trámite y los concluidos, mismos que, junto con los expedientes correspondientes, deberán remitirse a las unidades administrativas centrales competentes, dentro de los treinta días hábiles siguientes a la recepción de los referidos formatos.</w:t>
      </w:r>
    </w:p>
    <w:p>
      <w:pPr>
        <w:keepNext w:val="0"/>
        <w:keepLines w:val="0"/>
        <w:widowControl/>
        <w:suppressLineNumbers w:val="0"/>
        <w:shd w:val="clear" w:fill="FFFFFF"/>
        <w:spacing w:after="72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Cuarto. 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Dentro de los tres meses siguientes a la entrada en vigor del presente Acuerdo, la Dirección General y la Unidad de Administración y Finanzas de la Secretaría deben emitir los lineamientos a que se refiere el artículo 6, fracción VII de este Acuerdo y las "Políticas de Operación para los trámites administrativos de las Oficinas de Representación", respectivamente, los cuales serán de observancia obligatoria para la operación de las mismas.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 6 de marzo de 2023.- La Secretaria de Economía,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Raquel Buenrostro Sánchez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 Rúbrica.</w:t>
      </w: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-Roman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F8E3F"/>
    <w:rsid w:val="FDEF8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Office_4.4.1.7618_F1E327BC-269C-435d-A152-05C5408002CA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2023-03-13T11:43:00Z</dcterms:created>
  <dc:creator>Allan Morgan Hernández</dc:creator>
  <cp:lastModifiedBy>Allan Morgan Hernández</cp:lastModifiedBy>
  <dcterms:modified xsi:type="dcterms:W3CDTF">2023-03-13T11:44:35Z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3082-4.4.1.7618</vt:lpwstr>
  </property>
</Properties>
</file>