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C1704" w:rsidP="00AC1704">
      <w:pPr>
        <w:jc w:val="center"/>
        <w:rPr>
          <w:rFonts w:ascii="Verdana" w:hAnsi="Verdana"/>
          <w:b/>
          <w:color w:val="0070C0"/>
          <w:sz w:val="24"/>
        </w:rPr>
      </w:pPr>
      <w:r w:rsidRPr="00AC1704">
        <w:rPr>
          <w:rFonts w:ascii="Verdana" w:hAnsi="Verdana"/>
          <w:b/>
          <w:color w:val="0070C0"/>
          <w:sz w:val="24"/>
        </w:rPr>
        <w:t>Resolución por la que se declara el inicio del examen de vigencia de la cuota compensatoria impuesta a las importaciones de tubería de acero sin costura originarias de la República Popular China, independientemente del país de procedencia.</w:t>
      </w:r>
    </w:p>
    <w:p w:rsidR="00AC1704" w:rsidRDefault="00AC1704" w:rsidP="00AC1704">
      <w:pPr>
        <w:jc w:val="center"/>
        <w:rPr>
          <w:rFonts w:ascii="Verdana" w:hAnsi="Verdana"/>
          <w:b/>
          <w:color w:val="0070C0"/>
          <w:sz w:val="24"/>
        </w:rPr>
      </w:pPr>
      <w:r>
        <w:rPr>
          <w:rFonts w:ascii="Verdana" w:hAnsi="Verdana"/>
          <w:b/>
          <w:color w:val="0070C0"/>
          <w:sz w:val="24"/>
        </w:rPr>
        <w:t>(DOF del 21 de noviembre de 2018)</w:t>
      </w:r>
    </w:p>
    <w:p w:rsidR="00AC1704" w:rsidRPr="00AC1704" w:rsidRDefault="00AC1704" w:rsidP="00AC1704">
      <w:pPr>
        <w:jc w:val="both"/>
        <w:rPr>
          <w:rFonts w:ascii="Verdana" w:hAnsi="Verdana"/>
          <w:b/>
          <w:bCs/>
          <w:sz w:val="20"/>
        </w:rPr>
      </w:pPr>
      <w:r w:rsidRPr="00AC1704">
        <w:rPr>
          <w:rFonts w:ascii="Verdana" w:hAnsi="Verdana"/>
          <w:b/>
          <w:bCs/>
          <w:sz w:val="20"/>
        </w:rPr>
        <w:t>Al margen un sello con el Escudo Nacional, que dice: Estados Unidos Mexicanos.- Secretaría de Economía.</w:t>
      </w:r>
    </w:p>
    <w:p w:rsidR="00AC1704" w:rsidRPr="00AC1704" w:rsidRDefault="00AC1704" w:rsidP="00AC1704">
      <w:pPr>
        <w:jc w:val="both"/>
        <w:rPr>
          <w:rFonts w:ascii="Verdana" w:hAnsi="Verdana"/>
          <w:sz w:val="20"/>
        </w:rPr>
      </w:pPr>
      <w:r w:rsidRPr="00AC1704">
        <w:rPr>
          <w:rFonts w:ascii="Verdana" w:hAnsi="Verdana"/>
          <w:sz w:val="20"/>
        </w:rPr>
        <w:t>RESOLUCIÓN POR LA QUE SE DECLARA EL INICIO DEL EXAMEN DE VIGENCIA DE LA CUOTA COMPENSATORIA IMPUESTA A LAS IMPORTACIONES DE TUBERÍA DE ACERO SIN COSTURA ORIGINARIAS DE LA REPÚBLICA POPULAR CHINA, INDEPENDIENTEMENTE DEL PAÍS DE PROCEDENCIA</w:t>
      </w:r>
    </w:p>
    <w:p w:rsidR="00AC1704" w:rsidRPr="00AC1704" w:rsidRDefault="00AC1704" w:rsidP="00AC1704">
      <w:pPr>
        <w:jc w:val="both"/>
        <w:rPr>
          <w:rFonts w:ascii="Verdana" w:hAnsi="Verdana"/>
          <w:sz w:val="20"/>
        </w:rPr>
      </w:pPr>
      <w:r w:rsidRPr="00AC1704">
        <w:rPr>
          <w:rFonts w:ascii="Verdana" w:hAnsi="Verdana"/>
          <w:sz w:val="20"/>
        </w:rPr>
        <w:t>Visto para resolver en la etapa de inicio el expediente administrativo E.C. 15/18 radicado en la Unidad de Prácticas Comerciales Internacionales (UPCI) de la Secretaría de Economía (la "Secretaría"), se emite la presente Resolución de conformidad con los siguientes</w:t>
      </w:r>
    </w:p>
    <w:p w:rsidR="00AC1704" w:rsidRPr="00AC1704" w:rsidRDefault="00AC1704" w:rsidP="00AC1704">
      <w:pPr>
        <w:jc w:val="both"/>
        <w:rPr>
          <w:rFonts w:ascii="Verdana" w:hAnsi="Verdana"/>
          <w:b/>
          <w:bCs/>
          <w:sz w:val="20"/>
        </w:rPr>
      </w:pPr>
      <w:r w:rsidRPr="00AC1704">
        <w:rPr>
          <w:rFonts w:ascii="Verdana" w:hAnsi="Verdana"/>
          <w:b/>
          <w:bCs/>
          <w:sz w:val="20"/>
        </w:rPr>
        <w:t>RESULTANDOS</w:t>
      </w:r>
    </w:p>
    <w:p w:rsidR="00AC1704" w:rsidRPr="00AC1704" w:rsidRDefault="00AC1704" w:rsidP="00AC1704">
      <w:pPr>
        <w:jc w:val="both"/>
        <w:rPr>
          <w:rFonts w:ascii="Verdana" w:hAnsi="Verdana"/>
          <w:sz w:val="20"/>
        </w:rPr>
      </w:pPr>
      <w:r w:rsidRPr="00AC1704">
        <w:rPr>
          <w:rFonts w:ascii="Verdana" w:hAnsi="Verdana"/>
          <w:b/>
          <w:bCs/>
          <w:sz w:val="20"/>
        </w:rPr>
        <w:t>A. Resolución final de la investigación antidumping</w:t>
      </w:r>
    </w:p>
    <w:p w:rsidR="00AC1704" w:rsidRPr="00AC1704" w:rsidRDefault="00AC1704" w:rsidP="00AC1704">
      <w:pPr>
        <w:jc w:val="both"/>
        <w:rPr>
          <w:rFonts w:ascii="Verdana" w:hAnsi="Verdana"/>
          <w:sz w:val="20"/>
        </w:rPr>
      </w:pPr>
      <w:r w:rsidRPr="00AC1704">
        <w:rPr>
          <w:rFonts w:ascii="Verdana" w:hAnsi="Verdana"/>
          <w:b/>
          <w:bCs/>
          <w:sz w:val="20"/>
        </w:rPr>
        <w:t>1.</w:t>
      </w:r>
      <w:r w:rsidRPr="00AC1704">
        <w:rPr>
          <w:rFonts w:ascii="Verdana" w:hAnsi="Verdana"/>
          <w:sz w:val="20"/>
        </w:rPr>
        <w:t> El 7 de enero de 2014 se publicó en el Diario Oficial de la Federación (DOF) la Resolución final de la investigación antidumping sobre las importaciones de tubería de acero sin costura originarias de la República Popular China ("China"), independientemente del país de procedencia. Mediante dicha Resolución, la Secretaría determinó una cuota compensatoria definitiva de $1,568.92 (mil quinientos sesenta y ocho punto noventa y dos) dólares por tonelada métrica a las importaciones de tubería de acero sin costura, de diámetro nominal externo igual o mayor a 2" (60.3 mm) y menor o igual a 4" (114.3 mm).</w:t>
      </w:r>
    </w:p>
    <w:p w:rsidR="00AC1704" w:rsidRPr="00AC1704" w:rsidRDefault="00AC1704" w:rsidP="00AC1704">
      <w:pPr>
        <w:jc w:val="both"/>
        <w:rPr>
          <w:rFonts w:ascii="Verdana" w:hAnsi="Verdana"/>
          <w:sz w:val="20"/>
        </w:rPr>
      </w:pPr>
      <w:r w:rsidRPr="00AC1704">
        <w:rPr>
          <w:rFonts w:ascii="Verdana" w:hAnsi="Verdana"/>
          <w:b/>
          <w:bCs/>
          <w:sz w:val="20"/>
        </w:rPr>
        <w:t>B. Aviso sobre la vigencia de cuotas compensatorias</w:t>
      </w:r>
    </w:p>
    <w:p w:rsidR="00AC1704" w:rsidRPr="00AC1704" w:rsidRDefault="00AC1704" w:rsidP="00AC1704">
      <w:pPr>
        <w:jc w:val="both"/>
        <w:rPr>
          <w:rFonts w:ascii="Verdana" w:hAnsi="Verdana"/>
          <w:sz w:val="20"/>
        </w:rPr>
      </w:pPr>
      <w:r w:rsidRPr="00AC1704">
        <w:rPr>
          <w:rFonts w:ascii="Verdana" w:hAnsi="Verdana"/>
          <w:b/>
          <w:bCs/>
          <w:sz w:val="20"/>
        </w:rPr>
        <w:t>2.</w:t>
      </w:r>
      <w:r w:rsidRPr="00AC1704">
        <w:rPr>
          <w:rFonts w:ascii="Verdana" w:hAnsi="Verdana"/>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sin originaria de China, objeto de este examen.</w:t>
      </w:r>
    </w:p>
    <w:p w:rsidR="00AC1704" w:rsidRPr="00AC1704" w:rsidRDefault="00AC1704" w:rsidP="00AC1704">
      <w:pPr>
        <w:jc w:val="both"/>
        <w:rPr>
          <w:rFonts w:ascii="Verdana" w:hAnsi="Verdana"/>
          <w:sz w:val="20"/>
        </w:rPr>
      </w:pPr>
      <w:r w:rsidRPr="00AC1704">
        <w:rPr>
          <w:rFonts w:ascii="Verdana" w:hAnsi="Verdana"/>
          <w:b/>
          <w:bCs/>
          <w:sz w:val="20"/>
        </w:rPr>
        <w:t>C. Manifestación de interés</w:t>
      </w:r>
    </w:p>
    <w:p w:rsidR="00AC1704" w:rsidRPr="00AC1704" w:rsidRDefault="00AC1704" w:rsidP="00AC1704">
      <w:pPr>
        <w:jc w:val="both"/>
        <w:rPr>
          <w:rFonts w:ascii="Verdana" w:hAnsi="Verdana"/>
          <w:sz w:val="20"/>
        </w:rPr>
      </w:pPr>
      <w:r w:rsidRPr="00AC1704">
        <w:rPr>
          <w:rFonts w:ascii="Verdana" w:hAnsi="Verdana"/>
          <w:b/>
          <w:bCs/>
          <w:sz w:val="20"/>
        </w:rPr>
        <w:t>3.</w:t>
      </w:r>
      <w:r w:rsidRPr="00AC1704">
        <w:rPr>
          <w:rFonts w:ascii="Verdana" w:hAnsi="Verdana"/>
          <w:sz w:val="20"/>
        </w:rPr>
        <w:t xml:space="preserve"> El 10 de octubre de 2018 Tubos de Acero de México, S.A. (TAMSA) manifestó su interés en que la Secretaría inicie el examen de vigencia de la cuota compensatoria </w:t>
      </w:r>
      <w:r w:rsidRPr="00AC1704">
        <w:rPr>
          <w:rFonts w:ascii="Verdana" w:hAnsi="Verdana"/>
          <w:sz w:val="20"/>
        </w:rPr>
        <w:lastRenderedPageBreak/>
        <w:t>definitiva impuesta a las importaciones de tubería de acero sin costura originarias de China. Propuso como periodo de examen el comprendido del 1 de julio de 2017 al 30 de junio de 2018.</w:t>
      </w:r>
    </w:p>
    <w:p w:rsidR="00AC1704" w:rsidRPr="00AC1704" w:rsidRDefault="00AC1704" w:rsidP="00AC1704">
      <w:pPr>
        <w:jc w:val="both"/>
        <w:rPr>
          <w:rFonts w:ascii="Verdana" w:hAnsi="Verdana"/>
          <w:sz w:val="20"/>
        </w:rPr>
      </w:pPr>
      <w:r w:rsidRPr="00AC1704">
        <w:rPr>
          <w:rFonts w:ascii="Verdana" w:hAnsi="Verdana"/>
          <w:b/>
          <w:bCs/>
          <w:sz w:val="20"/>
        </w:rPr>
        <w:t>4. </w:t>
      </w:r>
      <w:r w:rsidRPr="00AC1704">
        <w:rPr>
          <w:rFonts w:ascii="Verdana" w:hAnsi="Verdana"/>
          <w:sz w:val="20"/>
        </w:rPr>
        <w:t>TAMSA es una sociedad constituida conforme a las leyes mexicanas. Una de sus principales actividades es la fabricación de tubos de hierro, acero o de cualquier otro metal. Para acreditar su calidad de productor nacional de tubería de acero sin costura, presentó una carta de la Cámara Nacional de la Industria del Hierro y del Acero del 24 de septiembre de 2018, en la que se señala que es la única productora nacional del producto objeto de examen. Señaló como domicilio para recibir notificaciones el ubicado en Campos Elíseos No. 400, piso 17, Col. Chapultepec Polanco, C.P. 11560, Ciudad de México.</w:t>
      </w:r>
    </w:p>
    <w:p w:rsidR="00AC1704" w:rsidRPr="00AC1704" w:rsidRDefault="00AC1704" w:rsidP="00AC1704">
      <w:pPr>
        <w:jc w:val="both"/>
        <w:rPr>
          <w:rFonts w:ascii="Verdana" w:hAnsi="Verdana"/>
          <w:sz w:val="20"/>
        </w:rPr>
      </w:pPr>
      <w:r w:rsidRPr="00AC1704">
        <w:rPr>
          <w:rFonts w:ascii="Verdana" w:hAnsi="Verdana"/>
          <w:b/>
          <w:bCs/>
          <w:sz w:val="20"/>
        </w:rPr>
        <w:t>D. Producto objeto de examen</w:t>
      </w:r>
    </w:p>
    <w:p w:rsidR="00AC1704" w:rsidRPr="00AC1704" w:rsidRDefault="00AC1704" w:rsidP="00AC1704">
      <w:pPr>
        <w:jc w:val="both"/>
        <w:rPr>
          <w:rFonts w:ascii="Verdana" w:hAnsi="Verdana"/>
          <w:sz w:val="20"/>
        </w:rPr>
      </w:pPr>
      <w:r w:rsidRPr="00AC1704">
        <w:rPr>
          <w:rFonts w:ascii="Verdana" w:hAnsi="Verdana"/>
          <w:b/>
          <w:bCs/>
          <w:sz w:val="20"/>
        </w:rPr>
        <w:t>1. Descripción del producto</w:t>
      </w:r>
    </w:p>
    <w:p w:rsidR="00AC1704" w:rsidRPr="00AC1704" w:rsidRDefault="00AC1704" w:rsidP="00AC1704">
      <w:pPr>
        <w:jc w:val="both"/>
        <w:rPr>
          <w:rFonts w:ascii="Verdana" w:hAnsi="Verdana"/>
          <w:sz w:val="20"/>
        </w:rPr>
      </w:pPr>
      <w:r w:rsidRPr="00AC1704">
        <w:rPr>
          <w:rFonts w:ascii="Verdana" w:hAnsi="Verdana"/>
          <w:b/>
          <w:bCs/>
          <w:sz w:val="20"/>
        </w:rPr>
        <w:t>5.</w:t>
      </w:r>
      <w:r w:rsidRPr="00AC1704">
        <w:rPr>
          <w:rFonts w:ascii="Verdana" w:hAnsi="Verdana"/>
          <w:sz w:val="20"/>
        </w:rPr>
        <w:t> El producto objeto de examen es la tubería de acero sin costura, con excepción de la tubería mecánica o inoxidable, de diámetro nominal externo igual o mayor a 2" (60.3 mm) y menor o igual a 4" (114.3 mm), independientemente del espesor de pared, recubrimiento o grado de acero con que se fabrique. Incluye la denominada tubería para conducción o tubería estándar, tubería de presión, tubería de línea y tubería estructural. En Estados Unidos se conoce como "</w:t>
      </w:r>
      <w:proofErr w:type="spellStart"/>
      <w:r w:rsidRPr="00AC1704">
        <w:rPr>
          <w:rFonts w:ascii="Verdana" w:hAnsi="Verdana"/>
          <w:sz w:val="20"/>
        </w:rPr>
        <w:t>seamless</w:t>
      </w:r>
      <w:proofErr w:type="spellEnd"/>
      <w:r w:rsidRPr="00AC1704">
        <w:rPr>
          <w:rFonts w:ascii="Verdana" w:hAnsi="Verdana"/>
          <w:sz w:val="20"/>
        </w:rPr>
        <w:t xml:space="preserve"> </w:t>
      </w:r>
      <w:proofErr w:type="spellStart"/>
      <w:r w:rsidRPr="00AC1704">
        <w:rPr>
          <w:rFonts w:ascii="Verdana" w:hAnsi="Verdana"/>
          <w:sz w:val="20"/>
        </w:rPr>
        <w:t>standard</w:t>
      </w:r>
      <w:proofErr w:type="spellEnd"/>
      <w:r w:rsidRPr="00AC1704">
        <w:rPr>
          <w:rFonts w:ascii="Verdana" w:hAnsi="Verdana"/>
          <w:sz w:val="20"/>
        </w:rPr>
        <w:t xml:space="preserve"> pipe", "</w:t>
      </w:r>
      <w:proofErr w:type="spellStart"/>
      <w:r w:rsidRPr="00AC1704">
        <w:rPr>
          <w:rFonts w:ascii="Verdana" w:hAnsi="Verdana"/>
          <w:sz w:val="20"/>
        </w:rPr>
        <w:t>seamless</w:t>
      </w:r>
      <w:proofErr w:type="spellEnd"/>
      <w:r w:rsidRPr="00AC1704">
        <w:rPr>
          <w:rFonts w:ascii="Verdana" w:hAnsi="Verdana"/>
          <w:sz w:val="20"/>
        </w:rPr>
        <w:t xml:space="preserve"> </w:t>
      </w:r>
      <w:proofErr w:type="spellStart"/>
      <w:r w:rsidRPr="00AC1704">
        <w:rPr>
          <w:rFonts w:ascii="Verdana" w:hAnsi="Verdana"/>
          <w:sz w:val="20"/>
        </w:rPr>
        <w:t>pressure</w:t>
      </w:r>
      <w:proofErr w:type="spellEnd"/>
      <w:r w:rsidRPr="00AC1704">
        <w:rPr>
          <w:rFonts w:ascii="Verdana" w:hAnsi="Verdana"/>
          <w:sz w:val="20"/>
        </w:rPr>
        <w:t xml:space="preserve"> pipe", "</w:t>
      </w:r>
      <w:proofErr w:type="spellStart"/>
      <w:r w:rsidRPr="00AC1704">
        <w:rPr>
          <w:rFonts w:ascii="Verdana" w:hAnsi="Verdana"/>
          <w:sz w:val="20"/>
        </w:rPr>
        <w:t>seamless</w:t>
      </w:r>
      <w:proofErr w:type="spellEnd"/>
      <w:r w:rsidRPr="00AC1704">
        <w:rPr>
          <w:rFonts w:ascii="Verdana" w:hAnsi="Verdana"/>
          <w:sz w:val="20"/>
        </w:rPr>
        <w:t xml:space="preserve"> line pipe" y "</w:t>
      </w:r>
      <w:proofErr w:type="spellStart"/>
      <w:r w:rsidRPr="00AC1704">
        <w:rPr>
          <w:rFonts w:ascii="Verdana" w:hAnsi="Verdana"/>
          <w:sz w:val="20"/>
        </w:rPr>
        <w:t>seamless</w:t>
      </w:r>
      <w:proofErr w:type="spellEnd"/>
      <w:r w:rsidRPr="00AC1704">
        <w:rPr>
          <w:rFonts w:ascii="Verdana" w:hAnsi="Verdana"/>
          <w:sz w:val="20"/>
        </w:rPr>
        <w:t xml:space="preserve"> </w:t>
      </w:r>
      <w:proofErr w:type="spellStart"/>
      <w:r w:rsidRPr="00AC1704">
        <w:rPr>
          <w:rFonts w:ascii="Verdana" w:hAnsi="Verdana"/>
          <w:sz w:val="20"/>
        </w:rPr>
        <w:t>structural</w:t>
      </w:r>
      <w:proofErr w:type="spellEnd"/>
      <w:r w:rsidRPr="00AC1704">
        <w:rPr>
          <w:rFonts w:ascii="Verdana" w:hAnsi="Verdana"/>
          <w:sz w:val="20"/>
        </w:rPr>
        <w:t xml:space="preserve"> pipe", respectivamente.</w:t>
      </w:r>
    </w:p>
    <w:p w:rsidR="00AC1704" w:rsidRPr="00AC1704" w:rsidRDefault="00AC1704" w:rsidP="00AC1704">
      <w:pPr>
        <w:jc w:val="both"/>
        <w:rPr>
          <w:rFonts w:ascii="Verdana" w:hAnsi="Verdana"/>
          <w:sz w:val="20"/>
        </w:rPr>
      </w:pPr>
      <w:r w:rsidRPr="00AC1704">
        <w:rPr>
          <w:rFonts w:ascii="Verdana" w:hAnsi="Verdana"/>
          <w:b/>
          <w:bCs/>
          <w:sz w:val="20"/>
        </w:rPr>
        <w:t>2. Tratamiento arancelario</w:t>
      </w:r>
    </w:p>
    <w:p w:rsidR="00AC1704" w:rsidRPr="00AC1704" w:rsidRDefault="00AC1704" w:rsidP="00AC1704">
      <w:pPr>
        <w:jc w:val="both"/>
        <w:rPr>
          <w:rFonts w:ascii="Verdana" w:hAnsi="Verdana"/>
          <w:sz w:val="20"/>
        </w:rPr>
      </w:pPr>
      <w:r w:rsidRPr="00AC1704">
        <w:rPr>
          <w:rFonts w:ascii="Verdana" w:hAnsi="Verdana"/>
          <w:b/>
          <w:bCs/>
          <w:sz w:val="20"/>
        </w:rPr>
        <w:t>6.</w:t>
      </w:r>
      <w:r w:rsidRPr="00AC1704">
        <w:rPr>
          <w:rFonts w:ascii="Verdana" w:hAnsi="Verdana"/>
          <w:sz w:val="20"/>
        </w:rPr>
        <w:t> El producto objeto de examen ingresa al mercado nacional por las fracciones arancelarias 7304.19.01, 7304.19.04, 7304.19.99, 7304.31.01, 7304.31.10, 7304.31.99, 7304.39.01, 7304.39.05 y 7304.39.99 de la Tarifa de la Ley de los Impuestos Generales de Importación y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1704" w:rsidRPr="00AC1704" w:rsidTr="00AC1704">
        <w:tc>
          <w:tcPr>
            <w:tcW w:w="0" w:type="auto"/>
            <w:shd w:val="clear" w:color="auto" w:fill="FFFFFF"/>
            <w:vAlign w:val="center"/>
            <w:hideMark/>
          </w:tcPr>
          <w:p w:rsidR="00AC1704" w:rsidRPr="00AC1704" w:rsidRDefault="00AC1704" w:rsidP="00AC1704">
            <w:pPr>
              <w:jc w:val="both"/>
              <w:rPr>
                <w:rFonts w:ascii="Verdana" w:hAnsi="Verdana"/>
                <w:sz w:val="20"/>
              </w:rPr>
            </w:pPr>
          </w:p>
        </w:tc>
      </w:tr>
    </w:tbl>
    <w:p w:rsidR="00AC1704" w:rsidRPr="00AC1704" w:rsidRDefault="00AC1704" w:rsidP="00AC170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05"/>
        <w:gridCol w:w="6645"/>
      </w:tblGrid>
      <w:tr w:rsidR="00AC1704" w:rsidRPr="00AC1704" w:rsidTr="00AC1704">
        <w:trPr>
          <w:trHeight w:val="491"/>
        </w:trPr>
        <w:tc>
          <w:tcPr>
            <w:tcW w:w="20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C1704" w:rsidRPr="00AC1704" w:rsidRDefault="00AC1704" w:rsidP="00AC1704">
            <w:pPr>
              <w:jc w:val="both"/>
              <w:rPr>
                <w:rFonts w:ascii="Verdana" w:hAnsi="Verdana"/>
                <w:sz w:val="20"/>
              </w:rPr>
            </w:pPr>
            <w:r w:rsidRPr="00AC1704">
              <w:rPr>
                <w:rFonts w:ascii="Verdana" w:hAnsi="Verdana"/>
                <w:b/>
                <w:bCs/>
                <w:sz w:val="20"/>
              </w:rPr>
              <w:t>Clasificación</w:t>
            </w:r>
            <w:r w:rsidRPr="00AC1704">
              <w:rPr>
                <w:rFonts w:ascii="Verdana" w:hAnsi="Verdana"/>
                <w:sz w:val="20"/>
              </w:rPr>
              <w:br/>
            </w:r>
            <w:r w:rsidRPr="00AC1704">
              <w:rPr>
                <w:rFonts w:ascii="Verdana" w:hAnsi="Verdana"/>
                <w:b/>
                <w:bCs/>
                <w:sz w:val="20"/>
              </w:rPr>
              <w:t>arancelaria</w:t>
            </w:r>
          </w:p>
        </w:tc>
        <w:tc>
          <w:tcPr>
            <w:tcW w:w="6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C1704" w:rsidRPr="00AC1704" w:rsidRDefault="00AC1704" w:rsidP="00AC1704">
            <w:pPr>
              <w:jc w:val="both"/>
              <w:rPr>
                <w:rFonts w:ascii="Verdana" w:hAnsi="Verdana"/>
                <w:sz w:val="20"/>
              </w:rPr>
            </w:pPr>
            <w:r w:rsidRPr="00AC1704">
              <w:rPr>
                <w:rFonts w:ascii="Verdana" w:hAnsi="Verdana"/>
                <w:b/>
                <w:bCs/>
                <w:sz w:val="20"/>
              </w:rPr>
              <w:t>Descripción</w:t>
            </w:r>
          </w:p>
        </w:tc>
      </w:tr>
      <w:tr w:rsidR="00AC1704" w:rsidRPr="00AC1704" w:rsidTr="00AC1704">
        <w:trPr>
          <w:trHeight w:val="339"/>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Capítulo 73</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Manufacturas de fundición, de hierro o de acero.</w:t>
            </w:r>
          </w:p>
        </w:tc>
      </w:tr>
      <w:tr w:rsidR="00AC1704" w:rsidRPr="00AC1704" w:rsidTr="00AC1704">
        <w:trPr>
          <w:trHeight w:val="339"/>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Partida 7304</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Tubos y perfiles huecos, sin costura (sin soldadura), de hierro o acero.</w:t>
            </w:r>
          </w:p>
        </w:tc>
      </w:tr>
      <w:tr w:rsidR="00AC1704" w:rsidRPr="00AC1704" w:rsidTr="00AC1704">
        <w:trPr>
          <w:trHeight w:val="678"/>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proofErr w:type="spellStart"/>
            <w:r w:rsidRPr="00AC1704">
              <w:rPr>
                <w:rFonts w:ascii="Verdana" w:hAnsi="Verdana"/>
                <w:sz w:val="20"/>
              </w:rPr>
              <w:t>Subpartida</w:t>
            </w:r>
            <w:proofErr w:type="spellEnd"/>
            <w:r w:rsidRPr="00AC1704">
              <w:rPr>
                <w:rFonts w:ascii="Verdana" w:hAnsi="Verdana"/>
                <w:sz w:val="20"/>
              </w:rPr>
              <w:t xml:space="preserve"> 7304.19</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Tubos de los tipos utilizados en oleoductos o gasoductos:</w:t>
            </w:r>
          </w:p>
          <w:p w:rsidR="00AC1704" w:rsidRPr="00AC1704" w:rsidRDefault="00AC1704" w:rsidP="00AC1704">
            <w:pPr>
              <w:jc w:val="both"/>
              <w:rPr>
                <w:rFonts w:ascii="Verdana" w:hAnsi="Verdana"/>
                <w:sz w:val="20"/>
              </w:rPr>
            </w:pPr>
            <w:r w:rsidRPr="00AC1704">
              <w:rPr>
                <w:rFonts w:ascii="Verdana" w:hAnsi="Verdana"/>
                <w:sz w:val="20"/>
              </w:rPr>
              <w:t>--Los demás.</w:t>
            </w:r>
          </w:p>
        </w:tc>
      </w:tr>
      <w:tr w:rsidR="00AC1704" w:rsidRPr="00AC1704" w:rsidTr="00AC1704">
        <w:trPr>
          <w:trHeight w:val="1053"/>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lastRenderedPageBreak/>
              <w:t>Fracción 7304.19.01</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laminados en caliente, sin recubrimiento u otros trabajos de </w:t>
            </w:r>
            <w:proofErr w:type="spellStart"/>
            <w:r w:rsidRPr="00AC1704">
              <w:rPr>
                <w:rFonts w:ascii="Verdana" w:hAnsi="Verdana"/>
                <w:sz w:val="20"/>
              </w:rPr>
              <w:t>superficie</w:t>
            </w:r>
            <w:proofErr w:type="gramStart"/>
            <w:r w:rsidRPr="00AC1704">
              <w:rPr>
                <w:rFonts w:ascii="Verdana" w:hAnsi="Verdana"/>
                <w:sz w:val="20"/>
              </w:rPr>
              <w:t>,incluidos</w:t>
            </w:r>
            <w:proofErr w:type="spellEnd"/>
            <w:proofErr w:type="gramEnd"/>
            <w:r w:rsidRPr="00AC1704">
              <w:rPr>
                <w:rFonts w:ascii="Verdana" w:hAnsi="Verdana"/>
                <w:sz w:val="20"/>
              </w:rPr>
              <w:t xml:space="preserve"> los tubos laminados en caliente barnizados o laqueados: de </w:t>
            </w:r>
            <w:proofErr w:type="spellStart"/>
            <w:r w:rsidRPr="00AC1704">
              <w:rPr>
                <w:rFonts w:ascii="Verdana" w:hAnsi="Verdana"/>
                <w:sz w:val="20"/>
              </w:rPr>
              <w:t>diámetroexterior</w:t>
            </w:r>
            <w:proofErr w:type="spellEnd"/>
            <w:r w:rsidRPr="00AC1704">
              <w:rPr>
                <w:rFonts w:ascii="Verdana" w:hAnsi="Verdana"/>
                <w:sz w:val="20"/>
              </w:rPr>
              <w:t xml:space="preserve"> inferior o igual a 114.3 mm y espesor de pared igual o superior a 4 mm sin exceder de 19.5 </w:t>
            </w:r>
            <w:proofErr w:type="spellStart"/>
            <w:r w:rsidRPr="00AC1704">
              <w:rPr>
                <w:rFonts w:ascii="Verdana" w:hAnsi="Verdana"/>
                <w:sz w:val="20"/>
              </w:rPr>
              <w:t>mm.</w:t>
            </w:r>
            <w:proofErr w:type="spellEnd"/>
          </w:p>
        </w:tc>
      </w:tr>
      <w:tr w:rsidR="00AC1704" w:rsidRPr="00AC1704" w:rsidTr="00AC1704">
        <w:trPr>
          <w:trHeight w:val="1053"/>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7304.19.04</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laminados en frío, sin recubrimiento u otros trabajos de superficie, incluidos los tubos laminados en frío barnizados o laqueados: de diámetro exterior inferior o igual a 114.3 mm y espesor de pared igual o superior a 1.27 mm sin exceder de 9.5 </w:t>
            </w:r>
            <w:proofErr w:type="spellStart"/>
            <w:r w:rsidRPr="00AC1704">
              <w:rPr>
                <w:rFonts w:ascii="Verdana" w:hAnsi="Verdana"/>
                <w:sz w:val="20"/>
              </w:rPr>
              <w:t>mm.</w:t>
            </w:r>
            <w:proofErr w:type="spellEnd"/>
          </w:p>
        </w:tc>
      </w:tr>
      <w:tr w:rsidR="00AC1704" w:rsidRPr="00AC1704" w:rsidTr="00AC1704">
        <w:trPr>
          <w:trHeight w:val="339"/>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7304.19.99</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Los demás.</w:t>
            </w:r>
          </w:p>
        </w:tc>
      </w:tr>
      <w:tr w:rsidR="00AC1704" w:rsidRPr="00AC1704" w:rsidTr="00AC1704">
        <w:trPr>
          <w:trHeight w:val="678"/>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proofErr w:type="spellStart"/>
            <w:r w:rsidRPr="00AC1704">
              <w:rPr>
                <w:rFonts w:ascii="Verdana" w:hAnsi="Verdana"/>
                <w:sz w:val="20"/>
              </w:rPr>
              <w:t>Subpartida</w:t>
            </w:r>
            <w:proofErr w:type="spellEnd"/>
            <w:r w:rsidRPr="00AC1704">
              <w:rPr>
                <w:rFonts w:ascii="Verdana" w:hAnsi="Verdana"/>
                <w:sz w:val="20"/>
              </w:rPr>
              <w:t xml:space="preserve"> 7304.31</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-Los demás, de sección circular, de hierro o acero sin alear:</w:t>
            </w:r>
          </w:p>
          <w:p w:rsidR="00AC1704" w:rsidRPr="00AC1704" w:rsidRDefault="00AC1704" w:rsidP="00AC1704">
            <w:pPr>
              <w:jc w:val="both"/>
              <w:rPr>
                <w:rFonts w:ascii="Verdana" w:hAnsi="Verdana"/>
                <w:sz w:val="20"/>
              </w:rPr>
            </w:pPr>
            <w:r w:rsidRPr="00AC1704">
              <w:rPr>
                <w:rFonts w:ascii="Verdana" w:hAnsi="Verdana"/>
                <w:sz w:val="20"/>
              </w:rPr>
              <w:t>--Estirados o laminados en frío.</w:t>
            </w:r>
          </w:p>
        </w:tc>
      </w:tr>
      <w:tr w:rsidR="00AC1704" w:rsidRPr="00AC1704" w:rsidTr="00AC1704">
        <w:trPr>
          <w:trHeight w:val="815"/>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7304.31.01</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llamados "mecánicos" o "estructurales", sin recubrimientos u otros trabajos de superficie, de diámetro exterior inferior o igual a 114.3 mm y espesor de pared igual o superior a 1.27 mm sin exceder de 9.5 </w:t>
            </w:r>
            <w:proofErr w:type="spellStart"/>
            <w:r w:rsidRPr="00AC1704">
              <w:rPr>
                <w:rFonts w:ascii="Verdana" w:hAnsi="Verdana"/>
                <w:sz w:val="20"/>
              </w:rPr>
              <w:t>mm.</w:t>
            </w:r>
            <w:proofErr w:type="spellEnd"/>
          </w:p>
        </w:tc>
      </w:tr>
      <w:tr w:rsidR="00AC1704" w:rsidRPr="00AC1704" w:rsidTr="00AC1704">
        <w:trPr>
          <w:trHeight w:val="839"/>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7304.31.10</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llamados "térmicos" o de "conducción", sin recubrimientos u otros </w:t>
            </w:r>
            <w:proofErr w:type="spellStart"/>
            <w:r w:rsidRPr="00AC1704">
              <w:rPr>
                <w:rFonts w:ascii="Verdana" w:hAnsi="Verdana"/>
                <w:sz w:val="20"/>
              </w:rPr>
              <w:t>trabajosde</w:t>
            </w:r>
            <w:proofErr w:type="spellEnd"/>
            <w:r w:rsidRPr="00AC1704">
              <w:rPr>
                <w:rFonts w:ascii="Verdana" w:hAnsi="Verdana"/>
                <w:sz w:val="20"/>
              </w:rPr>
              <w:t xml:space="preserve"> superficie, de diámetro exterior inferior o igual a 114.3 mm y espesor de pared igual o superior a 1.27 mm sin exceder de 9.5 </w:t>
            </w:r>
            <w:proofErr w:type="spellStart"/>
            <w:r w:rsidRPr="00AC1704">
              <w:rPr>
                <w:rFonts w:ascii="Verdana" w:hAnsi="Verdana"/>
                <w:sz w:val="20"/>
              </w:rPr>
              <w:t>mm.</w:t>
            </w:r>
            <w:proofErr w:type="spellEnd"/>
          </w:p>
        </w:tc>
      </w:tr>
      <w:tr w:rsidR="00AC1704" w:rsidRPr="00AC1704" w:rsidTr="00AC1704">
        <w:trPr>
          <w:trHeight w:val="347"/>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7304.31.99</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Los demás.</w:t>
            </w:r>
          </w:p>
        </w:tc>
      </w:tr>
      <w:tr w:rsidR="00AC1704" w:rsidRPr="00AC1704" w:rsidTr="00AC1704">
        <w:trPr>
          <w:trHeight w:val="694"/>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proofErr w:type="spellStart"/>
            <w:r w:rsidRPr="00AC1704">
              <w:rPr>
                <w:rFonts w:ascii="Verdana" w:hAnsi="Verdana"/>
                <w:sz w:val="20"/>
              </w:rPr>
              <w:t>Subpartida</w:t>
            </w:r>
            <w:proofErr w:type="spellEnd"/>
            <w:r w:rsidRPr="00AC1704">
              <w:rPr>
                <w:rFonts w:ascii="Verdana" w:hAnsi="Verdana"/>
                <w:sz w:val="20"/>
              </w:rPr>
              <w:t xml:space="preserve"> 7304.39</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-Los demás, de sección circular, de hierro o acero sin alear:</w:t>
            </w:r>
          </w:p>
          <w:p w:rsidR="00AC1704" w:rsidRPr="00AC1704" w:rsidRDefault="00AC1704" w:rsidP="00AC1704">
            <w:pPr>
              <w:jc w:val="both"/>
              <w:rPr>
                <w:rFonts w:ascii="Verdana" w:hAnsi="Verdana"/>
                <w:sz w:val="20"/>
              </w:rPr>
            </w:pPr>
            <w:r w:rsidRPr="00AC1704">
              <w:rPr>
                <w:rFonts w:ascii="Verdana" w:hAnsi="Verdana"/>
                <w:sz w:val="20"/>
              </w:rPr>
              <w:t>--Los demás.</w:t>
            </w:r>
          </w:p>
        </w:tc>
      </w:tr>
      <w:tr w:rsidR="00AC1704" w:rsidRPr="00AC1704" w:rsidTr="00AC1704">
        <w:trPr>
          <w:trHeight w:val="1291"/>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7304.39.01</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llamados "mecánicos" o "estructurales", laminados en caliente, </w:t>
            </w:r>
            <w:proofErr w:type="spellStart"/>
            <w:r w:rsidRPr="00AC1704">
              <w:rPr>
                <w:rFonts w:ascii="Verdana" w:hAnsi="Verdana"/>
                <w:sz w:val="20"/>
              </w:rPr>
              <w:t>sinrecubrimiento</w:t>
            </w:r>
            <w:proofErr w:type="spellEnd"/>
            <w:r w:rsidRPr="00AC1704">
              <w:rPr>
                <w:rFonts w:ascii="Verdana" w:hAnsi="Verdana"/>
                <w:sz w:val="20"/>
              </w:rPr>
              <w:t xml:space="preserve"> o trabajos de superficie, incluidos los tubos llamados "mecánicos" o "estructurales" laminados en caliente, laqueados o barnizados: de diámetro exterior inferior o igual a 114.3 mm, y espesor de pared igual o superior a 4 mm sin exceder de 19.5 </w:t>
            </w:r>
            <w:proofErr w:type="spellStart"/>
            <w:r w:rsidRPr="00AC1704">
              <w:rPr>
                <w:rFonts w:ascii="Verdana" w:hAnsi="Verdana"/>
                <w:sz w:val="20"/>
              </w:rPr>
              <w:t>mm.</w:t>
            </w:r>
            <w:proofErr w:type="spellEnd"/>
          </w:p>
        </w:tc>
      </w:tr>
      <w:tr w:rsidR="00AC1704" w:rsidRPr="00AC1704" w:rsidTr="00AC1704">
        <w:trPr>
          <w:trHeight w:val="1053"/>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Fracción 7304.39.05</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 xml:space="preserve">Tubos llamados "térmicos" o de "conducción", sin recubrimiento o trabajos </w:t>
            </w:r>
            <w:proofErr w:type="spellStart"/>
            <w:r w:rsidRPr="00AC1704">
              <w:rPr>
                <w:rFonts w:ascii="Verdana" w:hAnsi="Verdana"/>
                <w:sz w:val="20"/>
              </w:rPr>
              <w:t>desuperficie</w:t>
            </w:r>
            <w:proofErr w:type="spellEnd"/>
            <w:r w:rsidRPr="00AC1704">
              <w:rPr>
                <w:rFonts w:ascii="Verdana" w:hAnsi="Verdana"/>
                <w:sz w:val="20"/>
              </w:rPr>
              <w:t xml:space="preserve">, incluidos los tubos llamados "térmicos" o de "conducción" laqueados </w:t>
            </w:r>
            <w:proofErr w:type="spellStart"/>
            <w:r w:rsidRPr="00AC1704">
              <w:rPr>
                <w:rFonts w:ascii="Verdana" w:hAnsi="Verdana"/>
                <w:sz w:val="20"/>
              </w:rPr>
              <w:t>obarnizados</w:t>
            </w:r>
            <w:proofErr w:type="spellEnd"/>
            <w:r w:rsidRPr="00AC1704">
              <w:rPr>
                <w:rFonts w:ascii="Verdana" w:hAnsi="Verdana"/>
                <w:sz w:val="20"/>
              </w:rPr>
              <w:t xml:space="preserve">: de diámetro exterior inferior o igual a 114.3 mm y espesor de </w:t>
            </w:r>
            <w:proofErr w:type="spellStart"/>
            <w:r w:rsidRPr="00AC1704">
              <w:rPr>
                <w:rFonts w:ascii="Verdana" w:hAnsi="Verdana"/>
                <w:sz w:val="20"/>
              </w:rPr>
              <w:t>paredigual</w:t>
            </w:r>
            <w:proofErr w:type="spellEnd"/>
            <w:r w:rsidRPr="00AC1704">
              <w:rPr>
                <w:rFonts w:ascii="Verdana" w:hAnsi="Verdana"/>
                <w:sz w:val="20"/>
              </w:rPr>
              <w:t xml:space="preserve"> o superior a 4 mm, sin exceder 19.5 </w:t>
            </w:r>
            <w:proofErr w:type="spellStart"/>
            <w:r w:rsidRPr="00AC1704">
              <w:rPr>
                <w:rFonts w:ascii="Verdana" w:hAnsi="Verdana"/>
                <w:sz w:val="20"/>
              </w:rPr>
              <w:t>mm.</w:t>
            </w:r>
            <w:proofErr w:type="spellEnd"/>
          </w:p>
        </w:tc>
      </w:tr>
      <w:tr w:rsidR="00AC1704" w:rsidRPr="00AC1704" w:rsidTr="00AC1704">
        <w:trPr>
          <w:trHeight w:val="354"/>
        </w:trPr>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lastRenderedPageBreak/>
              <w:t>Fracción 7304.39.99</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704" w:rsidRPr="00AC1704" w:rsidRDefault="00AC1704" w:rsidP="00AC1704">
            <w:pPr>
              <w:jc w:val="both"/>
              <w:rPr>
                <w:rFonts w:ascii="Verdana" w:hAnsi="Verdana"/>
                <w:sz w:val="20"/>
              </w:rPr>
            </w:pPr>
            <w:r w:rsidRPr="00AC1704">
              <w:rPr>
                <w:rFonts w:ascii="Verdana" w:hAnsi="Verdana"/>
                <w:sz w:val="20"/>
              </w:rPr>
              <w:t>Los demás.</w:t>
            </w:r>
          </w:p>
        </w:tc>
      </w:tr>
    </w:tbl>
    <w:p w:rsidR="00AC1704" w:rsidRPr="00AC1704" w:rsidRDefault="00AC1704" w:rsidP="00AC1704">
      <w:pPr>
        <w:jc w:val="both"/>
        <w:rPr>
          <w:rFonts w:ascii="Verdana" w:hAnsi="Verdana"/>
          <w:sz w:val="20"/>
        </w:rPr>
      </w:pPr>
      <w:r w:rsidRPr="00AC1704">
        <w:rPr>
          <w:rFonts w:ascii="Verdana" w:hAnsi="Verdana"/>
          <w:sz w:val="20"/>
        </w:rPr>
        <w:t>Fuente: Sistema de Información Arancelaria Vía Internet (SIAVI).</w:t>
      </w:r>
    </w:p>
    <w:p w:rsidR="00AC1704" w:rsidRPr="00AC1704" w:rsidRDefault="00AC1704" w:rsidP="00AC1704">
      <w:pPr>
        <w:jc w:val="both"/>
        <w:rPr>
          <w:rFonts w:ascii="Verdana" w:hAnsi="Verdana"/>
          <w:sz w:val="20"/>
        </w:rPr>
      </w:pPr>
      <w:r w:rsidRPr="00AC1704">
        <w:rPr>
          <w:rFonts w:ascii="Verdana" w:hAnsi="Verdana"/>
          <w:b/>
          <w:bCs/>
          <w:sz w:val="20"/>
        </w:rPr>
        <w:t>7.</w:t>
      </w:r>
      <w:r w:rsidRPr="00AC1704">
        <w:rPr>
          <w:rFonts w:ascii="Verdana" w:hAnsi="Verdana"/>
          <w:sz w:val="20"/>
        </w:rPr>
        <w:t> La unidad de medida que utiliza la TIGIE es el kilogramo, mientras que las operaciones comerciales pueden realizarse en kilogramos, toneladas métricas o cortas, metros, pies o piezas.</w:t>
      </w:r>
    </w:p>
    <w:p w:rsidR="00AC1704" w:rsidRPr="00AC1704" w:rsidRDefault="00AC1704" w:rsidP="00AC1704">
      <w:pPr>
        <w:jc w:val="both"/>
        <w:rPr>
          <w:rFonts w:ascii="Verdana" w:hAnsi="Verdana"/>
          <w:sz w:val="20"/>
        </w:rPr>
      </w:pPr>
      <w:r w:rsidRPr="00AC1704">
        <w:rPr>
          <w:rFonts w:ascii="Verdana" w:hAnsi="Verdana"/>
          <w:b/>
          <w:bCs/>
          <w:sz w:val="20"/>
        </w:rPr>
        <w:t>8.</w:t>
      </w:r>
      <w:r w:rsidRPr="00AC1704">
        <w:rPr>
          <w:rFonts w:ascii="Verdana" w:hAnsi="Verdana"/>
          <w:sz w:val="20"/>
        </w:rPr>
        <w:t> De acuerdo con el SIAVI y el "Decreto por el que se modifica la Tarifa de la Ley de los Impuestos Generales de Importación y de Exportación, y el Decreto por el que se establecen diversos programas de promoción sectorial", publicado en el DOF el 9 de febrero de 2010, las importaciones que ingresan por la fracción arancelaria 7304.31.99 quedaron libres de arancel; por su parte, las importaciones que ingresan por las fracciones arancelarias 7304.19.04, 7304.31.01, 7304.31.10 y 7304.39.01 están sujetas a un arancel ad </w:t>
      </w:r>
      <w:proofErr w:type="spellStart"/>
      <w:r w:rsidRPr="00AC1704">
        <w:rPr>
          <w:rFonts w:ascii="Verdana" w:hAnsi="Verdana"/>
          <w:sz w:val="20"/>
        </w:rPr>
        <w:t>valorem</w:t>
      </w:r>
      <w:proofErr w:type="spellEnd"/>
      <w:r w:rsidRPr="00AC1704">
        <w:rPr>
          <w:rFonts w:ascii="Verdana" w:hAnsi="Verdana"/>
          <w:sz w:val="20"/>
        </w:rPr>
        <w:t xml:space="preserve"> de 5%, a partir del primero de enero de 2012; conforme al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en el DOF el 5 de junio de 2018, las importaciones que ingresan por las fracciones arancelarias 7304.19.01, 7304.19.99, 7304.39.05 y 7304.39.99 están sujetas a un arancel ad </w:t>
      </w:r>
      <w:proofErr w:type="spellStart"/>
      <w:r w:rsidRPr="00AC1704">
        <w:rPr>
          <w:rFonts w:ascii="Verdana" w:hAnsi="Verdana"/>
          <w:sz w:val="20"/>
        </w:rPr>
        <w:t>valorem</w:t>
      </w:r>
      <w:proofErr w:type="spellEnd"/>
      <w:r w:rsidRPr="00AC1704">
        <w:rPr>
          <w:rFonts w:ascii="Verdana" w:hAnsi="Verdana"/>
          <w:sz w:val="20"/>
        </w:rPr>
        <w:t xml:space="preserve"> de 15%, a partir del 5 de junio de 2018 al 31 de enero de 2019.</w:t>
      </w:r>
    </w:p>
    <w:p w:rsidR="00AC1704" w:rsidRPr="00AC1704" w:rsidRDefault="00AC1704" w:rsidP="00AC1704">
      <w:pPr>
        <w:jc w:val="both"/>
        <w:rPr>
          <w:rFonts w:ascii="Verdana" w:hAnsi="Verdana"/>
          <w:sz w:val="20"/>
        </w:rPr>
      </w:pPr>
      <w:r w:rsidRPr="00AC1704">
        <w:rPr>
          <w:rFonts w:ascii="Verdana" w:hAnsi="Verdana"/>
          <w:b/>
          <w:bCs/>
          <w:sz w:val="20"/>
        </w:rPr>
        <w:t>9.</w:t>
      </w:r>
      <w:r w:rsidRPr="00AC1704">
        <w:rPr>
          <w:rFonts w:ascii="Verdana" w:hAnsi="Verdana"/>
          <w:sz w:val="20"/>
        </w:rPr>
        <w:t>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7304.19.01, 7304.19.04, 7304.19.99, 7304.31.01, 7304.31.10, 7304.31.99, 7304.39.01, 7304.39.05 y 7304.39.99 de la TIGIE, para efectos de monitoreo estadístico comercial cuando se destinen al régimen aduanero de importación definitiva.</w:t>
      </w:r>
    </w:p>
    <w:p w:rsidR="00AC1704" w:rsidRPr="00AC1704" w:rsidRDefault="00AC1704" w:rsidP="00AC1704">
      <w:pPr>
        <w:jc w:val="both"/>
        <w:rPr>
          <w:rFonts w:ascii="Verdana" w:hAnsi="Verdana"/>
          <w:sz w:val="20"/>
        </w:rPr>
      </w:pPr>
      <w:r w:rsidRPr="00AC1704">
        <w:rPr>
          <w:rFonts w:ascii="Verdana" w:hAnsi="Verdana"/>
          <w:b/>
          <w:bCs/>
          <w:sz w:val="20"/>
        </w:rPr>
        <w:t>3. Proceso productivo</w:t>
      </w:r>
    </w:p>
    <w:p w:rsidR="00AC1704" w:rsidRPr="00AC1704" w:rsidRDefault="00AC1704" w:rsidP="00AC1704">
      <w:pPr>
        <w:jc w:val="both"/>
        <w:rPr>
          <w:rFonts w:ascii="Verdana" w:hAnsi="Verdana"/>
          <w:sz w:val="20"/>
        </w:rPr>
      </w:pPr>
      <w:r w:rsidRPr="00AC1704">
        <w:rPr>
          <w:rFonts w:ascii="Verdana" w:hAnsi="Verdana"/>
          <w:b/>
          <w:bCs/>
          <w:sz w:val="20"/>
        </w:rPr>
        <w:t>10.</w:t>
      </w:r>
      <w:r w:rsidRPr="00AC1704">
        <w:rPr>
          <w:rFonts w:ascii="Verdana" w:hAnsi="Verdana"/>
          <w:sz w:val="20"/>
        </w:rPr>
        <w:t xml:space="preserve"> El proceso productivo de la tubería de acero sin costura inicia con la obtención del acero líquido. Este material se obtiene mediante dos procesos distintos: uno de ellos es la fundición mediante altos hornos (BF, por las siglas en inglés de </w:t>
      </w:r>
      <w:proofErr w:type="spellStart"/>
      <w:r w:rsidRPr="00AC1704">
        <w:rPr>
          <w:rFonts w:ascii="Verdana" w:hAnsi="Verdana"/>
          <w:sz w:val="20"/>
        </w:rPr>
        <w:t>Blast</w:t>
      </w:r>
      <w:proofErr w:type="spellEnd"/>
      <w:r w:rsidRPr="00AC1704">
        <w:rPr>
          <w:rFonts w:ascii="Verdana" w:hAnsi="Verdana"/>
          <w:sz w:val="20"/>
        </w:rPr>
        <w:t xml:space="preserve"> </w:t>
      </w:r>
      <w:proofErr w:type="spellStart"/>
      <w:r w:rsidRPr="00AC1704">
        <w:rPr>
          <w:rFonts w:ascii="Verdana" w:hAnsi="Verdana"/>
          <w:sz w:val="20"/>
        </w:rPr>
        <w:t>Furnace</w:t>
      </w:r>
      <w:proofErr w:type="spellEnd"/>
      <w:r w:rsidRPr="00AC1704">
        <w:rPr>
          <w:rFonts w:ascii="Verdana" w:hAnsi="Verdana"/>
          <w:sz w:val="20"/>
        </w:rPr>
        <w:t xml:space="preserve">) y la aceración al oxígeno en hornos convertidores al oxígeno (BOF, por las siglas en inglés de Basic </w:t>
      </w:r>
      <w:proofErr w:type="spellStart"/>
      <w:r w:rsidRPr="00AC1704">
        <w:rPr>
          <w:rFonts w:ascii="Verdana" w:hAnsi="Verdana"/>
          <w:sz w:val="20"/>
        </w:rPr>
        <w:t>Oxygen</w:t>
      </w:r>
      <w:proofErr w:type="spellEnd"/>
      <w:r w:rsidRPr="00AC1704">
        <w:rPr>
          <w:rFonts w:ascii="Verdana" w:hAnsi="Verdana"/>
          <w:sz w:val="20"/>
        </w:rPr>
        <w:t xml:space="preserve"> </w:t>
      </w:r>
      <w:proofErr w:type="spellStart"/>
      <w:r w:rsidRPr="00AC1704">
        <w:rPr>
          <w:rFonts w:ascii="Verdana" w:hAnsi="Verdana"/>
          <w:sz w:val="20"/>
        </w:rPr>
        <w:t>Furnace</w:t>
      </w:r>
      <w:proofErr w:type="spellEnd"/>
      <w:r w:rsidRPr="00AC1704">
        <w:rPr>
          <w:rFonts w:ascii="Verdana" w:hAnsi="Verdana"/>
          <w:sz w:val="20"/>
        </w:rPr>
        <w:t xml:space="preserve">); el otro, es la fundición en hornos de arco eléctrico (EAF, por las siglas en inglés de Electric </w:t>
      </w:r>
      <w:proofErr w:type="spellStart"/>
      <w:r w:rsidRPr="00AC1704">
        <w:rPr>
          <w:rFonts w:ascii="Verdana" w:hAnsi="Verdana"/>
          <w:sz w:val="20"/>
        </w:rPr>
        <w:t>Arc</w:t>
      </w:r>
      <w:proofErr w:type="spellEnd"/>
      <w:r w:rsidRPr="00AC1704">
        <w:rPr>
          <w:rFonts w:ascii="Verdana" w:hAnsi="Verdana"/>
          <w:sz w:val="20"/>
        </w:rPr>
        <w:t xml:space="preserve"> </w:t>
      </w:r>
      <w:proofErr w:type="spellStart"/>
      <w:r w:rsidRPr="00AC1704">
        <w:rPr>
          <w:rFonts w:ascii="Verdana" w:hAnsi="Verdana"/>
          <w:sz w:val="20"/>
        </w:rPr>
        <w:t>Furnace</w:t>
      </w:r>
      <w:proofErr w:type="spellEnd"/>
      <w:r w:rsidRPr="00AC1704">
        <w:rPr>
          <w:rFonts w:ascii="Verdana" w:hAnsi="Verdana"/>
          <w:sz w:val="20"/>
        </w:rPr>
        <w:t>).</w:t>
      </w:r>
    </w:p>
    <w:p w:rsidR="00AC1704" w:rsidRPr="00AC1704" w:rsidRDefault="00AC1704" w:rsidP="00AC1704">
      <w:pPr>
        <w:jc w:val="both"/>
        <w:rPr>
          <w:rFonts w:ascii="Verdana" w:hAnsi="Verdana"/>
          <w:sz w:val="20"/>
        </w:rPr>
      </w:pPr>
      <w:r w:rsidRPr="00AC1704">
        <w:rPr>
          <w:rFonts w:ascii="Verdana" w:hAnsi="Verdana"/>
          <w:b/>
          <w:bCs/>
          <w:sz w:val="20"/>
        </w:rPr>
        <w:t>11.</w:t>
      </w:r>
      <w:r w:rsidRPr="00AC1704">
        <w:rPr>
          <w:rFonts w:ascii="Verdana" w:hAnsi="Verdana"/>
          <w:sz w:val="20"/>
        </w:rPr>
        <w:t xml:space="preserve"> En el primero de estos procesos, el acero líquido se obtiene de la siguiente manera: el coque, fundentes y mineral de hierro se funden en el BF para obtener el arrabio o hierro de primera fusión; luego de transportar este material en carros termos se carga al horno BOF, que consiste en una olla llamada convertidor (cargada previamente con chatarra) y se inyecta oxígeno a alta presión para acelerar la reacción química que permite reducir el contenido de carbono en el arrabio líquido </w:t>
      </w:r>
      <w:r w:rsidRPr="00AC1704">
        <w:rPr>
          <w:rFonts w:ascii="Verdana" w:hAnsi="Verdana"/>
          <w:sz w:val="20"/>
        </w:rPr>
        <w:lastRenderedPageBreak/>
        <w:t>hasta los niveles que requiere el acero que se programó producir, así como para separar las impurezas como gases y escoria. Una vez refinado, el acero líquido se vacía en una olla y se agregan las ferroaleaciones, separándolo de la escoria. En el segundo proceso, en el EAF se mezcla chatarra, briquetas y ferroaleaciones; estos materiales se funden mediante el calor que suministra la energía eléctrica en forma de arco a partir de electrodos de grafito.</w:t>
      </w:r>
    </w:p>
    <w:p w:rsidR="00AC1704" w:rsidRPr="00AC1704" w:rsidRDefault="00AC1704" w:rsidP="00AC1704">
      <w:pPr>
        <w:jc w:val="both"/>
        <w:rPr>
          <w:rFonts w:ascii="Verdana" w:hAnsi="Verdana"/>
          <w:sz w:val="20"/>
        </w:rPr>
      </w:pPr>
      <w:r w:rsidRPr="00AC1704">
        <w:rPr>
          <w:rFonts w:ascii="Verdana" w:hAnsi="Verdana"/>
          <w:b/>
          <w:bCs/>
          <w:sz w:val="20"/>
        </w:rPr>
        <w:t>12.</w:t>
      </w:r>
      <w:r w:rsidRPr="00AC1704">
        <w:rPr>
          <w:rFonts w:ascii="Verdana" w:hAnsi="Verdana"/>
          <w:sz w:val="20"/>
        </w:rPr>
        <w:t xml:space="preserve"> El acero líquido que se obtiene por cualquiera de estos procesos de fundición se pasa por una máquina de colada continua, mediante la cual se produce una barra de acero (lingote o </w:t>
      </w:r>
      <w:proofErr w:type="spellStart"/>
      <w:r w:rsidRPr="00AC1704">
        <w:rPr>
          <w:rFonts w:ascii="Verdana" w:hAnsi="Verdana"/>
          <w:sz w:val="20"/>
        </w:rPr>
        <w:t>billet</w:t>
      </w:r>
      <w:proofErr w:type="spellEnd"/>
      <w:r w:rsidRPr="00AC1704">
        <w:rPr>
          <w:rFonts w:ascii="Verdana" w:hAnsi="Verdana"/>
          <w:sz w:val="20"/>
        </w:rPr>
        <w:t>) con un diámetro que dependerá de la tubería que se requiera fabricar; luego se corta y enfría.</w:t>
      </w:r>
    </w:p>
    <w:p w:rsidR="00AC1704" w:rsidRPr="00AC1704" w:rsidRDefault="00AC1704" w:rsidP="00AC1704">
      <w:pPr>
        <w:jc w:val="both"/>
        <w:rPr>
          <w:rFonts w:ascii="Verdana" w:hAnsi="Verdana"/>
          <w:sz w:val="20"/>
        </w:rPr>
      </w:pPr>
      <w:r w:rsidRPr="00AC1704">
        <w:rPr>
          <w:rFonts w:ascii="Verdana" w:hAnsi="Verdana"/>
          <w:b/>
          <w:bCs/>
          <w:sz w:val="20"/>
        </w:rPr>
        <w:t>13.</w:t>
      </w:r>
      <w:r w:rsidRPr="00AC1704">
        <w:rPr>
          <w:rFonts w:ascii="Verdana" w:hAnsi="Verdana"/>
          <w:sz w:val="20"/>
        </w:rPr>
        <w:t> El proceso para fabricar la tubería de acero sin costura se realiza mediante la laminación de la barra o lingote de acero, la cual se efectúa mediante las siguientes etapas:</w:t>
      </w:r>
    </w:p>
    <w:p w:rsidR="00AC1704" w:rsidRPr="00AC1704" w:rsidRDefault="00AC1704" w:rsidP="00AC1704">
      <w:pPr>
        <w:jc w:val="both"/>
        <w:rPr>
          <w:rFonts w:ascii="Verdana" w:hAnsi="Verdana"/>
          <w:sz w:val="20"/>
        </w:rPr>
      </w:pPr>
      <w:r w:rsidRPr="00AC1704">
        <w:rPr>
          <w:rFonts w:ascii="Verdana" w:hAnsi="Verdana"/>
          <w:b/>
          <w:bCs/>
          <w:sz w:val="20"/>
        </w:rPr>
        <w:t>a.</w:t>
      </w:r>
      <w:r w:rsidRPr="00AC1704">
        <w:rPr>
          <w:rFonts w:ascii="Verdana" w:hAnsi="Verdana"/>
          <w:sz w:val="20"/>
        </w:rPr>
        <w:t>     la barra o lingote se calienta en un horno giratorio (precalentamiento);</w:t>
      </w:r>
    </w:p>
    <w:p w:rsidR="00AC1704" w:rsidRPr="00AC1704" w:rsidRDefault="00AC1704" w:rsidP="00AC1704">
      <w:pPr>
        <w:jc w:val="both"/>
        <w:rPr>
          <w:rFonts w:ascii="Verdana" w:hAnsi="Verdana"/>
          <w:sz w:val="20"/>
        </w:rPr>
      </w:pPr>
      <w:r w:rsidRPr="00AC1704">
        <w:rPr>
          <w:rFonts w:ascii="Verdana" w:hAnsi="Verdana"/>
          <w:b/>
          <w:bCs/>
          <w:sz w:val="20"/>
        </w:rPr>
        <w:t>b.</w:t>
      </w:r>
      <w:r w:rsidRPr="00AC1704">
        <w:rPr>
          <w:rFonts w:ascii="Verdana" w:hAnsi="Verdana"/>
          <w:sz w:val="20"/>
        </w:rPr>
        <w:t>    las barras calientes pasan por el "laminador a mandril retenido", donde se perforan y ajustan al diámetro y espesor del tubo que se requiere fabricar (de 2" a 4" de diámetro);</w:t>
      </w:r>
    </w:p>
    <w:p w:rsidR="00AC1704" w:rsidRPr="00AC1704" w:rsidRDefault="00AC1704" w:rsidP="00AC1704">
      <w:pPr>
        <w:jc w:val="both"/>
        <w:rPr>
          <w:rFonts w:ascii="Verdana" w:hAnsi="Verdana"/>
          <w:sz w:val="20"/>
        </w:rPr>
      </w:pPr>
      <w:r w:rsidRPr="00AC1704">
        <w:rPr>
          <w:rFonts w:ascii="Verdana" w:hAnsi="Verdana"/>
          <w:b/>
          <w:bCs/>
          <w:sz w:val="20"/>
        </w:rPr>
        <w:t>c.</w:t>
      </w:r>
      <w:r w:rsidRPr="00AC1704">
        <w:rPr>
          <w:rFonts w:ascii="Verdana" w:hAnsi="Verdana"/>
          <w:sz w:val="20"/>
        </w:rPr>
        <w:t>     el tubo se corta en la dimensión que se requiere, se enfría y se inspecciona para detectar posibles defectos;</w:t>
      </w:r>
    </w:p>
    <w:p w:rsidR="00AC1704" w:rsidRPr="00AC1704" w:rsidRDefault="00AC1704" w:rsidP="00AC1704">
      <w:pPr>
        <w:jc w:val="both"/>
        <w:rPr>
          <w:rFonts w:ascii="Verdana" w:hAnsi="Verdana"/>
          <w:sz w:val="20"/>
        </w:rPr>
      </w:pPr>
      <w:r w:rsidRPr="00AC1704">
        <w:rPr>
          <w:rFonts w:ascii="Verdana" w:hAnsi="Verdana"/>
          <w:b/>
          <w:bCs/>
          <w:sz w:val="20"/>
        </w:rPr>
        <w:t>d.</w:t>
      </w:r>
      <w:r w:rsidRPr="00AC1704">
        <w:rPr>
          <w:rFonts w:ascii="Verdana" w:hAnsi="Verdana"/>
          <w:sz w:val="20"/>
        </w:rPr>
        <w:t>    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AC1704" w:rsidRPr="00AC1704" w:rsidRDefault="00AC1704" w:rsidP="00AC1704">
      <w:pPr>
        <w:jc w:val="both"/>
        <w:rPr>
          <w:rFonts w:ascii="Verdana" w:hAnsi="Verdana"/>
          <w:sz w:val="20"/>
        </w:rPr>
      </w:pPr>
      <w:r w:rsidRPr="00AC1704">
        <w:rPr>
          <w:rFonts w:ascii="Verdana" w:hAnsi="Verdana"/>
          <w:b/>
          <w:bCs/>
          <w:sz w:val="20"/>
        </w:rPr>
        <w:t>e.</w:t>
      </w:r>
      <w:r w:rsidRPr="00AC1704">
        <w:rPr>
          <w:rFonts w:ascii="Verdana" w:hAnsi="Verdana"/>
          <w:sz w:val="20"/>
        </w:rPr>
        <w:t>     finalmente, en ambos extremos del tubo se coloca grasa y protectores para evitar corrosión y daños durante el transporte de dicho producto.</w:t>
      </w:r>
    </w:p>
    <w:p w:rsidR="00AC1704" w:rsidRPr="00AC1704" w:rsidRDefault="00AC1704" w:rsidP="00AC1704">
      <w:pPr>
        <w:jc w:val="both"/>
        <w:rPr>
          <w:rFonts w:ascii="Verdana" w:hAnsi="Verdana"/>
          <w:sz w:val="20"/>
        </w:rPr>
      </w:pPr>
      <w:r w:rsidRPr="00AC1704">
        <w:rPr>
          <w:rFonts w:ascii="Verdana" w:hAnsi="Verdana"/>
          <w:b/>
          <w:bCs/>
          <w:sz w:val="20"/>
        </w:rPr>
        <w:t>14.</w:t>
      </w:r>
      <w:r w:rsidRPr="00AC1704">
        <w:rPr>
          <w:rFonts w:ascii="Verdana" w:hAnsi="Verdana"/>
          <w:sz w:val="20"/>
        </w:rPr>
        <w:t> Además de la materia prima para obtener el acero líquido, otros insumos que se emplean en la producción de la tubería de acero sin costura son electrodos (si el proceso para obtener el acero es mediante EAF), ferroaleaciones, refractarios, energía eléctrica, gas natural, equipos de laminación, protectores de bisel, pinturas y barnices.</w:t>
      </w:r>
    </w:p>
    <w:p w:rsidR="00AC1704" w:rsidRPr="00AC1704" w:rsidRDefault="00AC1704" w:rsidP="00AC1704">
      <w:pPr>
        <w:jc w:val="both"/>
        <w:rPr>
          <w:rFonts w:ascii="Verdana" w:hAnsi="Verdana"/>
          <w:sz w:val="20"/>
        </w:rPr>
      </w:pPr>
      <w:r w:rsidRPr="00AC1704">
        <w:rPr>
          <w:rFonts w:ascii="Verdana" w:hAnsi="Verdana"/>
          <w:b/>
          <w:bCs/>
          <w:sz w:val="20"/>
        </w:rPr>
        <w:t>4. Normas</w:t>
      </w:r>
    </w:p>
    <w:p w:rsidR="00AC1704" w:rsidRPr="00AC1704" w:rsidRDefault="00AC1704" w:rsidP="00AC1704">
      <w:pPr>
        <w:jc w:val="both"/>
        <w:rPr>
          <w:rFonts w:ascii="Verdana" w:hAnsi="Verdana"/>
          <w:sz w:val="20"/>
        </w:rPr>
      </w:pPr>
      <w:r w:rsidRPr="00AC1704">
        <w:rPr>
          <w:rFonts w:ascii="Verdana" w:hAnsi="Verdana"/>
          <w:b/>
          <w:bCs/>
          <w:sz w:val="20"/>
        </w:rPr>
        <w:t>15.</w:t>
      </w:r>
      <w:r w:rsidRPr="00AC1704">
        <w:rPr>
          <w:rFonts w:ascii="Verdana" w:hAnsi="Verdana"/>
          <w:sz w:val="20"/>
        </w:rPr>
        <w:t xml:space="preserve"> El producto objeto de examen se fabrica con especificaciones de las siguientes normas: la tubería para conducción, conforme a las normas A53/A 53M-07 de la Sociedad Americana para Pruebas y Materiales (ASTM, por las siglas en inglés de American </w:t>
      </w:r>
      <w:proofErr w:type="spellStart"/>
      <w:r w:rsidRPr="00AC1704">
        <w:rPr>
          <w:rFonts w:ascii="Verdana" w:hAnsi="Verdana"/>
          <w:sz w:val="20"/>
        </w:rPr>
        <w:t>Society</w:t>
      </w:r>
      <w:proofErr w:type="spellEnd"/>
      <w:r w:rsidRPr="00AC1704">
        <w:rPr>
          <w:rFonts w:ascii="Verdana" w:hAnsi="Verdana"/>
          <w:sz w:val="20"/>
        </w:rPr>
        <w:t xml:space="preserve"> </w:t>
      </w:r>
      <w:proofErr w:type="spellStart"/>
      <w:r w:rsidRPr="00AC1704">
        <w:rPr>
          <w:rFonts w:ascii="Verdana" w:hAnsi="Verdana"/>
          <w:sz w:val="20"/>
        </w:rPr>
        <w:t>for</w:t>
      </w:r>
      <w:proofErr w:type="spellEnd"/>
      <w:r w:rsidRPr="00AC1704">
        <w:rPr>
          <w:rFonts w:ascii="Verdana" w:hAnsi="Verdana"/>
          <w:sz w:val="20"/>
        </w:rPr>
        <w:t xml:space="preserve"> </w:t>
      </w:r>
      <w:proofErr w:type="spellStart"/>
      <w:r w:rsidRPr="00AC1704">
        <w:rPr>
          <w:rFonts w:ascii="Verdana" w:hAnsi="Verdana"/>
          <w:sz w:val="20"/>
        </w:rPr>
        <w:t>Testing</w:t>
      </w:r>
      <w:proofErr w:type="spellEnd"/>
      <w:r w:rsidRPr="00AC1704">
        <w:rPr>
          <w:rFonts w:ascii="Verdana" w:hAnsi="Verdana"/>
          <w:sz w:val="20"/>
        </w:rPr>
        <w:t xml:space="preserve"> and </w:t>
      </w:r>
      <w:proofErr w:type="spellStart"/>
      <w:r w:rsidRPr="00AC1704">
        <w:rPr>
          <w:rFonts w:ascii="Verdana" w:hAnsi="Verdana"/>
          <w:sz w:val="20"/>
        </w:rPr>
        <w:t>Materials</w:t>
      </w:r>
      <w:proofErr w:type="spellEnd"/>
      <w:r w:rsidRPr="00AC1704">
        <w:rPr>
          <w:rFonts w:ascii="Verdana" w:hAnsi="Verdana"/>
          <w:sz w:val="20"/>
        </w:rPr>
        <w:t xml:space="preserve">) y la Especificación 5L del Instituto Americano del Petróleo (API, por las siglas en inglés de American </w:t>
      </w:r>
      <w:proofErr w:type="spellStart"/>
      <w:r w:rsidRPr="00AC1704">
        <w:rPr>
          <w:rFonts w:ascii="Verdana" w:hAnsi="Verdana"/>
          <w:sz w:val="20"/>
        </w:rPr>
        <w:t>Petroleum</w:t>
      </w:r>
      <w:proofErr w:type="spellEnd"/>
      <w:r w:rsidRPr="00AC1704">
        <w:rPr>
          <w:rFonts w:ascii="Verdana" w:hAnsi="Verdana"/>
          <w:sz w:val="20"/>
        </w:rPr>
        <w:t xml:space="preserve"> </w:t>
      </w:r>
      <w:proofErr w:type="spellStart"/>
      <w:r w:rsidRPr="00AC1704">
        <w:rPr>
          <w:rFonts w:ascii="Verdana" w:hAnsi="Verdana"/>
          <w:sz w:val="20"/>
        </w:rPr>
        <w:t>Institute</w:t>
      </w:r>
      <w:proofErr w:type="spellEnd"/>
      <w:r w:rsidRPr="00AC1704">
        <w:rPr>
          <w:rFonts w:ascii="Verdana" w:hAnsi="Verdana"/>
          <w:sz w:val="20"/>
        </w:rPr>
        <w:t>), en adelante API 5L; la tubería de presión, bajo la norma A106/A 106M-06a de la ASTM; la tubería de línea, de acuerdo</w:t>
      </w:r>
    </w:p>
    <w:p w:rsidR="00AC1704" w:rsidRPr="00AC1704" w:rsidRDefault="00AC1704" w:rsidP="00AC1704">
      <w:pPr>
        <w:jc w:val="both"/>
        <w:rPr>
          <w:rFonts w:ascii="Verdana" w:hAnsi="Verdana"/>
          <w:sz w:val="20"/>
        </w:rPr>
      </w:pPr>
      <w:proofErr w:type="gramStart"/>
      <w:r w:rsidRPr="00AC1704">
        <w:rPr>
          <w:rFonts w:ascii="Verdana" w:hAnsi="Verdana"/>
          <w:sz w:val="20"/>
        </w:rPr>
        <w:lastRenderedPageBreak/>
        <w:t>con</w:t>
      </w:r>
      <w:proofErr w:type="gramEnd"/>
      <w:r w:rsidRPr="00AC1704">
        <w:rPr>
          <w:rFonts w:ascii="Verdana" w:hAnsi="Verdana"/>
          <w:sz w:val="20"/>
        </w:rPr>
        <w:t xml:space="preserve"> la norma API 5L, y la tubería estructural, conforme a la norma A501-99 de la ASTM. Asimismo, la tubería objeto de examen puede fabricarse mediante "normas propietarias", las cuales son creadas específicamente para un cliente en particular, de tal manera que, incluso, podrían ser más restrictivas que las normas mencionadas.</w:t>
      </w:r>
    </w:p>
    <w:p w:rsidR="00AC1704" w:rsidRPr="00AC1704" w:rsidRDefault="00AC1704" w:rsidP="00AC1704">
      <w:pPr>
        <w:jc w:val="both"/>
        <w:rPr>
          <w:rFonts w:ascii="Verdana" w:hAnsi="Verdana"/>
          <w:sz w:val="20"/>
        </w:rPr>
      </w:pPr>
      <w:r w:rsidRPr="00AC1704">
        <w:rPr>
          <w:rFonts w:ascii="Verdana" w:hAnsi="Verdana"/>
          <w:b/>
          <w:bCs/>
          <w:sz w:val="20"/>
        </w:rPr>
        <w:t>16.</w:t>
      </w:r>
      <w:r w:rsidRPr="00AC1704">
        <w:rPr>
          <w:rFonts w:ascii="Verdana" w:hAnsi="Verdana"/>
          <w:sz w:val="20"/>
        </w:rPr>
        <w:t> La tubería de acero sin costura normalmente se produce conforme especificaciones de dos, tres o incluso de cuatro normas, de modo que una tubería puede cumplir las normas A53/A 53M-07 y A106/A 106M-06a y, por tanto, denominarse "</w:t>
      </w:r>
      <w:proofErr w:type="spellStart"/>
      <w:r w:rsidRPr="00AC1704">
        <w:rPr>
          <w:rFonts w:ascii="Verdana" w:hAnsi="Verdana"/>
          <w:sz w:val="20"/>
        </w:rPr>
        <w:t>binorma</w:t>
      </w:r>
      <w:proofErr w:type="spellEnd"/>
      <w:r w:rsidRPr="00AC1704">
        <w:rPr>
          <w:rFonts w:ascii="Verdana" w:hAnsi="Verdana"/>
          <w:sz w:val="20"/>
        </w:rPr>
        <w:t>", que podría considerarse "</w:t>
      </w:r>
      <w:proofErr w:type="spellStart"/>
      <w:r w:rsidRPr="00AC1704">
        <w:rPr>
          <w:rFonts w:ascii="Verdana" w:hAnsi="Verdana"/>
          <w:sz w:val="20"/>
        </w:rPr>
        <w:t>trinorma</w:t>
      </w:r>
      <w:proofErr w:type="spellEnd"/>
      <w:r w:rsidRPr="00AC1704">
        <w:rPr>
          <w:rFonts w:ascii="Verdana" w:hAnsi="Verdana"/>
          <w:sz w:val="20"/>
        </w:rPr>
        <w:t>" si, además, cumple con los requisitos de la norma API 5L. Una tubería "</w:t>
      </w:r>
      <w:proofErr w:type="spellStart"/>
      <w:r w:rsidRPr="00AC1704">
        <w:rPr>
          <w:rFonts w:ascii="Verdana" w:hAnsi="Verdana"/>
          <w:sz w:val="20"/>
        </w:rPr>
        <w:t>trinorma"puede</w:t>
      </w:r>
      <w:proofErr w:type="spellEnd"/>
      <w:r w:rsidRPr="00AC1704">
        <w:rPr>
          <w:rFonts w:ascii="Verdana" w:hAnsi="Verdana"/>
          <w:sz w:val="20"/>
        </w:rPr>
        <w:t xml:space="preserve"> clasificarse como tubería de conducción, o bien, de presión o de línea. Una tubería "</w:t>
      </w:r>
      <w:proofErr w:type="spellStart"/>
      <w:r w:rsidRPr="00AC1704">
        <w:rPr>
          <w:rFonts w:ascii="Verdana" w:hAnsi="Verdana"/>
          <w:sz w:val="20"/>
        </w:rPr>
        <w:t>trinorma</w:t>
      </w:r>
      <w:proofErr w:type="spellEnd"/>
      <w:r w:rsidRPr="00AC1704">
        <w:rPr>
          <w:rFonts w:ascii="Verdana" w:hAnsi="Verdana"/>
          <w:sz w:val="20"/>
        </w:rPr>
        <w:t>" comúnmente se utiliza como tubería estructural, cuando se destina a instalaciones petroleras o en la construcción de puentes y estructuras arquitectónicas complejas.</w:t>
      </w:r>
    </w:p>
    <w:p w:rsidR="00AC1704" w:rsidRPr="00AC1704" w:rsidRDefault="00AC1704" w:rsidP="00AC1704">
      <w:pPr>
        <w:jc w:val="both"/>
        <w:rPr>
          <w:rFonts w:ascii="Verdana" w:hAnsi="Verdana"/>
          <w:sz w:val="20"/>
        </w:rPr>
      </w:pPr>
      <w:r w:rsidRPr="00AC1704">
        <w:rPr>
          <w:rFonts w:ascii="Verdana" w:hAnsi="Verdana"/>
          <w:b/>
          <w:bCs/>
          <w:sz w:val="20"/>
        </w:rPr>
        <w:t>5. Usos y funciones</w:t>
      </w:r>
    </w:p>
    <w:p w:rsidR="00AC1704" w:rsidRPr="00AC1704" w:rsidRDefault="00AC1704" w:rsidP="00AC1704">
      <w:pPr>
        <w:jc w:val="both"/>
        <w:rPr>
          <w:rFonts w:ascii="Verdana" w:hAnsi="Verdana"/>
          <w:sz w:val="20"/>
        </w:rPr>
      </w:pPr>
      <w:r w:rsidRPr="00AC1704">
        <w:rPr>
          <w:rFonts w:ascii="Verdana" w:hAnsi="Verdana"/>
          <w:b/>
          <w:bCs/>
          <w:sz w:val="20"/>
        </w:rPr>
        <w:t>17.</w:t>
      </w:r>
      <w:r w:rsidRPr="00AC1704">
        <w:rPr>
          <w:rFonts w:ascii="Verdana" w:hAnsi="Verdana"/>
          <w:sz w:val="20"/>
        </w:rPr>
        <w:t> La función principal de la tubería objeto de examen es la conducción de agua, vapor, gas, aire, hidrocarburos, fluidos químicos, así como soporte en estructuras tubulares en la industria de la construcción, tales como, estadios, puentes, aeropuertos y unidades industriales.</w:t>
      </w:r>
    </w:p>
    <w:p w:rsidR="00AC1704" w:rsidRPr="00AC1704" w:rsidRDefault="00AC1704" w:rsidP="00AC1704">
      <w:pPr>
        <w:jc w:val="both"/>
        <w:rPr>
          <w:rFonts w:ascii="Verdana" w:hAnsi="Verdana"/>
          <w:sz w:val="20"/>
        </w:rPr>
      </w:pPr>
      <w:r w:rsidRPr="00AC1704">
        <w:rPr>
          <w:rFonts w:ascii="Verdana" w:hAnsi="Verdana"/>
          <w:b/>
          <w:bCs/>
          <w:sz w:val="20"/>
        </w:rPr>
        <w:t>E. Posibles partes interesadas</w:t>
      </w:r>
    </w:p>
    <w:p w:rsidR="00AC1704" w:rsidRPr="00AC1704" w:rsidRDefault="00AC1704" w:rsidP="00AC1704">
      <w:pPr>
        <w:jc w:val="both"/>
        <w:rPr>
          <w:rFonts w:ascii="Verdana" w:hAnsi="Verdana"/>
          <w:sz w:val="20"/>
        </w:rPr>
      </w:pPr>
      <w:r w:rsidRPr="00AC1704">
        <w:rPr>
          <w:rFonts w:ascii="Verdana" w:hAnsi="Verdana"/>
          <w:b/>
          <w:bCs/>
          <w:sz w:val="20"/>
        </w:rPr>
        <w:t>18.</w:t>
      </w:r>
      <w:r w:rsidRPr="00AC1704">
        <w:rPr>
          <w:rFonts w:ascii="Verdana" w:hAnsi="Verdana"/>
          <w:sz w:val="20"/>
        </w:rPr>
        <w:t> Las partes de que la Secretaría tiene conocimiento, son las siguientes:</w:t>
      </w:r>
    </w:p>
    <w:p w:rsidR="00AC1704" w:rsidRPr="00AC1704" w:rsidRDefault="00AC1704" w:rsidP="00AC1704">
      <w:pPr>
        <w:jc w:val="both"/>
        <w:rPr>
          <w:rFonts w:ascii="Verdana" w:hAnsi="Verdana"/>
          <w:sz w:val="20"/>
        </w:rPr>
      </w:pPr>
      <w:r w:rsidRPr="00AC1704">
        <w:rPr>
          <w:rFonts w:ascii="Verdana" w:hAnsi="Verdana"/>
          <w:b/>
          <w:bCs/>
          <w:sz w:val="20"/>
        </w:rPr>
        <w:t>1. Productora nacional</w:t>
      </w:r>
    </w:p>
    <w:p w:rsidR="00AC1704" w:rsidRPr="00AC1704" w:rsidRDefault="00AC1704" w:rsidP="00AC1704">
      <w:pPr>
        <w:jc w:val="both"/>
        <w:rPr>
          <w:rFonts w:ascii="Verdana" w:hAnsi="Verdana"/>
          <w:sz w:val="20"/>
        </w:rPr>
      </w:pPr>
      <w:r w:rsidRPr="00AC1704">
        <w:rPr>
          <w:rFonts w:ascii="Verdana" w:hAnsi="Verdana"/>
          <w:sz w:val="20"/>
        </w:rPr>
        <w:t>Tubos de Acero de México, S.A.</w:t>
      </w:r>
    </w:p>
    <w:p w:rsidR="00AC1704" w:rsidRPr="00AC1704" w:rsidRDefault="00AC1704" w:rsidP="00AC1704">
      <w:pPr>
        <w:jc w:val="both"/>
        <w:rPr>
          <w:rFonts w:ascii="Verdana" w:hAnsi="Verdana"/>
          <w:sz w:val="20"/>
        </w:rPr>
      </w:pPr>
      <w:r w:rsidRPr="00AC1704">
        <w:rPr>
          <w:rFonts w:ascii="Verdana" w:hAnsi="Verdana"/>
          <w:sz w:val="20"/>
        </w:rPr>
        <w:t>Campos Elíseos No. 400, piso 17</w:t>
      </w:r>
    </w:p>
    <w:p w:rsidR="00AC1704" w:rsidRPr="00AC1704" w:rsidRDefault="00AC1704" w:rsidP="00AC1704">
      <w:pPr>
        <w:jc w:val="both"/>
        <w:rPr>
          <w:rFonts w:ascii="Verdana" w:hAnsi="Verdana"/>
          <w:sz w:val="20"/>
        </w:rPr>
      </w:pPr>
      <w:r w:rsidRPr="00AC1704">
        <w:rPr>
          <w:rFonts w:ascii="Verdana" w:hAnsi="Verdana"/>
          <w:sz w:val="20"/>
        </w:rPr>
        <w:t>Col. Chapultepec Polanco</w:t>
      </w:r>
    </w:p>
    <w:p w:rsidR="00AC1704" w:rsidRPr="00AC1704" w:rsidRDefault="00AC1704" w:rsidP="00AC1704">
      <w:pPr>
        <w:jc w:val="both"/>
        <w:rPr>
          <w:rFonts w:ascii="Verdana" w:hAnsi="Verdana"/>
          <w:sz w:val="20"/>
        </w:rPr>
      </w:pPr>
      <w:r w:rsidRPr="00AC1704">
        <w:rPr>
          <w:rFonts w:ascii="Verdana" w:hAnsi="Verdana"/>
          <w:sz w:val="20"/>
        </w:rPr>
        <w:t>C.P. 11560, Ciudad de México</w:t>
      </w:r>
    </w:p>
    <w:p w:rsidR="00AC1704" w:rsidRPr="00AC1704" w:rsidRDefault="00AC1704" w:rsidP="00AC1704">
      <w:pPr>
        <w:jc w:val="both"/>
        <w:rPr>
          <w:rFonts w:ascii="Verdana" w:hAnsi="Verdana"/>
          <w:sz w:val="20"/>
        </w:rPr>
      </w:pPr>
      <w:r w:rsidRPr="00AC1704">
        <w:rPr>
          <w:rFonts w:ascii="Verdana" w:hAnsi="Verdana"/>
          <w:b/>
          <w:bCs/>
          <w:sz w:val="20"/>
        </w:rPr>
        <w:t>2. Importadora</w:t>
      </w:r>
    </w:p>
    <w:p w:rsidR="00AC1704" w:rsidRPr="00AC1704" w:rsidRDefault="00AC1704" w:rsidP="00AC1704">
      <w:pPr>
        <w:jc w:val="both"/>
        <w:rPr>
          <w:rFonts w:ascii="Verdana" w:hAnsi="Verdana"/>
          <w:sz w:val="20"/>
        </w:rPr>
      </w:pPr>
      <w:r w:rsidRPr="00AC1704">
        <w:rPr>
          <w:rFonts w:ascii="Verdana" w:hAnsi="Verdana"/>
          <w:sz w:val="20"/>
        </w:rPr>
        <w:t>Tubos y Barras Huecas, S.A. de C.V.</w:t>
      </w:r>
    </w:p>
    <w:p w:rsidR="00AC1704" w:rsidRPr="00AC1704" w:rsidRDefault="00AC1704" w:rsidP="00AC1704">
      <w:pPr>
        <w:jc w:val="both"/>
        <w:rPr>
          <w:rFonts w:ascii="Verdana" w:hAnsi="Verdana"/>
          <w:sz w:val="20"/>
        </w:rPr>
      </w:pPr>
      <w:r w:rsidRPr="00AC1704">
        <w:rPr>
          <w:rFonts w:ascii="Verdana" w:hAnsi="Verdana"/>
          <w:sz w:val="20"/>
        </w:rPr>
        <w:t>Henry Ford No. 1 y 7</w:t>
      </w:r>
    </w:p>
    <w:p w:rsidR="00AC1704" w:rsidRPr="00AC1704" w:rsidRDefault="00AC1704" w:rsidP="00AC1704">
      <w:pPr>
        <w:jc w:val="both"/>
        <w:rPr>
          <w:rFonts w:ascii="Verdana" w:hAnsi="Verdana"/>
          <w:sz w:val="20"/>
        </w:rPr>
      </w:pPr>
      <w:r w:rsidRPr="00AC1704">
        <w:rPr>
          <w:rFonts w:ascii="Verdana" w:hAnsi="Verdana"/>
          <w:sz w:val="20"/>
        </w:rPr>
        <w:t xml:space="preserve">Col. </w:t>
      </w:r>
      <w:proofErr w:type="spellStart"/>
      <w:r w:rsidRPr="00AC1704">
        <w:rPr>
          <w:rFonts w:ascii="Verdana" w:hAnsi="Verdana"/>
          <w:sz w:val="20"/>
        </w:rPr>
        <w:t>Fracc</w:t>
      </w:r>
      <w:proofErr w:type="spellEnd"/>
      <w:r w:rsidRPr="00AC1704">
        <w:rPr>
          <w:rFonts w:ascii="Verdana" w:hAnsi="Verdana"/>
          <w:sz w:val="20"/>
        </w:rPr>
        <w:t>. Industrial San Nicolás</w:t>
      </w:r>
    </w:p>
    <w:p w:rsidR="00AC1704" w:rsidRPr="00AC1704" w:rsidRDefault="00AC1704" w:rsidP="00AC1704">
      <w:pPr>
        <w:jc w:val="both"/>
        <w:rPr>
          <w:rFonts w:ascii="Verdana" w:hAnsi="Verdana"/>
          <w:sz w:val="20"/>
        </w:rPr>
      </w:pPr>
      <w:r w:rsidRPr="00AC1704">
        <w:rPr>
          <w:rFonts w:ascii="Verdana" w:hAnsi="Verdana"/>
          <w:sz w:val="20"/>
        </w:rPr>
        <w:t>C.P. 54000, Tlalnepantla, Estado de México</w:t>
      </w:r>
    </w:p>
    <w:p w:rsidR="00AC1704" w:rsidRPr="00AC1704" w:rsidRDefault="00AC1704" w:rsidP="00AC1704">
      <w:pPr>
        <w:jc w:val="both"/>
        <w:rPr>
          <w:rFonts w:ascii="Verdana" w:hAnsi="Verdana"/>
          <w:b/>
          <w:bCs/>
          <w:sz w:val="20"/>
        </w:rPr>
      </w:pPr>
      <w:r w:rsidRPr="00AC1704">
        <w:rPr>
          <w:rFonts w:ascii="Verdana" w:hAnsi="Verdana"/>
          <w:b/>
          <w:bCs/>
          <w:sz w:val="20"/>
        </w:rPr>
        <w:t>CONSIDERANDOS</w:t>
      </w:r>
    </w:p>
    <w:p w:rsidR="00AC1704" w:rsidRPr="00AC1704" w:rsidRDefault="00AC1704" w:rsidP="00AC1704">
      <w:pPr>
        <w:jc w:val="both"/>
        <w:rPr>
          <w:rFonts w:ascii="Verdana" w:hAnsi="Verdana"/>
          <w:sz w:val="20"/>
        </w:rPr>
      </w:pPr>
      <w:r w:rsidRPr="00AC1704">
        <w:rPr>
          <w:rFonts w:ascii="Verdana" w:hAnsi="Verdana"/>
          <w:b/>
          <w:bCs/>
          <w:sz w:val="20"/>
        </w:rPr>
        <w:t>F. Competencia</w:t>
      </w:r>
    </w:p>
    <w:p w:rsidR="00AC1704" w:rsidRPr="00AC1704" w:rsidRDefault="00AC1704" w:rsidP="00AC1704">
      <w:pPr>
        <w:jc w:val="both"/>
        <w:rPr>
          <w:rFonts w:ascii="Verdana" w:hAnsi="Verdana"/>
          <w:sz w:val="20"/>
        </w:rPr>
      </w:pPr>
      <w:r w:rsidRPr="00AC1704">
        <w:rPr>
          <w:rFonts w:ascii="Verdana" w:hAnsi="Verdana"/>
          <w:b/>
          <w:bCs/>
          <w:sz w:val="20"/>
        </w:rPr>
        <w:t>19.</w:t>
      </w:r>
      <w:r w:rsidRPr="00AC1704">
        <w:rPr>
          <w:rFonts w:ascii="Verdana" w:hAnsi="Verdana"/>
          <w:sz w:val="20"/>
        </w:rPr>
        <w:t xml:space="preserve"> La Secretaría es competente para emitir la presente Resolución, conforme a lo dispuesto en los artículos 16 y 34 fracciones V y XXXIII de la Ley Orgánica de la </w:t>
      </w:r>
      <w:r w:rsidRPr="00AC1704">
        <w:rPr>
          <w:rFonts w:ascii="Verdana" w:hAnsi="Verdana"/>
          <w:sz w:val="20"/>
        </w:rPr>
        <w:lastRenderedPageBreak/>
        <w:t>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AC1704" w:rsidRPr="00AC1704" w:rsidRDefault="00AC1704" w:rsidP="00AC1704">
      <w:pPr>
        <w:jc w:val="both"/>
        <w:rPr>
          <w:rFonts w:ascii="Verdana" w:hAnsi="Verdana"/>
          <w:sz w:val="20"/>
        </w:rPr>
      </w:pPr>
      <w:r w:rsidRPr="00AC1704">
        <w:rPr>
          <w:rFonts w:ascii="Verdana" w:hAnsi="Verdana"/>
          <w:b/>
          <w:bCs/>
          <w:sz w:val="20"/>
        </w:rPr>
        <w:t>G. Legislación aplicable</w:t>
      </w:r>
    </w:p>
    <w:p w:rsidR="00AC1704" w:rsidRPr="00AC1704" w:rsidRDefault="00AC1704" w:rsidP="00AC1704">
      <w:pPr>
        <w:jc w:val="both"/>
        <w:rPr>
          <w:rFonts w:ascii="Verdana" w:hAnsi="Verdana"/>
          <w:sz w:val="20"/>
        </w:rPr>
      </w:pPr>
      <w:r w:rsidRPr="00AC1704">
        <w:rPr>
          <w:rFonts w:ascii="Verdana" w:hAnsi="Verdana"/>
          <w:b/>
          <w:bCs/>
          <w:sz w:val="20"/>
        </w:rPr>
        <w:t>20.</w:t>
      </w:r>
      <w:r w:rsidRPr="00AC1704">
        <w:rPr>
          <w:rFonts w:ascii="Verdana" w:hAnsi="Verdana"/>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AC1704" w:rsidRPr="00AC1704" w:rsidRDefault="00AC1704" w:rsidP="00AC1704">
      <w:pPr>
        <w:jc w:val="both"/>
        <w:rPr>
          <w:rFonts w:ascii="Verdana" w:hAnsi="Verdana"/>
          <w:sz w:val="20"/>
        </w:rPr>
      </w:pPr>
      <w:r w:rsidRPr="00AC1704">
        <w:rPr>
          <w:rFonts w:ascii="Verdana" w:hAnsi="Verdana"/>
          <w:b/>
          <w:bCs/>
          <w:sz w:val="20"/>
        </w:rPr>
        <w:t>H. Protección de la información confidencial</w:t>
      </w:r>
    </w:p>
    <w:p w:rsidR="00AC1704" w:rsidRPr="00AC1704" w:rsidRDefault="00AC1704" w:rsidP="00AC1704">
      <w:pPr>
        <w:jc w:val="both"/>
        <w:rPr>
          <w:rFonts w:ascii="Verdana" w:hAnsi="Verdana"/>
          <w:sz w:val="20"/>
        </w:rPr>
      </w:pPr>
      <w:r w:rsidRPr="00AC1704">
        <w:rPr>
          <w:rFonts w:ascii="Verdana" w:hAnsi="Verdana"/>
          <w:b/>
          <w:bCs/>
          <w:sz w:val="20"/>
        </w:rPr>
        <w:t>21.</w:t>
      </w:r>
      <w:r w:rsidRPr="00AC1704">
        <w:rPr>
          <w:rFonts w:ascii="Verdana" w:hAnsi="Verdana"/>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AC1704" w:rsidRPr="00AC1704" w:rsidRDefault="00AC1704" w:rsidP="00AC1704">
      <w:pPr>
        <w:jc w:val="both"/>
        <w:rPr>
          <w:rFonts w:ascii="Verdana" w:hAnsi="Verdana"/>
          <w:sz w:val="20"/>
        </w:rPr>
      </w:pPr>
      <w:r w:rsidRPr="00AC1704">
        <w:rPr>
          <w:rFonts w:ascii="Verdana" w:hAnsi="Verdana"/>
          <w:b/>
          <w:bCs/>
          <w:sz w:val="20"/>
        </w:rPr>
        <w:t>I. Legitimación para el inicio del examen de vigencia de cuota</w:t>
      </w:r>
    </w:p>
    <w:p w:rsidR="00AC1704" w:rsidRPr="00AC1704" w:rsidRDefault="00AC1704" w:rsidP="00AC1704">
      <w:pPr>
        <w:jc w:val="both"/>
        <w:rPr>
          <w:rFonts w:ascii="Verdana" w:hAnsi="Verdana"/>
          <w:sz w:val="20"/>
        </w:rPr>
      </w:pPr>
      <w:r w:rsidRPr="00AC1704">
        <w:rPr>
          <w:rFonts w:ascii="Verdana" w:hAnsi="Verdana"/>
          <w:sz w:val="20"/>
        </w:rPr>
        <w:t> </w:t>
      </w:r>
    </w:p>
    <w:p w:rsidR="00AC1704" w:rsidRPr="00AC1704" w:rsidRDefault="00AC1704" w:rsidP="00AC1704">
      <w:pPr>
        <w:jc w:val="both"/>
        <w:rPr>
          <w:rFonts w:ascii="Verdana" w:hAnsi="Verdana"/>
          <w:sz w:val="20"/>
        </w:rPr>
      </w:pPr>
      <w:r w:rsidRPr="00AC1704">
        <w:rPr>
          <w:rFonts w:ascii="Verdana" w:hAnsi="Verdana"/>
          <w:b/>
          <w:bCs/>
          <w:sz w:val="20"/>
        </w:rPr>
        <w:t>22.</w:t>
      </w:r>
      <w:r w:rsidRPr="00AC1704">
        <w:rPr>
          <w:rFonts w:ascii="Verdana" w:hAnsi="Verdana"/>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AC1704" w:rsidRPr="00AC1704" w:rsidRDefault="00AC1704" w:rsidP="00AC1704">
      <w:pPr>
        <w:jc w:val="both"/>
        <w:rPr>
          <w:rFonts w:ascii="Verdana" w:hAnsi="Verdana"/>
          <w:sz w:val="20"/>
        </w:rPr>
      </w:pPr>
      <w:r w:rsidRPr="00AC1704">
        <w:rPr>
          <w:rFonts w:ascii="Verdana" w:hAnsi="Verdana"/>
          <w:b/>
          <w:bCs/>
          <w:sz w:val="20"/>
        </w:rPr>
        <w:t>23.</w:t>
      </w:r>
      <w:r w:rsidRPr="00AC1704">
        <w:rPr>
          <w:rFonts w:ascii="Verdana" w:hAnsi="Verdana"/>
          <w:sz w:val="20"/>
        </w:rPr>
        <w:t> En el presente caso, TAMSA en su calidad de productor nacional del producto objeto de examen, manifestó en tiempo y forma su interés en que se inicie el examen de vigencia de la cuota compensatoria definitiva impuesta a las importaciones de tubería de acero sin costura originarias de China, por lo que se actualizan los supuestos previstos en la legislación de la materia y, en consecuencia, procede iniciarlo.</w:t>
      </w:r>
    </w:p>
    <w:p w:rsidR="00AC1704" w:rsidRPr="00AC1704" w:rsidRDefault="00AC1704" w:rsidP="00AC1704">
      <w:pPr>
        <w:jc w:val="both"/>
        <w:rPr>
          <w:rFonts w:ascii="Verdana" w:hAnsi="Verdana"/>
          <w:sz w:val="20"/>
        </w:rPr>
      </w:pPr>
      <w:r w:rsidRPr="00AC1704">
        <w:rPr>
          <w:rFonts w:ascii="Verdana" w:hAnsi="Verdana"/>
          <w:b/>
          <w:bCs/>
          <w:sz w:val="20"/>
        </w:rPr>
        <w:t>J. Periodo de examen y de análisis</w:t>
      </w:r>
    </w:p>
    <w:p w:rsidR="00AC1704" w:rsidRPr="00AC1704" w:rsidRDefault="00AC1704" w:rsidP="00AC1704">
      <w:pPr>
        <w:jc w:val="both"/>
        <w:rPr>
          <w:rFonts w:ascii="Verdana" w:hAnsi="Verdana"/>
          <w:sz w:val="20"/>
        </w:rPr>
      </w:pPr>
      <w:r w:rsidRPr="00AC1704">
        <w:rPr>
          <w:rFonts w:ascii="Verdana" w:hAnsi="Verdana"/>
          <w:b/>
          <w:bCs/>
          <w:sz w:val="20"/>
        </w:rPr>
        <w:t>24.</w:t>
      </w:r>
      <w:r w:rsidRPr="00AC1704">
        <w:rPr>
          <w:rFonts w:ascii="Verdana" w:hAnsi="Verdana"/>
          <w:sz w:val="20"/>
        </w:rPr>
        <w:t> TAMSA propuso como periodo de examen el comprendido del 1 de julio de 2017 al 30 de junio de 2018. Al respecto, la Secretaría determina fijar como periodo de examen el comprendido del 1 de octubre de 2017 al 30 de septiembre de 2018 y como periodo de análisis el comprendido del 1 de octubre de 2013 al 30 de septiembre de 2018, toda vez que estos se apegan a lo previsto por el artículo 76 del RLCE y a la recomendación del Comité de Prácticas Antidumping Organización Mundial del Comercio (documento G/AD/6 adoptado el 5 de mayo de 2000).</w:t>
      </w:r>
    </w:p>
    <w:p w:rsidR="00AC1704" w:rsidRPr="00AC1704" w:rsidRDefault="00AC1704" w:rsidP="00AC1704">
      <w:pPr>
        <w:jc w:val="both"/>
        <w:rPr>
          <w:rFonts w:ascii="Verdana" w:hAnsi="Verdana"/>
          <w:sz w:val="20"/>
        </w:rPr>
      </w:pPr>
      <w:r w:rsidRPr="00AC1704">
        <w:rPr>
          <w:rFonts w:ascii="Verdana" w:hAnsi="Verdana"/>
          <w:b/>
          <w:bCs/>
          <w:sz w:val="20"/>
        </w:rPr>
        <w:lastRenderedPageBreak/>
        <w:t>25.</w:t>
      </w:r>
      <w:r w:rsidRPr="00AC1704">
        <w:rPr>
          <w:rFonts w:ascii="Verdana" w:hAnsi="Verdana"/>
          <w:sz w:val="20"/>
        </w:rPr>
        <w:t> Por lo expuesto, con fundamento en los artículos 11.1 y 11.3 del Acuerdo Antidumping, y 67, 70 </w:t>
      </w:r>
      <w:proofErr w:type="gramStart"/>
      <w:r w:rsidRPr="00AC1704">
        <w:rPr>
          <w:rFonts w:ascii="Verdana" w:hAnsi="Verdana"/>
          <w:sz w:val="20"/>
        </w:rPr>
        <w:t>fracción</w:t>
      </w:r>
      <w:proofErr w:type="gramEnd"/>
      <w:r w:rsidRPr="00AC1704">
        <w:rPr>
          <w:rFonts w:ascii="Verdana" w:hAnsi="Verdana"/>
          <w:sz w:val="20"/>
        </w:rPr>
        <w:t xml:space="preserve"> II, 70 B y 89 F de la LCE, se emite la siguiente</w:t>
      </w:r>
    </w:p>
    <w:p w:rsidR="00AC1704" w:rsidRPr="00AC1704" w:rsidRDefault="00AC1704" w:rsidP="00AC1704">
      <w:pPr>
        <w:jc w:val="both"/>
        <w:rPr>
          <w:rFonts w:ascii="Verdana" w:hAnsi="Verdana"/>
          <w:b/>
          <w:bCs/>
          <w:sz w:val="20"/>
        </w:rPr>
      </w:pPr>
      <w:r w:rsidRPr="00AC1704">
        <w:rPr>
          <w:rFonts w:ascii="Verdana" w:hAnsi="Verdana"/>
          <w:b/>
          <w:bCs/>
          <w:sz w:val="20"/>
        </w:rPr>
        <w:t>RESOLUCIÓN</w:t>
      </w:r>
    </w:p>
    <w:p w:rsidR="00AC1704" w:rsidRPr="00AC1704" w:rsidRDefault="00AC1704" w:rsidP="00AC1704">
      <w:pPr>
        <w:jc w:val="both"/>
        <w:rPr>
          <w:rFonts w:ascii="Verdana" w:hAnsi="Verdana"/>
          <w:sz w:val="20"/>
        </w:rPr>
      </w:pPr>
      <w:r w:rsidRPr="00AC1704">
        <w:rPr>
          <w:rFonts w:ascii="Verdana" w:hAnsi="Verdana"/>
          <w:b/>
          <w:bCs/>
          <w:sz w:val="20"/>
        </w:rPr>
        <w:t>26.</w:t>
      </w:r>
      <w:r w:rsidRPr="00AC1704">
        <w:rPr>
          <w:rFonts w:ascii="Verdana" w:hAnsi="Verdana"/>
          <w:sz w:val="20"/>
        </w:rPr>
        <w:t> Se declara el inicio del examen de vigencia de la cuota compensatoria definitiva impuesta a las importaciones de tubería de acero sin costura originarias de China, independientemente del país de procedencia, que ingresan a través de las fracciones arancelarias 7304.19.01, 7304.19.04, 7304.19.99, 7304.31.01, 7304.31.10, 7304.31.99, 7304.39.01, 7304.39.05 y 7304.39.99 de la TIGIE, o por cualquier otra.</w:t>
      </w:r>
    </w:p>
    <w:p w:rsidR="00AC1704" w:rsidRPr="00AC1704" w:rsidRDefault="00AC1704" w:rsidP="00AC1704">
      <w:pPr>
        <w:jc w:val="both"/>
        <w:rPr>
          <w:rFonts w:ascii="Verdana" w:hAnsi="Verdana"/>
          <w:sz w:val="20"/>
        </w:rPr>
      </w:pPr>
      <w:r w:rsidRPr="00AC1704">
        <w:rPr>
          <w:rFonts w:ascii="Verdana" w:hAnsi="Verdana"/>
          <w:b/>
          <w:bCs/>
          <w:sz w:val="20"/>
        </w:rPr>
        <w:t>27.</w:t>
      </w:r>
      <w:r w:rsidRPr="00AC1704">
        <w:rPr>
          <w:rFonts w:ascii="Verdana" w:hAnsi="Verdana"/>
          <w:sz w:val="20"/>
        </w:rPr>
        <w:t> Se fija como periodo de examen el comprendido del 1 de octubre de 2017 al 30 de septiembre de 2018 y como periodo de análisis el comprendido del 1 de octubre de 2013 al 30 de septiembre de 2018.</w:t>
      </w:r>
    </w:p>
    <w:p w:rsidR="00AC1704" w:rsidRPr="00AC1704" w:rsidRDefault="00AC1704" w:rsidP="00AC1704">
      <w:pPr>
        <w:jc w:val="both"/>
        <w:rPr>
          <w:rFonts w:ascii="Verdana" w:hAnsi="Verdana"/>
          <w:sz w:val="20"/>
        </w:rPr>
      </w:pPr>
      <w:r w:rsidRPr="00AC1704">
        <w:rPr>
          <w:rFonts w:ascii="Verdana" w:hAnsi="Verdana"/>
          <w:b/>
          <w:bCs/>
          <w:sz w:val="20"/>
        </w:rPr>
        <w:t>28.</w:t>
      </w:r>
      <w:r w:rsidRPr="00AC1704">
        <w:rPr>
          <w:rFonts w:ascii="Verdana" w:hAnsi="Verdana"/>
          <w:sz w:val="20"/>
        </w:rPr>
        <w:t> 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AC1704" w:rsidRPr="00AC1704" w:rsidRDefault="00AC1704" w:rsidP="00AC1704">
      <w:pPr>
        <w:jc w:val="both"/>
        <w:rPr>
          <w:rFonts w:ascii="Verdana" w:hAnsi="Verdana"/>
          <w:sz w:val="20"/>
        </w:rPr>
      </w:pPr>
      <w:r w:rsidRPr="00AC1704">
        <w:rPr>
          <w:rFonts w:ascii="Verdana" w:hAnsi="Verdana"/>
          <w:b/>
          <w:bCs/>
          <w:sz w:val="20"/>
        </w:rPr>
        <w:t>29.</w:t>
      </w:r>
      <w:r w:rsidRPr="00AC1704">
        <w:rPr>
          <w:rFonts w:ascii="Verdana" w:hAnsi="Verdana"/>
          <w:sz w:val="20"/>
        </w:rPr>
        <w:t>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AC1704" w:rsidRPr="00AC1704" w:rsidRDefault="00AC1704" w:rsidP="00AC1704">
      <w:pPr>
        <w:jc w:val="both"/>
        <w:rPr>
          <w:rFonts w:ascii="Verdana" w:hAnsi="Verdana"/>
          <w:sz w:val="20"/>
        </w:rPr>
      </w:pPr>
      <w:r w:rsidRPr="00AC1704">
        <w:rPr>
          <w:rFonts w:ascii="Verdana" w:hAnsi="Verdana"/>
          <w:b/>
          <w:bCs/>
          <w:sz w:val="20"/>
        </w:rPr>
        <w:t>30. </w:t>
      </w:r>
      <w:r w:rsidRPr="00AC1704">
        <w:rPr>
          <w:rFonts w:ascii="Verdana" w:hAnsi="Verdana"/>
          <w:sz w:val="20"/>
        </w:rPr>
        <w:t>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AC1704" w:rsidRPr="00AC1704" w:rsidRDefault="00AC1704" w:rsidP="00AC1704">
      <w:pPr>
        <w:jc w:val="both"/>
        <w:rPr>
          <w:rFonts w:ascii="Verdana" w:hAnsi="Verdana"/>
          <w:sz w:val="20"/>
        </w:rPr>
      </w:pPr>
      <w:r w:rsidRPr="00AC1704">
        <w:rPr>
          <w:rFonts w:ascii="Verdana" w:hAnsi="Verdana"/>
          <w:b/>
          <w:bCs/>
          <w:sz w:val="20"/>
        </w:rPr>
        <w:t>31.</w:t>
      </w:r>
      <w:r w:rsidRPr="00AC1704">
        <w:rPr>
          <w:rFonts w:ascii="Verdana" w:hAnsi="Verdana"/>
          <w:sz w:val="20"/>
        </w:rPr>
        <w:t> Notifíquese la presente Resolución a las partes de que se tenga conocimiento.</w:t>
      </w:r>
    </w:p>
    <w:p w:rsidR="00AC1704" w:rsidRPr="00AC1704" w:rsidRDefault="00AC1704" w:rsidP="00AC1704">
      <w:pPr>
        <w:jc w:val="both"/>
        <w:rPr>
          <w:rFonts w:ascii="Verdana" w:hAnsi="Verdana"/>
          <w:sz w:val="20"/>
        </w:rPr>
      </w:pPr>
      <w:r w:rsidRPr="00AC1704">
        <w:rPr>
          <w:rFonts w:ascii="Verdana" w:hAnsi="Verdana"/>
          <w:b/>
          <w:bCs/>
          <w:sz w:val="20"/>
        </w:rPr>
        <w:t>32. </w:t>
      </w:r>
      <w:r w:rsidRPr="00AC1704">
        <w:rPr>
          <w:rFonts w:ascii="Verdana" w:hAnsi="Verdana"/>
          <w:sz w:val="20"/>
        </w:rPr>
        <w:t>Comuníquese esta Resolución al Servicio de Administración Tributaria, para los efectos legales correspondientes.</w:t>
      </w:r>
    </w:p>
    <w:p w:rsidR="00AC1704" w:rsidRPr="00AC1704" w:rsidRDefault="00AC1704" w:rsidP="00AC1704">
      <w:pPr>
        <w:jc w:val="both"/>
        <w:rPr>
          <w:rFonts w:ascii="Verdana" w:hAnsi="Verdana"/>
          <w:sz w:val="20"/>
        </w:rPr>
      </w:pPr>
      <w:r w:rsidRPr="00AC1704">
        <w:rPr>
          <w:rFonts w:ascii="Verdana" w:hAnsi="Verdana"/>
          <w:b/>
          <w:bCs/>
          <w:sz w:val="20"/>
        </w:rPr>
        <w:t>33. </w:t>
      </w:r>
      <w:r w:rsidRPr="00AC1704">
        <w:rPr>
          <w:rFonts w:ascii="Verdana" w:hAnsi="Verdana"/>
          <w:sz w:val="20"/>
        </w:rPr>
        <w:t>La presente Resolución entrará en vigor al día siguiente de su publicación en el DOF.</w:t>
      </w:r>
    </w:p>
    <w:p w:rsidR="00AC1704" w:rsidRPr="00AC1704" w:rsidRDefault="00AC1704" w:rsidP="00AC1704">
      <w:pPr>
        <w:jc w:val="both"/>
        <w:rPr>
          <w:rFonts w:ascii="Verdana" w:hAnsi="Verdana"/>
          <w:sz w:val="20"/>
        </w:rPr>
      </w:pPr>
      <w:r w:rsidRPr="00AC1704">
        <w:rPr>
          <w:rFonts w:ascii="Verdana" w:hAnsi="Verdana"/>
          <w:sz w:val="20"/>
        </w:rPr>
        <w:t>Ciudad de México, a 8 de noviembre de 2018.- El Secretario de Economía, </w:t>
      </w:r>
      <w:r w:rsidRPr="00AC1704">
        <w:rPr>
          <w:rFonts w:ascii="Verdana" w:hAnsi="Verdana"/>
          <w:b/>
          <w:bCs/>
          <w:sz w:val="20"/>
        </w:rPr>
        <w:t>Ildefonso Guajardo Villarreal</w:t>
      </w:r>
      <w:r w:rsidRPr="00AC1704">
        <w:rPr>
          <w:rFonts w:ascii="Verdana" w:hAnsi="Verdana"/>
          <w:sz w:val="20"/>
        </w:rPr>
        <w:t>.- Rúbrica.</w:t>
      </w:r>
    </w:p>
    <w:p w:rsidR="00AC1704" w:rsidRPr="00AC1704" w:rsidRDefault="00AC1704" w:rsidP="00AC1704">
      <w:pPr>
        <w:jc w:val="both"/>
        <w:rPr>
          <w:rFonts w:ascii="Verdana" w:hAnsi="Verdana"/>
          <w:sz w:val="20"/>
        </w:rPr>
      </w:pPr>
      <w:bookmarkStart w:id="0" w:name="_GoBack"/>
      <w:bookmarkEnd w:id="0"/>
    </w:p>
    <w:p w:rsidR="00AC1704" w:rsidRDefault="00AC1704"/>
    <w:sectPr w:rsidR="00AC1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04"/>
    <w:rsid w:val="002228FA"/>
    <w:rsid w:val="00AC170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958">
      <w:bodyDiv w:val="1"/>
      <w:marLeft w:val="0"/>
      <w:marRight w:val="0"/>
      <w:marTop w:val="0"/>
      <w:marBottom w:val="0"/>
      <w:divBdr>
        <w:top w:val="none" w:sz="0" w:space="0" w:color="auto"/>
        <w:left w:val="none" w:sz="0" w:space="0" w:color="auto"/>
        <w:bottom w:val="none" w:sz="0" w:space="0" w:color="auto"/>
        <w:right w:val="none" w:sz="0" w:space="0" w:color="auto"/>
      </w:divBdr>
      <w:divsChild>
        <w:div w:id="1473404155">
          <w:marLeft w:val="0"/>
          <w:marRight w:val="0"/>
          <w:marTop w:val="0"/>
          <w:marBottom w:val="101"/>
          <w:divBdr>
            <w:top w:val="none" w:sz="0" w:space="0" w:color="auto"/>
            <w:left w:val="none" w:sz="0" w:space="0" w:color="auto"/>
            <w:bottom w:val="none" w:sz="0" w:space="0" w:color="auto"/>
            <w:right w:val="none" w:sz="0" w:space="0" w:color="auto"/>
          </w:divBdr>
        </w:div>
        <w:div w:id="846478794">
          <w:marLeft w:val="0"/>
          <w:marRight w:val="0"/>
          <w:marTop w:val="0"/>
          <w:marBottom w:val="101"/>
          <w:divBdr>
            <w:top w:val="none" w:sz="0" w:space="0" w:color="auto"/>
            <w:left w:val="none" w:sz="0" w:space="0" w:color="auto"/>
            <w:bottom w:val="none" w:sz="0" w:space="0" w:color="auto"/>
            <w:right w:val="none" w:sz="0" w:space="0" w:color="auto"/>
          </w:divBdr>
        </w:div>
        <w:div w:id="2047171041">
          <w:marLeft w:val="0"/>
          <w:marRight w:val="0"/>
          <w:marTop w:val="101"/>
          <w:marBottom w:val="101"/>
          <w:divBdr>
            <w:top w:val="none" w:sz="0" w:space="0" w:color="auto"/>
            <w:left w:val="none" w:sz="0" w:space="0" w:color="auto"/>
            <w:bottom w:val="none" w:sz="0" w:space="0" w:color="auto"/>
            <w:right w:val="none" w:sz="0" w:space="0" w:color="auto"/>
          </w:divBdr>
        </w:div>
        <w:div w:id="500393445">
          <w:marLeft w:val="0"/>
          <w:marRight w:val="0"/>
          <w:marTop w:val="0"/>
          <w:marBottom w:val="101"/>
          <w:divBdr>
            <w:top w:val="none" w:sz="0" w:space="0" w:color="auto"/>
            <w:left w:val="none" w:sz="0" w:space="0" w:color="auto"/>
            <w:bottom w:val="none" w:sz="0" w:space="0" w:color="auto"/>
            <w:right w:val="none" w:sz="0" w:space="0" w:color="auto"/>
          </w:divBdr>
        </w:div>
        <w:div w:id="518663115">
          <w:marLeft w:val="0"/>
          <w:marRight w:val="0"/>
          <w:marTop w:val="0"/>
          <w:marBottom w:val="101"/>
          <w:divBdr>
            <w:top w:val="none" w:sz="0" w:space="0" w:color="auto"/>
            <w:left w:val="none" w:sz="0" w:space="0" w:color="auto"/>
            <w:bottom w:val="none" w:sz="0" w:space="0" w:color="auto"/>
            <w:right w:val="none" w:sz="0" w:space="0" w:color="auto"/>
          </w:divBdr>
        </w:div>
        <w:div w:id="298851102">
          <w:marLeft w:val="0"/>
          <w:marRight w:val="0"/>
          <w:marTop w:val="0"/>
          <w:marBottom w:val="101"/>
          <w:divBdr>
            <w:top w:val="none" w:sz="0" w:space="0" w:color="auto"/>
            <w:left w:val="none" w:sz="0" w:space="0" w:color="auto"/>
            <w:bottom w:val="none" w:sz="0" w:space="0" w:color="auto"/>
            <w:right w:val="none" w:sz="0" w:space="0" w:color="auto"/>
          </w:divBdr>
        </w:div>
        <w:div w:id="1456681893">
          <w:marLeft w:val="0"/>
          <w:marRight w:val="0"/>
          <w:marTop w:val="0"/>
          <w:marBottom w:val="101"/>
          <w:divBdr>
            <w:top w:val="none" w:sz="0" w:space="0" w:color="auto"/>
            <w:left w:val="none" w:sz="0" w:space="0" w:color="auto"/>
            <w:bottom w:val="none" w:sz="0" w:space="0" w:color="auto"/>
            <w:right w:val="none" w:sz="0" w:space="0" w:color="auto"/>
          </w:divBdr>
        </w:div>
        <w:div w:id="1404528285">
          <w:marLeft w:val="0"/>
          <w:marRight w:val="0"/>
          <w:marTop w:val="0"/>
          <w:marBottom w:val="101"/>
          <w:divBdr>
            <w:top w:val="none" w:sz="0" w:space="0" w:color="auto"/>
            <w:left w:val="none" w:sz="0" w:space="0" w:color="auto"/>
            <w:bottom w:val="none" w:sz="0" w:space="0" w:color="auto"/>
            <w:right w:val="none" w:sz="0" w:space="0" w:color="auto"/>
          </w:divBdr>
        </w:div>
        <w:div w:id="1111557312">
          <w:marLeft w:val="0"/>
          <w:marRight w:val="0"/>
          <w:marTop w:val="0"/>
          <w:marBottom w:val="101"/>
          <w:divBdr>
            <w:top w:val="none" w:sz="0" w:space="0" w:color="auto"/>
            <w:left w:val="none" w:sz="0" w:space="0" w:color="auto"/>
            <w:bottom w:val="none" w:sz="0" w:space="0" w:color="auto"/>
            <w:right w:val="none" w:sz="0" w:space="0" w:color="auto"/>
          </w:divBdr>
        </w:div>
        <w:div w:id="1104305070">
          <w:marLeft w:val="0"/>
          <w:marRight w:val="0"/>
          <w:marTop w:val="0"/>
          <w:marBottom w:val="101"/>
          <w:divBdr>
            <w:top w:val="none" w:sz="0" w:space="0" w:color="auto"/>
            <w:left w:val="none" w:sz="0" w:space="0" w:color="auto"/>
            <w:bottom w:val="none" w:sz="0" w:space="0" w:color="auto"/>
            <w:right w:val="none" w:sz="0" w:space="0" w:color="auto"/>
          </w:divBdr>
        </w:div>
        <w:div w:id="882449160">
          <w:marLeft w:val="0"/>
          <w:marRight w:val="0"/>
          <w:marTop w:val="0"/>
          <w:marBottom w:val="101"/>
          <w:divBdr>
            <w:top w:val="none" w:sz="0" w:space="0" w:color="auto"/>
            <w:left w:val="none" w:sz="0" w:space="0" w:color="auto"/>
            <w:bottom w:val="none" w:sz="0" w:space="0" w:color="auto"/>
            <w:right w:val="none" w:sz="0" w:space="0" w:color="auto"/>
          </w:divBdr>
        </w:div>
        <w:div w:id="506990082">
          <w:marLeft w:val="0"/>
          <w:marRight w:val="0"/>
          <w:marTop w:val="0"/>
          <w:marBottom w:val="101"/>
          <w:divBdr>
            <w:top w:val="none" w:sz="0" w:space="0" w:color="auto"/>
            <w:left w:val="none" w:sz="0" w:space="0" w:color="auto"/>
            <w:bottom w:val="none" w:sz="0" w:space="0" w:color="auto"/>
            <w:right w:val="none" w:sz="0" w:space="0" w:color="auto"/>
          </w:divBdr>
        </w:div>
        <w:div w:id="1652711888">
          <w:marLeft w:val="0"/>
          <w:marRight w:val="0"/>
          <w:marTop w:val="0"/>
          <w:marBottom w:val="101"/>
          <w:divBdr>
            <w:top w:val="none" w:sz="0" w:space="0" w:color="auto"/>
            <w:left w:val="none" w:sz="0" w:space="0" w:color="auto"/>
            <w:bottom w:val="none" w:sz="0" w:space="0" w:color="auto"/>
            <w:right w:val="none" w:sz="0" w:space="0" w:color="auto"/>
          </w:divBdr>
        </w:div>
        <w:div w:id="258494063">
          <w:marLeft w:val="0"/>
          <w:marRight w:val="0"/>
          <w:marTop w:val="0"/>
          <w:marBottom w:val="101"/>
          <w:divBdr>
            <w:top w:val="none" w:sz="0" w:space="0" w:color="auto"/>
            <w:left w:val="none" w:sz="0" w:space="0" w:color="auto"/>
            <w:bottom w:val="none" w:sz="0" w:space="0" w:color="auto"/>
            <w:right w:val="none" w:sz="0" w:space="0" w:color="auto"/>
          </w:divBdr>
        </w:div>
        <w:div w:id="592973334">
          <w:marLeft w:val="0"/>
          <w:marRight w:val="0"/>
          <w:marTop w:val="0"/>
          <w:marBottom w:val="101"/>
          <w:divBdr>
            <w:top w:val="none" w:sz="0" w:space="0" w:color="auto"/>
            <w:left w:val="none" w:sz="0" w:space="0" w:color="auto"/>
            <w:bottom w:val="none" w:sz="0" w:space="0" w:color="auto"/>
            <w:right w:val="none" w:sz="0" w:space="0" w:color="auto"/>
          </w:divBdr>
        </w:div>
        <w:div w:id="268658969">
          <w:marLeft w:val="0"/>
          <w:marRight w:val="0"/>
          <w:marTop w:val="0"/>
          <w:marBottom w:val="101"/>
          <w:divBdr>
            <w:top w:val="none" w:sz="0" w:space="0" w:color="auto"/>
            <w:left w:val="none" w:sz="0" w:space="0" w:color="auto"/>
            <w:bottom w:val="none" w:sz="0" w:space="0" w:color="auto"/>
            <w:right w:val="none" w:sz="0" w:space="0" w:color="auto"/>
          </w:divBdr>
        </w:div>
        <w:div w:id="2102867210">
          <w:marLeft w:val="0"/>
          <w:marRight w:val="0"/>
          <w:marTop w:val="0"/>
          <w:marBottom w:val="101"/>
          <w:divBdr>
            <w:top w:val="none" w:sz="0" w:space="0" w:color="auto"/>
            <w:left w:val="none" w:sz="0" w:space="0" w:color="auto"/>
            <w:bottom w:val="none" w:sz="0" w:space="0" w:color="auto"/>
            <w:right w:val="none" w:sz="0" w:space="0" w:color="auto"/>
          </w:divBdr>
        </w:div>
        <w:div w:id="1182889014">
          <w:marLeft w:val="0"/>
          <w:marRight w:val="0"/>
          <w:marTop w:val="0"/>
          <w:marBottom w:val="101"/>
          <w:divBdr>
            <w:top w:val="none" w:sz="0" w:space="0" w:color="auto"/>
            <w:left w:val="none" w:sz="0" w:space="0" w:color="auto"/>
            <w:bottom w:val="none" w:sz="0" w:space="0" w:color="auto"/>
            <w:right w:val="none" w:sz="0" w:space="0" w:color="auto"/>
          </w:divBdr>
        </w:div>
        <w:div w:id="1425882127">
          <w:marLeft w:val="0"/>
          <w:marRight w:val="0"/>
          <w:marTop w:val="0"/>
          <w:marBottom w:val="101"/>
          <w:divBdr>
            <w:top w:val="none" w:sz="0" w:space="0" w:color="auto"/>
            <w:left w:val="none" w:sz="0" w:space="0" w:color="auto"/>
            <w:bottom w:val="none" w:sz="0" w:space="0" w:color="auto"/>
            <w:right w:val="none" w:sz="0" w:space="0" w:color="auto"/>
          </w:divBdr>
        </w:div>
        <w:div w:id="801771083">
          <w:marLeft w:val="0"/>
          <w:marRight w:val="0"/>
          <w:marTop w:val="0"/>
          <w:marBottom w:val="101"/>
          <w:divBdr>
            <w:top w:val="none" w:sz="0" w:space="0" w:color="auto"/>
            <w:left w:val="none" w:sz="0" w:space="0" w:color="auto"/>
            <w:bottom w:val="none" w:sz="0" w:space="0" w:color="auto"/>
            <w:right w:val="none" w:sz="0" w:space="0" w:color="auto"/>
          </w:divBdr>
        </w:div>
        <w:div w:id="1762019583">
          <w:marLeft w:val="0"/>
          <w:marRight w:val="0"/>
          <w:marTop w:val="0"/>
          <w:marBottom w:val="101"/>
          <w:divBdr>
            <w:top w:val="none" w:sz="0" w:space="0" w:color="auto"/>
            <w:left w:val="none" w:sz="0" w:space="0" w:color="auto"/>
            <w:bottom w:val="none" w:sz="0" w:space="0" w:color="auto"/>
            <w:right w:val="none" w:sz="0" w:space="0" w:color="auto"/>
          </w:divBdr>
        </w:div>
        <w:div w:id="1891842516">
          <w:marLeft w:val="0"/>
          <w:marRight w:val="0"/>
          <w:marTop w:val="0"/>
          <w:marBottom w:val="101"/>
          <w:divBdr>
            <w:top w:val="none" w:sz="0" w:space="0" w:color="auto"/>
            <w:left w:val="none" w:sz="0" w:space="0" w:color="auto"/>
            <w:bottom w:val="none" w:sz="0" w:space="0" w:color="auto"/>
            <w:right w:val="none" w:sz="0" w:space="0" w:color="auto"/>
          </w:divBdr>
        </w:div>
        <w:div w:id="6253255">
          <w:marLeft w:val="0"/>
          <w:marRight w:val="0"/>
          <w:marTop w:val="0"/>
          <w:marBottom w:val="101"/>
          <w:divBdr>
            <w:top w:val="none" w:sz="0" w:space="0" w:color="auto"/>
            <w:left w:val="none" w:sz="0" w:space="0" w:color="auto"/>
            <w:bottom w:val="none" w:sz="0" w:space="0" w:color="auto"/>
            <w:right w:val="none" w:sz="0" w:space="0" w:color="auto"/>
          </w:divBdr>
        </w:div>
        <w:div w:id="1914074428">
          <w:marLeft w:val="0"/>
          <w:marRight w:val="0"/>
          <w:marTop w:val="0"/>
          <w:marBottom w:val="101"/>
          <w:divBdr>
            <w:top w:val="none" w:sz="0" w:space="0" w:color="auto"/>
            <w:left w:val="none" w:sz="0" w:space="0" w:color="auto"/>
            <w:bottom w:val="none" w:sz="0" w:space="0" w:color="auto"/>
            <w:right w:val="none" w:sz="0" w:space="0" w:color="auto"/>
          </w:divBdr>
        </w:div>
        <w:div w:id="525287204">
          <w:marLeft w:val="0"/>
          <w:marRight w:val="0"/>
          <w:marTop w:val="0"/>
          <w:marBottom w:val="101"/>
          <w:divBdr>
            <w:top w:val="none" w:sz="0" w:space="0" w:color="auto"/>
            <w:left w:val="none" w:sz="0" w:space="0" w:color="auto"/>
            <w:bottom w:val="none" w:sz="0" w:space="0" w:color="auto"/>
            <w:right w:val="none" w:sz="0" w:space="0" w:color="auto"/>
          </w:divBdr>
        </w:div>
        <w:div w:id="1633628937">
          <w:marLeft w:val="0"/>
          <w:marRight w:val="0"/>
          <w:marTop w:val="0"/>
          <w:marBottom w:val="101"/>
          <w:divBdr>
            <w:top w:val="none" w:sz="0" w:space="0" w:color="auto"/>
            <w:left w:val="none" w:sz="0" w:space="0" w:color="auto"/>
            <w:bottom w:val="none" w:sz="0" w:space="0" w:color="auto"/>
            <w:right w:val="none" w:sz="0" w:space="0" w:color="auto"/>
          </w:divBdr>
        </w:div>
        <w:div w:id="1949699591">
          <w:marLeft w:val="0"/>
          <w:marRight w:val="0"/>
          <w:marTop w:val="0"/>
          <w:marBottom w:val="101"/>
          <w:divBdr>
            <w:top w:val="none" w:sz="0" w:space="0" w:color="auto"/>
            <w:left w:val="none" w:sz="0" w:space="0" w:color="auto"/>
            <w:bottom w:val="none" w:sz="0" w:space="0" w:color="auto"/>
            <w:right w:val="none" w:sz="0" w:space="0" w:color="auto"/>
          </w:divBdr>
        </w:div>
        <w:div w:id="1071083014">
          <w:marLeft w:val="0"/>
          <w:marRight w:val="0"/>
          <w:marTop w:val="0"/>
          <w:marBottom w:val="101"/>
          <w:divBdr>
            <w:top w:val="none" w:sz="0" w:space="0" w:color="auto"/>
            <w:left w:val="none" w:sz="0" w:space="0" w:color="auto"/>
            <w:bottom w:val="none" w:sz="0" w:space="0" w:color="auto"/>
            <w:right w:val="none" w:sz="0" w:space="0" w:color="auto"/>
          </w:divBdr>
        </w:div>
        <w:div w:id="1937249821">
          <w:marLeft w:val="0"/>
          <w:marRight w:val="0"/>
          <w:marTop w:val="0"/>
          <w:marBottom w:val="101"/>
          <w:divBdr>
            <w:top w:val="none" w:sz="0" w:space="0" w:color="auto"/>
            <w:left w:val="none" w:sz="0" w:space="0" w:color="auto"/>
            <w:bottom w:val="none" w:sz="0" w:space="0" w:color="auto"/>
            <w:right w:val="none" w:sz="0" w:space="0" w:color="auto"/>
          </w:divBdr>
        </w:div>
        <w:div w:id="1394699619">
          <w:marLeft w:val="0"/>
          <w:marRight w:val="0"/>
          <w:marTop w:val="0"/>
          <w:marBottom w:val="101"/>
          <w:divBdr>
            <w:top w:val="none" w:sz="0" w:space="0" w:color="auto"/>
            <w:left w:val="none" w:sz="0" w:space="0" w:color="auto"/>
            <w:bottom w:val="none" w:sz="0" w:space="0" w:color="auto"/>
            <w:right w:val="none" w:sz="0" w:space="0" w:color="auto"/>
          </w:divBdr>
        </w:div>
        <w:div w:id="565843867">
          <w:marLeft w:val="0"/>
          <w:marRight w:val="0"/>
          <w:marTop w:val="0"/>
          <w:marBottom w:val="101"/>
          <w:divBdr>
            <w:top w:val="none" w:sz="0" w:space="0" w:color="auto"/>
            <w:left w:val="none" w:sz="0" w:space="0" w:color="auto"/>
            <w:bottom w:val="none" w:sz="0" w:space="0" w:color="auto"/>
            <w:right w:val="none" w:sz="0" w:space="0" w:color="auto"/>
          </w:divBdr>
        </w:div>
        <w:div w:id="896628873">
          <w:marLeft w:val="0"/>
          <w:marRight w:val="0"/>
          <w:marTop w:val="0"/>
          <w:marBottom w:val="101"/>
          <w:divBdr>
            <w:top w:val="none" w:sz="0" w:space="0" w:color="auto"/>
            <w:left w:val="none" w:sz="0" w:space="0" w:color="auto"/>
            <w:bottom w:val="none" w:sz="0" w:space="0" w:color="auto"/>
            <w:right w:val="none" w:sz="0" w:space="0" w:color="auto"/>
          </w:divBdr>
        </w:div>
        <w:div w:id="1581327299">
          <w:marLeft w:val="0"/>
          <w:marRight w:val="0"/>
          <w:marTop w:val="0"/>
          <w:marBottom w:val="101"/>
          <w:divBdr>
            <w:top w:val="none" w:sz="0" w:space="0" w:color="auto"/>
            <w:left w:val="none" w:sz="0" w:space="0" w:color="auto"/>
            <w:bottom w:val="none" w:sz="0" w:space="0" w:color="auto"/>
            <w:right w:val="none" w:sz="0" w:space="0" w:color="auto"/>
          </w:divBdr>
        </w:div>
        <w:div w:id="225142124">
          <w:marLeft w:val="0"/>
          <w:marRight w:val="0"/>
          <w:marTop w:val="0"/>
          <w:marBottom w:val="101"/>
          <w:divBdr>
            <w:top w:val="none" w:sz="0" w:space="0" w:color="auto"/>
            <w:left w:val="none" w:sz="0" w:space="0" w:color="auto"/>
            <w:bottom w:val="none" w:sz="0" w:space="0" w:color="auto"/>
            <w:right w:val="none" w:sz="0" w:space="0" w:color="auto"/>
          </w:divBdr>
        </w:div>
        <w:div w:id="330454279">
          <w:marLeft w:val="0"/>
          <w:marRight w:val="0"/>
          <w:marTop w:val="0"/>
          <w:marBottom w:val="101"/>
          <w:divBdr>
            <w:top w:val="none" w:sz="0" w:space="0" w:color="auto"/>
            <w:left w:val="none" w:sz="0" w:space="0" w:color="auto"/>
            <w:bottom w:val="none" w:sz="0" w:space="0" w:color="auto"/>
            <w:right w:val="none" w:sz="0" w:space="0" w:color="auto"/>
          </w:divBdr>
        </w:div>
        <w:div w:id="156658257">
          <w:marLeft w:val="0"/>
          <w:marRight w:val="0"/>
          <w:marTop w:val="0"/>
          <w:marBottom w:val="101"/>
          <w:divBdr>
            <w:top w:val="none" w:sz="0" w:space="0" w:color="auto"/>
            <w:left w:val="none" w:sz="0" w:space="0" w:color="auto"/>
            <w:bottom w:val="none" w:sz="0" w:space="0" w:color="auto"/>
            <w:right w:val="none" w:sz="0" w:space="0" w:color="auto"/>
          </w:divBdr>
        </w:div>
        <w:div w:id="1431193725">
          <w:marLeft w:val="0"/>
          <w:marRight w:val="0"/>
          <w:marTop w:val="0"/>
          <w:marBottom w:val="101"/>
          <w:divBdr>
            <w:top w:val="none" w:sz="0" w:space="0" w:color="auto"/>
            <w:left w:val="none" w:sz="0" w:space="0" w:color="auto"/>
            <w:bottom w:val="none" w:sz="0" w:space="0" w:color="auto"/>
            <w:right w:val="none" w:sz="0" w:space="0" w:color="auto"/>
          </w:divBdr>
        </w:div>
        <w:div w:id="1939176170">
          <w:marLeft w:val="0"/>
          <w:marRight w:val="0"/>
          <w:marTop w:val="0"/>
          <w:marBottom w:val="101"/>
          <w:divBdr>
            <w:top w:val="none" w:sz="0" w:space="0" w:color="auto"/>
            <w:left w:val="none" w:sz="0" w:space="0" w:color="auto"/>
            <w:bottom w:val="none" w:sz="0" w:space="0" w:color="auto"/>
            <w:right w:val="none" w:sz="0" w:space="0" w:color="auto"/>
          </w:divBdr>
        </w:div>
        <w:div w:id="316493661">
          <w:marLeft w:val="0"/>
          <w:marRight w:val="0"/>
          <w:marTop w:val="0"/>
          <w:marBottom w:val="101"/>
          <w:divBdr>
            <w:top w:val="none" w:sz="0" w:space="0" w:color="auto"/>
            <w:left w:val="none" w:sz="0" w:space="0" w:color="auto"/>
            <w:bottom w:val="none" w:sz="0" w:space="0" w:color="auto"/>
            <w:right w:val="none" w:sz="0" w:space="0" w:color="auto"/>
          </w:divBdr>
        </w:div>
        <w:div w:id="1147435647">
          <w:marLeft w:val="0"/>
          <w:marRight w:val="0"/>
          <w:marTop w:val="0"/>
          <w:marBottom w:val="101"/>
          <w:divBdr>
            <w:top w:val="none" w:sz="0" w:space="0" w:color="auto"/>
            <w:left w:val="none" w:sz="0" w:space="0" w:color="auto"/>
            <w:bottom w:val="none" w:sz="0" w:space="0" w:color="auto"/>
            <w:right w:val="none" w:sz="0" w:space="0" w:color="auto"/>
          </w:divBdr>
        </w:div>
        <w:div w:id="2061202534">
          <w:marLeft w:val="0"/>
          <w:marRight w:val="0"/>
          <w:marTop w:val="0"/>
          <w:marBottom w:val="101"/>
          <w:divBdr>
            <w:top w:val="none" w:sz="0" w:space="0" w:color="auto"/>
            <w:left w:val="none" w:sz="0" w:space="0" w:color="auto"/>
            <w:bottom w:val="none" w:sz="0" w:space="0" w:color="auto"/>
            <w:right w:val="none" w:sz="0" w:space="0" w:color="auto"/>
          </w:divBdr>
        </w:div>
        <w:div w:id="392892647">
          <w:marLeft w:val="0"/>
          <w:marRight w:val="0"/>
          <w:marTop w:val="0"/>
          <w:marBottom w:val="101"/>
          <w:divBdr>
            <w:top w:val="none" w:sz="0" w:space="0" w:color="auto"/>
            <w:left w:val="none" w:sz="0" w:space="0" w:color="auto"/>
            <w:bottom w:val="none" w:sz="0" w:space="0" w:color="auto"/>
            <w:right w:val="none" w:sz="0" w:space="0" w:color="auto"/>
          </w:divBdr>
        </w:div>
        <w:div w:id="87775131">
          <w:marLeft w:val="0"/>
          <w:marRight w:val="0"/>
          <w:marTop w:val="0"/>
          <w:marBottom w:val="101"/>
          <w:divBdr>
            <w:top w:val="none" w:sz="0" w:space="0" w:color="auto"/>
            <w:left w:val="none" w:sz="0" w:space="0" w:color="auto"/>
            <w:bottom w:val="none" w:sz="0" w:space="0" w:color="auto"/>
            <w:right w:val="none" w:sz="0" w:space="0" w:color="auto"/>
          </w:divBdr>
        </w:div>
        <w:div w:id="130246367">
          <w:marLeft w:val="0"/>
          <w:marRight w:val="0"/>
          <w:marTop w:val="0"/>
          <w:marBottom w:val="101"/>
          <w:divBdr>
            <w:top w:val="none" w:sz="0" w:space="0" w:color="auto"/>
            <w:left w:val="none" w:sz="0" w:space="0" w:color="auto"/>
            <w:bottom w:val="none" w:sz="0" w:space="0" w:color="auto"/>
            <w:right w:val="none" w:sz="0" w:space="0" w:color="auto"/>
          </w:divBdr>
        </w:div>
        <w:div w:id="781151616">
          <w:marLeft w:val="0"/>
          <w:marRight w:val="0"/>
          <w:marTop w:val="0"/>
          <w:marBottom w:val="101"/>
          <w:divBdr>
            <w:top w:val="none" w:sz="0" w:space="0" w:color="auto"/>
            <w:left w:val="none" w:sz="0" w:space="0" w:color="auto"/>
            <w:bottom w:val="none" w:sz="0" w:space="0" w:color="auto"/>
            <w:right w:val="none" w:sz="0" w:space="0" w:color="auto"/>
          </w:divBdr>
        </w:div>
        <w:div w:id="2116367447">
          <w:marLeft w:val="0"/>
          <w:marRight w:val="0"/>
          <w:marTop w:val="0"/>
          <w:marBottom w:val="101"/>
          <w:divBdr>
            <w:top w:val="none" w:sz="0" w:space="0" w:color="auto"/>
            <w:left w:val="none" w:sz="0" w:space="0" w:color="auto"/>
            <w:bottom w:val="none" w:sz="0" w:space="0" w:color="auto"/>
            <w:right w:val="none" w:sz="0" w:space="0" w:color="auto"/>
          </w:divBdr>
        </w:div>
        <w:div w:id="354037203">
          <w:marLeft w:val="0"/>
          <w:marRight w:val="0"/>
          <w:marTop w:val="0"/>
          <w:marBottom w:val="101"/>
          <w:divBdr>
            <w:top w:val="none" w:sz="0" w:space="0" w:color="auto"/>
            <w:left w:val="none" w:sz="0" w:space="0" w:color="auto"/>
            <w:bottom w:val="none" w:sz="0" w:space="0" w:color="auto"/>
            <w:right w:val="none" w:sz="0" w:space="0" w:color="auto"/>
          </w:divBdr>
        </w:div>
        <w:div w:id="337661555">
          <w:marLeft w:val="0"/>
          <w:marRight w:val="0"/>
          <w:marTop w:val="0"/>
          <w:marBottom w:val="101"/>
          <w:divBdr>
            <w:top w:val="none" w:sz="0" w:space="0" w:color="auto"/>
            <w:left w:val="none" w:sz="0" w:space="0" w:color="auto"/>
            <w:bottom w:val="none" w:sz="0" w:space="0" w:color="auto"/>
            <w:right w:val="none" w:sz="0" w:space="0" w:color="auto"/>
          </w:divBdr>
        </w:div>
        <w:div w:id="259415581">
          <w:marLeft w:val="0"/>
          <w:marRight w:val="0"/>
          <w:marTop w:val="0"/>
          <w:marBottom w:val="101"/>
          <w:divBdr>
            <w:top w:val="none" w:sz="0" w:space="0" w:color="auto"/>
            <w:left w:val="none" w:sz="0" w:space="0" w:color="auto"/>
            <w:bottom w:val="none" w:sz="0" w:space="0" w:color="auto"/>
            <w:right w:val="none" w:sz="0" w:space="0" w:color="auto"/>
          </w:divBdr>
        </w:div>
        <w:div w:id="347099200">
          <w:marLeft w:val="0"/>
          <w:marRight w:val="0"/>
          <w:marTop w:val="0"/>
          <w:marBottom w:val="101"/>
          <w:divBdr>
            <w:top w:val="none" w:sz="0" w:space="0" w:color="auto"/>
            <w:left w:val="none" w:sz="0" w:space="0" w:color="auto"/>
            <w:bottom w:val="none" w:sz="0" w:space="0" w:color="auto"/>
            <w:right w:val="none" w:sz="0" w:space="0" w:color="auto"/>
          </w:divBdr>
        </w:div>
        <w:div w:id="1423993127">
          <w:marLeft w:val="0"/>
          <w:marRight w:val="0"/>
          <w:marTop w:val="0"/>
          <w:marBottom w:val="101"/>
          <w:divBdr>
            <w:top w:val="none" w:sz="0" w:space="0" w:color="auto"/>
            <w:left w:val="none" w:sz="0" w:space="0" w:color="auto"/>
            <w:bottom w:val="none" w:sz="0" w:space="0" w:color="auto"/>
            <w:right w:val="none" w:sz="0" w:space="0" w:color="auto"/>
          </w:divBdr>
        </w:div>
        <w:div w:id="376048507">
          <w:marLeft w:val="0"/>
          <w:marRight w:val="0"/>
          <w:marTop w:val="0"/>
          <w:marBottom w:val="90"/>
          <w:divBdr>
            <w:top w:val="none" w:sz="0" w:space="0" w:color="auto"/>
            <w:left w:val="none" w:sz="0" w:space="0" w:color="auto"/>
            <w:bottom w:val="none" w:sz="0" w:space="0" w:color="auto"/>
            <w:right w:val="none" w:sz="0" w:space="0" w:color="auto"/>
          </w:divBdr>
        </w:div>
        <w:div w:id="182790756">
          <w:marLeft w:val="0"/>
          <w:marRight w:val="0"/>
          <w:marTop w:val="0"/>
          <w:marBottom w:val="90"/>
          <w:divBdr>
            <w:top w:val="none" w:sz="0" w:space="0" w:color="auto"/>
            <w:left w:val="none" w:sz="0" w:space="0" w:color="auto"/>
            <w:bottom w:val="none" w:sz="0" w:space="0" w:color="auto"/>
            <w:right w:val="none" w:sz="0" w:space="0" w:color="auto"/>
          </w:divBdr>
        </w:div>
        <w:div w:id="1094713655">
          <w:marLeft w:val="0"/>
          <w:marRight w:val="0"/>
          <w:marTop w:val="0"/>
          <w:marBottom w:val="90"/>
          <w:divBdr>
            <w:top w:val="none" w:sz="0" w:space="0" w:color="auto"/>
            <w:left w:val="none" w:sz="0" w:space="0" w:color="auto"/>
            <w:bottom w:val="none" w:sz="0" w:space="0" w:color="auto"/>
            <w:right w:val="none" w:sz="0" w:space="0" w:color="auto"/>
          </w:divBdr>
        </w:div>
        <w:div w:id="321080288">
          <w:marLeft w:val="0"/>
          <w:marRight w:val="0"/>
          <w:marTop w:val="0"/>
          <w:marBottom w:val="90"/>
          <w:divBdr>
            <w:top w:val="none" w:sz="0" w:space="0" w:color="auto"/>
            <w:left w:val="none" w:sz="0" w:space="0" w:color="auto"/>
            <w:bottom w:val="none" w:sz="0" w:space="0" w:color="auto"/>
            <w:right w:val="none" w:sz="0" w:space="0" w:color="auto"/>
          </w:divBdr>
        </w:div>
        <w:div w:id="2078436773">
          <w:marLeft w:val="0"/>
          <w:marRight w:val="0"/>
          <w:marTop w:val="0"/>
          <w:marBottom w:val="90"/>
          <w:divBdr>
            <w:top w:val="none" w:sz="0" w:space="0" w:color="auto"/>
            <w:left w:val="none" w:sz="0" w:space="0" w:color="auto"/>
            <w:bottom w:val="none" w:sz="0" w:space="0" w:color="auto"/>
            <w:right w:val="none" w:sz="0" w:space="0" w:color="auto"/>
          </w:divBdr>
        </w:div>
        <w:div w:id="1800758035">
          <w:marLeft w:val="0"/>
          <w:marRight w:val="0"/>
          <w:marTop w:val="0"/>
          <w:marBottom w:val="90"/>
          <w:divBdr>
            <w:top w:val="none" w:sz="0" w:space="0" w:color="auto"/>
            <w:left w:val="none" w:sz="0" w:space="0" w:color="auto"/>
            <w:bottom w:val="none" w:sz="0" w:space="0" w:color="auto"/>
            <w:right w:val="none" w:sz="0" w:space="0" w:color="auto"/>
          </w:divBdr>
        </w:div>
        <w:div w:id="1813523638">
          <w:marLeft w:val="720"/>
          <w:marRight w:val="0"/>
          <w:marTop w:val="0"/>
          <w:marBottom w:val="90"/>
          <w:divBdr>
            <w:top w:val="none" w:sz="0" w:space="0" w:color="auto"/>
            <w:left w:val="none" w:sz="0" w:space="0" w:color="auto"/>
            <w:bottom w:val="none" w:sz="0" w:space="0" w:color="auto"/>
            <w:right w:val="none" w:sz="0" w:space="0" w:color="auto"/>
          </w:divBdr>
        </w:div>
        <w:div w:id="1486122634">
          <w:marLeft w:val="720"/>
          <w:marRight w:val="0"/>
          <w:marTop w:val="0"/>
          <w:marBottom w:val="90"/>
          <w:divBdr>
            <w:top w:val="none" w:sz="0" w:space="0" w:color="auto"/>
            <w:left w:val="none" w:sz="0" w:space="0" w:color="auto"/>
            <w:bottom w:val="none" w:sz="0" w:space="0" w:color="auto"/>
            <w:right w:val="none" w:sz="0" w:space="0" w:color="auto"/>
          </w:divBdr>
        </w:div>
        <w:div w:id="1124539619">
          <w:marLeft w:val="720"/>
          <w:marRight w:val="0"/>
          <w:marTop w:val="0"/>
          <w:marBottom w:val="90"/>
          <w:divBdr>
            <w:top w:val="none" w:sz="0" w:space="0" w:color="auto"/>
            <w:left w:val="none" w:sz="0" w:space="0" w:color="auto"/>
            <w:bottom w:val="none" w:sz="0" w:space="0" w:color="auto"/>
            <w:right w:val="none" w:sz="0" w:space="0" w:color="auto"/>
          </w:divBdr>
        </w:div>
        <w:div w:id="1344669068">
          <w:marLeft w:val="720"/>
          <w:marRight w:val="0"/>
          <w:marTop w:val="0"/>
          <w:marBottom w:val="90"/>
          <w:divBdr>
            <w:top w:val="none" w:sz="0" w:space="0" w:color="auto"/>
            <w:left w:val="none" w:sz="0" w:space="0" w:color="auto"/>
            <w:bottom w:val="none" w:sz="0" w:space="0" w:color="auto"/>
            <w:right w:val="none" w:sz="0" w:space="0" w:color="auto"/>
          </w:divBdr>
        </w:div>
        <w:div w:id="1164512192">
          <w:marLeft w:val="720"/>
          <w:marRight w:val="0"/>
          <w:marTop w:val="0"/>
          <w:marBottom w:val="90"/>
          <w:divBdr>
            <w:top w:val="none" w:sz="0" w:space="0" w:color="auto"/>
            <w:left w:val="none" w:sz="0" w:space="0" w:color="auto"/>
            <w:bottom w:val="none" w:sz="0" w:space="0" w:color="auto"/>
            <w:right w:val="none" w:sz="0" w:space="0" w:color="auto"/>
          </w:divBdr>
        </w:div>
        <w:div w:id="1140075809">
          <w:marLeft w:val="0"/>
          <w:marRight w:val="0"/>
          <w:marTop w:val="0"/>
          <w:marBottom w:val="90"/>
          <w:divBdr>
            <w:top w:val="none" w:sz="0" w:space="0" w:color="auto"/>
            <w:left w:val="none" w:sz="0" w:space="0" w:color="auto"/>
            <w:bottom w:val="none" w:sz="0" w:space="0" w:color="auto"/>
            <w:right w:val="none" w:sz="0" w:space="0" w:color="auto"/>
          </w:divBdr>
        </w:div>
        <w:div w:id="1840073065">
          <w:marLeft w:val="0"/>
          <w:marRight w:val="0"/>
          <w:marTop w:val="0"/>
          <w:marBottom w:val="90"/>
          <w:divBdr>
            <w:top w:val="none" w:sz="0" w:space="0" w:color="auto"/>
            <w:left w:val="none" w:sz="0" w:space="0" w:color="auto"/>
            <w:bottom w:val="none" w:sz="0" w:space="0" w:color="auto"/>
            <w:right w:val="none" w:sz="0" w:space="0" w:color="auto"/>
          </w:divBdr>
        </w:div>
        <w:div w:id="1607494720">
          <w:marLeft w:val="0"/>
          <w:marRight w:val="0"/>
          <w:marTop w:val="0"/>
          <w:marBottom w:val="90"/>
          <w:divBdr>
            <w:top w:val="none" w:sz="0" w:space="0" w:color="auto"/>
            <w:left w:val="none" w:sz="0" w:space="0" w:color="auto"/>
            <w:bottom w:val="none" w:sz="0" w:space="0" w:color="auto"/>
            <w:right w:val="none" w:sz="0" w:space="0" w:color="auto"/>
          </w:divBdr>
        </w:div>
        <w:div w:id="1871643531">
          <w:marLeft w:val="0"/>
          <w:marRight w:val="0"/>
          <w:marTop w:val="0"/>
          <w:marBottom w:val="90"/>
          <w:divBdr>
            <w:top w:val="none" w:sz="0" w:space="0" w:color="auto"/>
            <w:left w:val="none" w:sz="0" w:space="0" w:color="auto"/>
            <w:bottom w:val="none" w:sz="0" w:space="0" w:color="auto"/>
            <w:right w:val="none" w:sz="0" w:space="0" w:color="auto"/>
          </w:divBdr>
        </w:div>
        <w:div w:id="1654679525">
          <w:marLeft w:val="0"/>
          <w:marRight w:val="0"/>
          <w:marTop w:val="0"/>
          <w:marBottom w:val="90"/>
          <w:divBdr>
            <w:top w:val="none" w:sz="0" w:space="0" w:color="auto"/>
            <w:left w:val="none" w:sz="0" w:space="0" w:color="auto"/>
            <w:bottom w:val="none" w:sz="0" w:space="0" w:color="auto"/>
            <w:right w:val="none" w:sz="0" w:space="0" w:color="auto"/>
          </w:divBdr>
        </w:div>
        <w:div w:id="1665666031">
          <w:marLeft w:val="0"/>
          <w:marRight w:val="0"/>
          <w:marTop w:val="0"/>
          <w:marBottom w:val="101"/>
          <w:divBdr>
            <w:top w:val="none" w:sz="0" w:space="0" w:color="auto"/>
            <w:left w:val="none" w:sz="0" w:space="0" w:color="auto"/>
            <w:bottom w:val="none" w:sz="0" w:space="0" w:color="auto"/>
            <w:right w:val="none" w:sz="0" w:space="0" w:color="auto"/>
          </w:divBdr>
        </w:div>
        <w:div w:id="1598711484">
          <w:marLeft w:val="0"/>
          <w:marRight w:val="0"/>
          <w:marTop w:val="0"/>
          <w:marBottom w:val="101"/>
          <w:divBdr>
            <w:top w:val="none" w:sz="0" w:space="0" w:color="auto"/>
            <w:left w:val="none" w:sz="0" w:space="0" w:color="auto"/>
            <w:bottom w:val="none" w:sz="0" w:space="0" w:color="auto"/>
            <w:right w:val="none" w:sz="0" w:space="0" w:color="auto"/>
          </w:divBdr>
        </w:div>
        <w:div w:id="1544125450">
          <w:marLeft w:val="288"/>
          <w:marRight w:val="0"/>
          <w:marTop w:val="0"/>
          <w:marBottom w:val="101"/>
          <w:divBdr>
            <w:top w:val="none" w:sz="0" w:space="0" w:color="auto"/>
            <w:left w:val="none" w:sz="0" w:space="0" w:color="auto"/>
            <w:bottom w:val="none" w:sz="0" w:space="0" w:color="auto"/>
            <w:right w:val="none" w:sz="0" w:space="0" w:color="auto"/>
          </w:divBdr>
        </w:div>
        <w:div w:id="1107038846">
          <w:marLeft w:val="288"/>
          <w:marRight w:val="0"/>
          <w:marTop w:val="0"/>
          <w:marBottom w:val="101"/>
          <w:divBdr>
            <w:top w:val="none" w:sz="0" w:space="0" w:color="auto"/>
            <w:left w:val="none" w:sz="0" w:space="0" w:color="auto"/>
            <w:bottom w:val="none" w:sz="0" w:space="0" w:color="auto"/>
            <w:right w:val="none" w:sz="0" w:space="0" w:color="auto"/>
          </w:divBdr>
        </w:div>
        <w:div w:id="2005668791">
          <w:marLeft w:val="288"/>
          <w:marRight w:val="0"/>
          <w:marTop w:val="0"/>
          <w:marBottom w:val="101"/>
          <w:divBdr>
            <w:top w:val="none" w:sz="0" w:space="0" w:color="auto"/>
            <w:left w:val="none" w:sz="0" w:space="0" w:color="auto"/>
            <w:bottom w:val="none" w:sz="0" w:space="0" w:color="auto"/>
            <w:right w:val="none" w:sz="0" w:space="0" w:color="auto"/>
          </w:divBdr>
        </w:div>
        <w:div w:id="1918636137">
          <w:marLeft w:val="288"/>
          <w:marRight w:val="0"/>
          <w:marTop w:val="0"/>
          <w:marBottom w:val="0"/>
          <w:divBdr>
            <w:top w:val="none" w:sz="0" w:space="0" w:color="auto"/>
            <w:left w:val="none" w:sz="0" w:space="0" w:color="auto"/>
            <w:bottom w:val="none" w:sz="0" w:space="0" w:color="auto"/>
            <w:right w:val="none" w:sz="0" w:space="0" w:color="auto"/>
          </w:divBdr>
        </w:div>
        <w:div w:id="606691418">
          <w:marLeft w:val="288"/>
          <w:marRight w:val="0"/>
          <w:marTop w:val="0"/>
          <w:marBottom w:val="0"/>
          <w:divBdr>
            <w:top w:val="none" w:sz="0" w:space="0" w:color="auto"/>
            <w:left w:val="none" w:sz="0" w:space="0" w:color="auto"/>
            <w:bottom w:val="none" w:sz="0" w:space="0" w:color="auto"/>
            <w:right w:val="none" w:sz="0" w:space="0" w:color="auto"/>
          </w:divBdr>
        </w:div>
        <w:div w:id="281769829">
          <w:marLeft w:val="288"/>
          <w:marRight w:val="0"/>
          <w:marTop w:val="0"/>
          <w:marBottom w:val="0"/>
          <w:divBdr>
            <w:top w:val="none" w:sz="0" w:space="0" w:color="auto"/>
            <w:left w:val="none" w:sz="0" w:space="0" w:color="auto"/>
            <w:bottom w:val="none" w:sz="0" w:space="0" w:color="auto"/>
            <w:right w:val="none" w:sz="0" w:space="0" w:color="auto"/>
          </w:divBdr>
        </w:div>
        <w:div w:id="80491750">
          <w:marLeft w:val="288"/>
          <w:marRight w:val="0"/>
          <w:marTop w:val="0"/>
          <w:marBottom w:val="101"/>
          <w:divBdr>
            <w:top w:val="none" w:sz="0" w:space="0" w:color="auto"/>
            <w:left w:val="none" w:sz="0" w:space="0" w:color="auto"/>
            <w:bottom w:val="none" w:sz="0" w:space="0" w:color="auto"/>
            <w:right w:val="none" w:sz="0" w:space="0" w:color="auto"/>
          </w:divBdr>
        </w:div>
        <w:div w:id="37777783">
          <w:marLeft w:val="288"/>
          <w:marRight w:val="0"/>
          <w:marTop w:val="0"/>
          <w:marBottom w:val="101"/>
          <w:divBdr>
            <w:top w:val="none" w:sz="0" w:space="0" w:color="auto"/>
            <w:left w:val="none" w:sz="0" w:space="0" w:color="auto"/>
            <w:bottom w:val="none" w:sz="0" w:space="0" w:color="auto"/>
            <w:right w:val="none" w:sz="0" w:space="0" w:color="auto"/>
          </w:divBdr>
        </w:div>
        <w:div w:id="156116408">
          <w:marLeft w:val="288"/>
          <w:marRight w:val="0"/>
          <w:marTop w:val="0"/>
          <w:marBottom w:val="0"/>
          <w:divBdr>
            <w:top w:val="none" w:sz="0" w:space="0" w:color="auto"/>
            <w:left w:val="none" w:sz="0" w:space="0" w:color="auto"/>
            <w:bottom w:val="none" w:sz="0" w:space="0" w:color="auto"/>
            <w:right w:val="none" w:sz="0" w:space="0" w:color="auto"/>
          </w:divBdr>
        </w:div>
        <w:div w:id="521357312">
          <w:marLeft w:val="288"/>
          <w:marRight w:val="0"/>
          <w:marTop w:val="0"/>
          <w:marBottom w:val="0"/>
          <w:divBdr>
            <w:top w:val="none" w:sz="0" w:space="0" w:color="auto"/>
            <w:left w:val="none" w:sz="0" w:space="0" w:color="auto"/>
            <w:bottom w:val="none" w:sz="0" w:space="0" w:color="auto"/>
            <w:right w:val="none" w:sz="0" w:space="0" w:color="auto"/>
          </w:divBdr>
        </w:div>
        <w:div w:id="851459760">
          <w:marLeft w:val="288"/>
          <w:marRight w:val="0"/>
          <w:marTop w:val="0"/>
          <w:marBottom w:val="0"/>
          <w:divBdr>
            <w:top w:val="none" w:sz="0" w:space="0" w:color="auto"/>
            <w:left w:val="none" w:sz="0" w:space="0" w:color="auto"/>
            <w:bottom w:val="none" w:sz="0" w:space="0" w:color="auto"/>
            <w:right w:val="none" w:sz="0" w:space="0" w:color="auto"/>
          </w:divBdr>
        </w:div>
        <w:div w:id="1991445637">
          <w:marLeft w:val="288"/>
          <w:marRight w:val="0"/>
          <w:marTop w:val="0"/>
          <w:marBottom w:val="101"/>
          <w:divBdr>
            <w:top w:val="none" w:sz="0" w:space="0" w:color="auto"/>
            <w:left w:val="none" w:sz="0" w:space="0" w:color="auto"/>
            <w:bottom w:val="none" w:sz="0" w:space="0" w:color="auto"/>
            <w:right w:val="none" w:sz="0" w:space="0" w:color="auto"/>
          </w:divBdr>
        </w:div>
        <w:div w:id="1449815317">
          <w:marLeft w:val="0"/>
          <w:marRight w:val="0"/>
          <w:marTop w:val="101"/>
          <w:marBottom w:val="101"/>
          <w:divBdr>
            <w:top w:val="none" w:sz="0" w:space="0" w:color="auto"/>
            <w:left w:val="none" w:sz="0" w:space="0" w:color="auto"/>
            <w:bottom w:val="none" w:sz="0" w:space="0" w:color="auto"/>
            <w:right w:val="none" w:sz="0" w:space="0" w:color="auto"/>
          </w:divBdr>
        </w:div>
        <w:div w:id="1983844762">
          <w:marLeft w:val="0"/>
          <w:marRight w:val="0"/>
          <w:marTop w:val="0"/>
          <w:marBottom w:val="101"/>
          <w:divBdr>
            <w:top w:val="none" w:sz="0" w:space="0" w:color="auto"/>
            <w:left w:val="none" w:sz="0" w:space="0" w:color="auto"/>
            <w:bottom w:val="none" w:sz="0" w:space="0" w:color="auto"/>
            <w:right w:val="none" w:sz="0" w:space="0" w:color="auto"/>
          </w:divBdr>
        </w:div>
        <w:div w:id="1302033632">
          <w:marLeft w:val="0"/>
          <w:marRight w:val="0"/>
          <w:marTop w:val="0"/>
          <w:marBottom w:val="101"/>
          <w:divBdr>
            <w:top w:val="none" w:sz="0" w:space="0" w:color="auto"/>
            <w:left w:val="none" w:sz="0" w:space="0" w:color="auto"/>
            <w:bottom w:val="none" w:sz="0" w:space="0" w:color="auto"/>
            <w:right w:val="none" w:sz="0" w:space="0" w:color="auto"/>
          </w:divBdr>
        </w:div>
        <w:div w:id="1636790844">
          <w:marLeft w:val="0"/>
          <w:marRight w:val="0"/>
          <w:marTop w:val="0"/>
          <w:marBottom w:val="101"/>
          <w:divBdr>
            <w:top w:val="none" w:sz="0" w:space="0" w:color="auto"/>
            <w:left w:val="none" w:sz="0" w:space="0" w:color="auto"/>
            <w:bottom w:val="none" w:sz="0" w:space="0" w:color="auto"/>
            <w:right w:val="none" w:sz="0" w:space="0" w:color="auto"/>
          </w:divBdr>
        </w:div>
        <w:div w:id="149175806">
          <w:marLeft w:val="0"/>
          <w:marRight w:val="0"/>
          <w:marTop w:val="0"/>
          <w:marBottom w:val="101"/>
          <w:divBdr>
            <w:top w:val="none" w:sz="0" w:space="0" w:color="auto"/>
            <w:left w:val="none" w:sz="0" w:space="0" w:color="auto"/>
            <w:bottom w:val="none" w:sz="0" w:space="0" w:color="auto"/>
            <w:right w:val="none" w:sz="0" w:space="0" w:color="auto"/>
          </w:divBdr>
        </w:div>
        <w:div w:id="1188258006">
          <w:marLeft w:val="0"/>
          <w:marRight w:val="0"/>
          <w:marTop w:val="0"/>
          <w:marBottom w:val="101"/>
          <w:divBdr>
            <w:top w:val="none" w:sz="0" w:space="0" w:color="auto"/>
            <w:left w:val="none" w:sz="0" w:space="0" w:color="auto"/>
            <w:bottom w:val="none" w:sz="0" w:space="0" w:color="auto"/>
            <w:right w:val="none" w:sz="0" w:space="0" w:color="auto"/>
          </w:divBdr>
        </w:div>
        <w:div w:id="669718942">
          <w:marLeft w:val="0"/>
          <w:marRight w:val="0"/>
          <w:marTop w:val="0"/>
          <w:marBottom w:val="101"/>
          <w:divBdr>
            <w:top w:val="none" w:sz="0" w:space="0" w:color="auto"/>
            <w:left w:val="none" w:sz="0" w:space="0" w:color="auto"/>
            <w:bottom w:val="none" w:sz="0" w:space="0" w:color="auto"/>
            <w:right w:val="none" w:sz="0" w:space="0" w:color="auto"/>
          </w:divBdr>
        </w:div>
        <w:div w:id="1186748389">
          <w:marLeft w:val="0"/>
          <w:marRight w:val="0"/>
          <w:marTop w:val="0"/>
          <w:marBottom w:val="101"/>
          <w:divBdr>
            <w:top w:val="none" w:sz="0" w:space="0" w:color="auto"/>
            <w:left w:val="none" w:sz="0" w:space="0" w:color="auto"/>
            <w:bottom w:val="none" w:sz="0" w:space="0" w:color="auto"/>
            <w:right w:val="none" w:sz="0" w:space="0" w:color="auto"/>
          </w:divBdr>
        </w:div>
        <w:div w:id="22634164">
          <w:marLeft w:val="0"/>
          <w:marRight w:val="0"/>
          <w:marTop w:val="0"/>
          <w:marBottom w:val="101"/>
          <w:divBdr>
            <w:top w:val="none" w:sz="0" w:space="0" w:color="auto"/>
            <w:left w:val="none" w:sz="0" w:space="0" w:color="auto"/>
            <w:bottom w:val="none" w:sz="0" w:space="0" w:color="auto"/>
            <w:right w:val="none" w:sz="0" w:space="0" w:color="auto"/>
          </w:divBdr>
        </w:div>
        <w:div w:id="1160999906">
          <w:marLeft w:val="0"/>
          <w:marRight w:val="0"/>
          <w:marTop w:val="0"/>
          <w:marBottom w:val="101"/>
          <w:divBdr>
            <w:top w:val="none" w:sz="0" w:space="0" w:color="auto"/>
            <w:left w:val="none" w:sz="0" w:space="0" w:color="auto"/>
            <w:bottom w:val="none" w:sz="0" w:space="0" w:color="auto"/>
            <w:right w:val="none" w:sz="0" w:space="0" w:color="auto"/>
          </w:divBdr>
        </w:div>
        <w:div w:id="1271355697">
          <w:marLeft w:val="0"/>
          <w:marRight w:val="0"/>
          <w:marTop w:val="0"/>
          <w:marBottom w:val="101"/>
          <w:divBdr>
            <w:top w:val="none" w:sz="0" w:space="0" w:color="auto"/>
            <w:left w:val="none" w:sz="0" w:space="0" w:color="auto"/>
            <w:bottom w:val="none" w:sz="0" w:space="0" w:color="auto"/>
            <w:right w:val="none" w:sz="0" w:space="0" w:color="auto"/>
          </w:divBdr>
        </w:div>
        <w:div w:id="1066030537">
          <w:marLeft w:val="0"/>
          <w:marRight w:val="0"/>
          <w:marTop w:val="0"/>
          <w:marBottom w:val="101"/>
          <w:divBdr>
            <w:top w:val="none" w:sz="0" w:space="0" w:color="auto"/>
            <w:left w:val="none" w:sz="0" w:space="0" w:color="auto"/>
            <w:bottom w:val="none" w:sz="0" w:space="0" w:color="auto"/>
            <w:right w:val="none" w:sz="0" w:space="0" w:color="auto"/>
          </w:divBdr>
        </w:div>
        <w:div w:id="797916226">
          <w:marLeft w:val="0"/>
          <w:marRight w:val="0"/>
          <w:marTop w:val="0"/>
          <w:marBottom w:val="101"/>
          <w:divBdr>
            <w:top w:val="none" w:sz="0" w:space="0" w:color="auto"/>
            <w:left w:val="none" w:sz="0" w:space="0" w:color="auto"/>
            <w:bottom w:val="none" w:sz="0" w:space="0" w:color="auto"/>
            <w:right w:val="none" w:sz="0" w:space="0" w:color="auto"/>
          </w:divBdr>
        </w:div>
        <w:div w:id="1220825114">
          <w:marLeft w:val="0"/>
          <w:marRight w:val="0"/>
          <w:marTop w:val="0"/>
          <w:marBottom w:val="101"/>
          <w:divBdr>
            <w:top w:val="none" w:sz="0" w:space="0" w:color="auto"/>
            <w:left w:val="none" w:sz="0" w:space="0" w:color="auto"/>
            <w:bottom w:val="none" w:sz="0" w:space="0" w:color="auto"/>
            <w:right w:val="none" w:sz="0" w:space="0" w:color="auto"/>
          </w:divBdr>
        </w:div>
        <w:div w:id="454639937">
          <w:marLeft w:val="0"/>
          <w:marRight w:val="0"/>
          <w:marTop w:val="101"/>
          <w:marBottom w:val="101"/>
          <w:divBdr>
            <w:top w:val="none" w:sz="0" w:space="0" w:color="auto"/>
            <w:left w:val="none" w:sz="0" w:space="0" w:color="auto"/>
            <w:bottom w:val="none" w:sz="0" w:space="0" w:color="auto"/>
            <w:right w:val="none" w:sz="0" w:space="0" w:color="auto"/>
          </w:divBdr>
        </w:div>
        <w:div w:id="20516634">
          <w:marLeft w:val="0"/>
          <w:marRight w:val="0"/>
          <w:marTop w:val="0"/>
          <w:marBottom w:val="101"/>
          <w:divBdr>
            <w:top w:val="none" w:sz="0" w:space="0" w:color="auto"/>
            <w:left w:val="none" w:sz="0" w:space="0" w:color="auto"/>
            <w:bottom w:val="none" w:sz="0" w:space="0" w:color="auto"/>
            <w:right w:val="none" w:sz="0" w:space="0" w:color="auto"/>
          </w:divBdr>
        </w:div>
        <w:div w:id="1752577767">
          <w:marLeft w:val="0"/>
          <w:marRight w:val="0"/>
          <w:marTop w:val="0"/>
          <w:marBottom w:val="101"/>
          <w:divBdr>
            <w:top w:val="none" w:sz="0" w:space="0" w:color="auto"/>
            <w:left w:val="none" w:sz="0" w:space="0" w:color="auto"/>
            <w:bottom w:val="none" w:sz="0" w:space="0" w:color="auto"/>
            <w:right w:val="none" w:sz="0" w:space="0" w:color="auto"/>
          </w:divBdr>
        </w:div>
        <w:div w:id="1173103964">
          <w:marLeft w:val="0"/>
          <w:marRight w:val="0"/>
          <w:marTop w:val="0"/>
          <w:marBottom w:val="101"/>
          <w:divBdr>
            <w:top w:val="none" w:sz="0" w:space="0" w:color="auto"/>
            <w:left w:val="none" w:sz="0" w:space="0" w:color="auto"/>
            <w:bottom w:val="none" w:sz="0" w:space="0" w:color="auto"/>
            <w:right w:val="none" w:sz="0" w:space="0" w:color="auto"/>
          </w:divBdr>
        </w:div>
        <w:div w:id="1106341912">
          <w:marLeft w:val="0"/>
          <w:marRight w:val="0"/>
          <w:marTop w:val="0"/>
          <w:marBottom w:val="101"/>
          <w:divBdr>
            <w:top w:val="none" w:sz="0" w:space="0" w:color="auto"/>
            <w:left w:val="none" w:sz="0" w:space="0" w:color="auto"/>
            <w:bottom w:val="none" w:sz="0" w:space="0" w:color="auto"/>
            <w:right w:val="none" w:sz="0" w:space="0" w:color="auto"/>
          </w:divBdr>
        </w:div>
        <w:div w:id="1688292820">
          <w:marLeft w:val="0"/>
          <w:marRight w:val="0"/>
          <w:marTop w:val="0"/>
          <w:marBottom w:val="101"/>
          <w:divBdr>
            <w:top w:val="none" w:sz="0" w:space="0" w:color="auto"/>
            <w:left w:val="none" w:sz="0" w:space="0" w:color="auto"/>
            <w:bottom w:val="none" w:sz="0" w:space="0" w:color="auto"/>
            <w:right w:val="none" w:sz="0" w:space="0" w:color="auto"/>
          </w:divBdr>
        </w:div>
        <w:div w:id="1794402958">
          <w:marLeft w:val="0"/>
          <w:marRight w:val="0"/>
          <w:marTop w:val="0"/>
          <w:marBottom w:val="101"/>
          <w:divBdr>
            <w:top w:val="none" w:sz="0" w:space="0" w:color="auto"/>
            <w:left w:val="none" w:sz="0" w:space="0" w:color="auto"/>
            <w:bottom w:val="none" w:sz="0" w:space="0" w:color="auto"/>
            <w:right w:val="none" w:sz="0" w:space="0" w:color="auto"/>
          </w:divBdr>
        </w:div>
        <w:div w:id="2117561076">
          <w:marLeft w:val="0"/>
          <w:marRight w:val="0"/>
          <w:marTop w:val="0"/>
          <w:marBottom w:val="101"/>
          <w:divBdr>
            <w:top w:val="none" w:sz="0" w:space="0" w:color="auto"/>
            <w:left w:val="none" w:sz="0" w:space="0" w:color="auto"/>
            <w:bottom w:val="none" w:sz="0" w:space="0" w:color="auto"/>
            <w:right w:val="none" w:sz="0" w:space="0" w:color="auto"/>
          </w:divBdr>
        </w:div>
        <w:div w:id="850030952">
          <w:marLeft w:val="0"/>
          <w:marRight w:val="0"/>
          <w:marTop w:val="0"/>
          <w:marBottom w:val="101"/>
          <w:divBdr>
            <w:top w:val="none" w:sz="0" w:space="0" w:color="auto"/>
            <w:left w:val="none" w:sz="0" w:space="0" w:color="auto"/>
            <w:bottom w:val="none" w:sz="0" w:space="0" w:color="auto"/>
            <w:right w:val="none" w:sz="0" w:space="0" w:color="auto"/>
          </w:divBdr>
        </w:div>
        <w:div w:id="1452237107">
          <w:marLeft w:val="0"/>
          <w:marRight w:val="0"/>
          <w:marTop w:val="0"/>
          <w:marBottom w:val="101"/>
          <w:divBdr>
            <w:top w:val="none" w:sz="0" w:space="0" w:color="auto"/>
            <w:left w:val="none" w:sz="0" w:space="0" w:color="auto"/>
            <w:bottom w:val="none" w:sz="0" w:space="0" w:color="auto"/>
            <w:right w:val="none" w:sz="0" w:space="0" w:color="auto"/>
          </w:divBdr>
        </w:div>
      </w:divsChild>
    </w:div>
    <w:div w:id="13591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2018-11-21T18:44:00Z</dcterms:created>
  <dcterms:modified xsi:type="dcterms:W3CDTF">2018-11-21T18:45:00Z</dcterms:modified>
</cp:coreProperties>
</file>