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aprueba el Segundo Protocolo Modificatorio al Tratado de Libre Comercio entre los Estados Unidos Mexicanos y la República Oriental del Uruguay, firmado en la ciudad de Santa Cruz de la Sierra, Bolivia, el quince de noviembre de dos mil tres, firmado en Montevideo, el veintisiete de noviembre de dos mil diecinueve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Cámara de Senadores del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LA CÁMARA DE SENADORES DEL HONORABLE CONGRESO DE LA UNIÓN, EN EJERCICIO DE LA FACULTAD QUE LE CONFIERE EL ARTÍCULO 76, FRACCIÓN I DE LA CONSTITUCIÓN POLÍTICA DE LOS ESTADOS UNIDOS MEXICANOS,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DECRETA:</w:t>
      </w:r>
    </w:p>
    <w:p w:rsidR="00000000" w:rsidDel="00000000" w:rsidP="00000000" w:rsidRDefault="00000000" w:rsidRPr="00000000" w14:paraId="0000000A">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aprueba el </w:t>
      </w:r>
      <w:r w:rsidDel="00000000" w:rsidR="00000000" w:rsidRPr="00000000">
        <w:rPr>
          <w:b w:val="1"/>
          <w:i w:val="1"/>
          <w:color w:val="2f2f2f"/>
          <w:sz w:val="18"/>
          <w:szCs w:val="18"/>
          <w:rtl w:val="0"/>
        </w:rPr>
        <w:t xml:space="preserve">Segundo Protocolo Modificatorio al Tratado de Libre Comercio entre los Estados Unidos Mexicanos y la República Oriental del Uruguay, firmado en la ciudad de Santa Cruz de la Sierra, Bolivia, el quince de noviembre de dos mil tres, firmado en Montevideo, el veintisiete de noviembre de dos mil diecinueve.</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29 de abril de 2021.-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Sen. </w:t>
      </w:r>
      <w:r w:rsidDel="00000000" w:rsidR="00000000" w:rsidRPr="00000000">
        <w:rPr>
          <w:b w:val="1"/>
          <w:color w:val="2f2f2f"/>
          <w:sz w:val="18"/>
          <w:szCs w:val="18"/>
          <w:rtl w:val="0"/>
        </w:rPr>
        <w:t xml:space="preserve">Nancy de la Sierra Arámburo</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 de junio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