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General 39/2023 del Pleno del Consejo de la Judicatura Federal, relativo a la conclusión de funciones de los Plenos Regionales, con residencias en Cuernavaca, Morelos, Guadalajara, Jalisco, Monterrey, Nuevo León, y San Andrés Cholula, Puebla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4">
      <w:pPr>
        <w:shd w:fill="ffffff" w:val="clear"/>
        <w:spacing w:after="100" w:lineRule="auto"/>
        <w:ind w:firstLine="280"/>
        <w:jc w:val="both"/>
        <w:rPr>
          <w:color w:val="2f2f2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ACUERDO GENERAL 39/2023, DEL PLENO DEL CONSEJO DE LA JUDICATURA FEDERAL, RELATIVO A LA CONCLUSIÓN DE FUNCIONES DE LOS PLENOS REGIONALES, CON RESIDENCIAS EN CUERNAVACA, MORELOS, GUADALAJARA, JALISCO, MONTERREY, NUEVO LEÓN, Y SAN ANDRÉS CHOLULA, PUEBLA.</w:t>
      </w:r>
    </w:p>
    <w:p w:rsidR="00000000" w:rsidDel="00000000" w:rsidP="00000000" w:rsidRDefault="00000000" w:rsidRPr="00000000" w14:paraId="00000007">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De conformidad con los artículos 94, párrafo séptimo, de la Constitución Política de los Estados Unidos Mexicanos, y 86, fracción III, de la Ley Orgánica del Poder Judicial de la Federación, son atribuciones del Consejo de la Judicatura Federal determinar el número y límites territoriales de los circuitos en que se divida el territorio de la República Mexicana, así como las regiones a las que pertenezcan, y en las cuales ejercerán jurisdicción los plenos regionales;</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El 11 de marzo de 2021 se publicó en el Diario Oficial de la Federación, el Decreto por el que se declaran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Plenos de Circuito en Plenos Regionales, considerando para su establecimiento la agrupación de circuitos, según las cargas de trabajo y las estadísticas de asuntos planteados y resueltos;</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QUINTO.</w:t>
      </w:r>
      <w:r w:rsidDel="00000000" w:rsidR="00000000" w:rsidRPr="00000000">
        <w:rPr>
          <w:color w:val="2f2f2f"/>
          <w:sz w:val="20"/>
          <w:szCs w:val="20"/>
          <w:rtl w:val="0"/>
        </w:rPr>
        <w:t xml:space="preserve"> Para instrumentar la mencionada transformación, en sesión del 9 de noviembre de 2022, el Pleno del Consejo de la Judicatura Federal aprobó el estudio relativo a la transformación de los Plenos de Circuito en Plenos Regionales; así como el Acuerdo General 67/2022 del Pleno del Consejo de la Judicatura Federal, que reglamenta la competencia, integración, organización y funcionamiento de los Plenos Regionales, mediante el cual se determinó la conformación de la Región Centro-Norte y Región Centro-Sur.</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Además, el Acuerdo General referido estableció que cada una de las Regiones estaría integrada por cuatro Plenos especializados en materias penal, administrativa, civil o de trabajo;</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SEXTO. </w:t>
      </w:r>
      <w:r w:rsidDel="00000000" w:rsidR="00000000" w:rsidRPr="00000000">
        <w:rPr>
          <w:color w:val="2f2f2f"/>
          <w:sz w:val="20"/>
          <w:szCs w:val="20"/>
          <w:rtl w:val="0"/>
        </w:rPr>
        <w:t xml:space="preserve">Mediante el Acuerdo General 108/2022 del Pleno del Consejo de la Judicatura Federal, relativo a la creación, denominación e inicio de funciones de los Plenos Regionales de las Regiones Centro-Norte y Centro-Sur, así como su competencia, jurisdicción territorial y domicilio, se determinó el inicio de funciones de los Plenos de las Regiones Centro-Norte y Centro-Sur, a partir del 16 de enero de 2023; y</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SÉPTIMO. </w:t>
      </w:r>
      <w:r w:rsidDel="00000000" w:rsidR="00000000" w:rsidRPr="00000000">
        <w:rPr>
          <w:color w:val="2f2f2f"/>
          <w:sz w:val="20"/>
          <w:szCs w:val="20"/>
          <w:rtl w:val="0"/>
        </w:rPr>
        <w:t xml:space="preserve">El Pleno del Consejo de la Judicatura Federal, en sesión de 6 de diciembre de 2023, aprobó el estudio relativo al cambio de denominación y competencia de los Plenos Regionales de las Regiones Centro-Norte y Centro-Sur, con residencia en la Ciudad de México, así como la conclusión de funciones de algunos Plenos Regionales; y los Acuerdos Generales respectivos.</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Por lo anterior, se expide el siguiente</w:t>
      </w:r>
    </w:p>
    <w:p w:rsidR="00000000" w:rsidDel="00000000" w:rsidP="00000000" w:rsidRDefault="00000000" w:rsidRPr="00000000" w14:paraId="00000011">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1.</w:t>
      </w:r>
      <w:r w:rsidDel="00000000" w:rsidR="00000000" w:rsidRPr="00000000">
        <w:rPr>
          <w:color w:val="2f2f2f"/>
          <w:sz w:val="20"/>
          <w:szCs w:val="20"/>
          <w:rtl w:val="0"/>
        </w:rPr>
        <w:t xml:space="preserve"> Los Plenos Regionales en Materia de Trabajo de la Región Centro-Norte, con residencia en Monterrey, Nuevo León; en Materia Penal de la Región Centro-Sur, con residencia en San Andrés Cholula, Puebla; en Materia Administrativa de la Región Centro-Sur, con residencia en Cuernavaca, Morelos; y en Materia Civil de la Región Centro-Sur, con residencia en Guadalajara, Jalisco, concluyen funciones a las veinticuatro horas del 15 de enero de 2024.</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2.</w:t>
      </w:r>
      <w:r w:rsidDel="00000000" w:rsidR="00000000" w:rsidRPr="00000000">
        <w:rPr>
          <w:color w:val="2f2f2f"/>
          <w:sz w:val="20"/>
          <w:szCs w:val="20"/>
          <w:rtl w:val="0"/>
        </w:rPr>
        <w:t xml:space="preserve"> Los Plenos Regionales que concluyen funciones procurarán egresar los asuntos que tengan pendientes de resolución antes de la fecha señalada en el artículo 1. En caso de que ello no sea posible, los asuntos pendientes de resolución serán distribuidos al Pleno Regional que conocerá de los asuntos, atendiendo a la Región y a la materia correspondiente.</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3.</w:t>
      </w:r>
      <w:r w:rsidDel="00000000" w:rsidR="00000000" w:rsidRPr="00000000">
        <w:rPr>
          <w:color w:val="2f2f2f"/>
          <w:sz w:val="20"/>
          <w:szCs w:val="20"/>
          <w:rtl w:val="0"/>
        </w:rPr>
        <w:t xml:space="preserve"> Las personas titulares de los órganos jurisdiccionales que concluyen funciones designarán a la o el servidor público encargado de elaborar una relación de los asuntos pendientes de resolución, que se enumerarán de forma consecutiva, por tipo de asunto y por orden de antigüedad. También elaborará el acta de entrega-recepción de los expedientes y sus anexos, y entregará un tanto a la Dirección General de Gestión Judicial, y otro lo enviará a la Secretaría Ejecutiva de Creación de Nuevos Órganos, en la que conste la devolución respectiva al Pleno Regional que corresponda.</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Asimismo, la referida persona servidora pública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4. </w:t>
      </w:r>
      <w:r w:rsidDel="00000000" w:rsidR="00000000" w:rsidRPr="00000000">
        <w:rPr>
          <w:color w:val="2f2f2f"/>
          <w:sz w:val="20"/>
          <w:szCs w:val="20"/>
          <w:rtl w:val="0"/>
        </w:rPr>
        <w:t xml:space="preserve">Los libros electrónicos de control y reportes estadísticos contenidos en el Sistema Integral de Seguimiento de Expedientes de los órganos jurisdiccionales que concluyen funciones deberán permanecer almacenados en el referido sistema.</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5. </w:t>
      </w:r>
      <w:r w:rsidDel="00000000" w:rsidR="00000000" w:rsidRPr="00000000">
        <w:rPr>
          <w:color w:val="2f2f2f"/>
          <w:sz w:val="20"/>
          <w:szCs w:val="20"/>
          <w:rtl w:val="0"/>
        </w:rPr>
        <w:t xml:space="preserve">La entrega-recepción de los documentos, mobiliario, equipo y demás documentación o enseres concluirá, a más tardar, un día antes de la fecha de conclusión de funciones. En caso de que se cuente con documentación susceptible de ser destruida, las personas Presidentas de cada Pleno Regional deberán cerciorarse de que ello se lleve a cabo.</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6. </w:t>
      </w:r>
      <w:r w:rsidDel="00000000" w:rsidR="00000000" w:rsidRPr="00000000">
        <w:rPr>
          <w:color w:val="2f2f2f"/>
          <w:sz w:val="20"/>
          <w:szCs w:val="20"/>
          <w:rtl w:val="0"/>
        </w:rPr>
        <w:t xml:space="preserve">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000000" w:rsidDel="00000000" w:rsidP="00000000" w:rsidRDefault="00000000" w:rsidRPr="00000000" w14:paraId="00000019">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presente Acuerdo entrará en vigor al día siguiente de su aprobación.</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Publíquese este Acuerdo en el Diario Oficial de la Federación, en el Semanario Judicial de la Federación y su Gaceta; así como en el portal del Consejo de la Judicatura Federal en Intranet e Internet.</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00000" w:rsidDel="00000000" w:rsidP="00000000" w:rsidRDefault="00000000" w:rsidRPr="00000000" w14:paraId="0000001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MAGISTRADO </w:t>
      </w:r>
      <w:r w:rsidDel="00000000" w:rsidR="00000000" w:rsidRPr="00000000">
        <w:rPr>
          <w:b w:val="1"/>
          <w:color w:val="2f2f2f"/>
          <w:sz w:val="20"/>
          <w:szCs w:val="20"/>
          <w:rtl w:val="0"/>
        </w:rPr>
        <w:t xml:space="preserve">JOSÉ ALFONSO MONTALVO MARTÍNEZ</w:t>
      </w:r>
      <w:r w:rsidDel="00000000" w:rsidR="00000000" w:rsidRPr="00000000">
        <w:rPr>
          <w:color w:val="2f2f2f"/>
          <w:sz w:val="20"/>
          <w:szCs w:val="20"/>
          <w:rtl w:val="0"/>
        </w:rPr>
        <w:t xml:space="preserve">, SECRETARIO EJECUTIVO DEL PLENO DEL CONSEJO DE LA JUDICATURA FEDERAL, CERTIFICA</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Que este Acuerdo General 39/2023, del Pleno del Consejo de la Judicatura Federal, relativo a la conclusión de funciones de los Plenos Regionales, con residencias en Cuernavaca, Morelos, Guadalajara, Jalisco, Monterrey, Nuevo León, y San Andrés Cholula, Puebla, fue aprobado por el Pleno del propio Consejo, en sesión ordinaria de 6 de diciembre de 2023, por unanimidad de votos de los señores Consejeros: Presidenta Ministra Norma Lucía Piña Hernández, Bernardo Bátiz Vázquez, Alejandro Sergio González Bernabé, Lilia Mónica López Benítez, Celia Maya García y Sergio Javier Molina Martínez.- Ciudad de México, a 15 de diciembre de 2023.- Conste.- Rúbrica.</w:t>
      </w:r>
    </w:p>
    <w:p w:rsidR="00000000" w:rsidDel="00000000" w:rsidP="00000000" w:rsidRDefault="00000000" w:rsidRPr="00000000" w14:paraId="0000001E">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