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abroga el diverso que establece las bases conforme a las cuales se aplicará el Acuerdo de Alcance Parcial No. 38, suscrito entre los Estados Unidos Mexicanos y la República del Paraguay, publicado en el Diario Oficial de la Federación el 17 de abril de 2000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junio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2o. y 4o., fracción I de la Ley de Comercio Exterior, y</w:t>
      </w:r>
    </w:p>
    <w:p w:rsidR="00000000" w:rsidDel="00000000" w:rsidP="00000000" w:rsidRDefault="00000000" w:rsidRPr="00000000" w14:paraId="00000006">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28 de diciembre de 1980 el Senado de la República aprobó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 (ALADI);</w:t>
      </w:r>
    </w:p>
    <w:p w:rsidR="00000000" w:rsidDel="00000000" w:rsidP="00000000" w:rsidRDefault="00000000" w:rsidRPr="00000000" w14:paraId="000000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el marco del Tratado, los Estados Unidos Mexicanos y la República del Paraguay, suscribieron el 31 de mayo de 1993 el Acuerdo de Alcance Parcial de Renegociación No. 38 (Acuerdo de Alcance Parcial No. 38), mismo que establece diversas preferencias arancelarias aplicables a la importación de los productos originarios de sus respectivos territorios;</w:t>
      </w:r>
    </w:p>
    <w:p w:rsidR="00000000" w:rsidDel="00000000" w:rsidP="00000000" w:rsidRDefault="00000000" w:rsidRPr="00000000" w14:paraId="0000000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17 de abril de 2000 se publicó en el Diario Oficial de la Federación el Decreto que establece las bases conforme a las cuales se aplicará el Acuerdo de Alcance Parcial No. 38, suscrito entre los Estados Unidos Mexicanos y la República del Paraguay, reformado en diversos instrumentos publicados en el mismo medio de difusión el 17 de marzo y 7 de diciembre de 2005 y 5 de septiembre de 2006, con el fin de aplicar las preferencias arancelarias otorgadas por los Estados Unidos Mexicanos a la República del Paraguay, en el marco del referido Acuerdo;</w:t>
      </w:r>
    </w:p>
    <w:p w:rsidR="00000000" w:rsidDel="00000000" w:rsidP="00000000" w:rsidRDefault="00000000" w:rsidRPr="00000000" w14:paraId="000000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para adoptar las modificaciones derivadas de la Sexta Enmienda señalada en el párrafo anterior, el 1 de julio de 2020 se publicó en el Diario Oficial de la Federación el Decreto por el que se expide la Ley de los Impuestos Generales de Importación y de Exportación, y se reforman y adicionan diversas disposiciones de la Ley Aduanera (Decreto), en virtud del cual, en las disposiciones referentes a la Ley de los Impuestos Generales de Importación y de Exportación se establece la Tarifa con los aranceles aplicables a la importación y exportación de mercancías en el territorio nacional;</w:t>
      </w:r>
    </w:p>
    <w:p w:rsidR="00000000" w:rsidDel="00000000" w:rsidP="00000000" w:rsidRDefault="00000000" w:rsidRPr="00000000" w14:paraId="0000000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de conformidad con el Transitorio Primero del referido Decreto, los artículos 1o. y 2o., fracciones I y II y reglas 1ª, 2ª y 4ª a 9ª de la Ley de los Impuestos Generales de Importación y de Exportación entraron en vigor el 28 de diciembre de 2020, y</w:t>
      </w:r>
    </w:p>
    <w:p w:rsidR="00000000" w:rsidDel="00000000" w:rsidP="00000000" w:rsidRDefault="00000000" w:rsidRPr="00000000" w14:paraId="000000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Que en razón de lo anterior, el Decreto que establece las bases conforme a las cuales se aplicará el Acuerdo de Alcance Parcial No. 38, suscrito entre los Estados Unidos Mexicanos y la República del Paraguay, publicado en el Diario Oficial de la Federación el 17 de abril de 2000, no refleja las obligaciones asumidas por México en el marco del Acuerdo de Alcance Parcial No. 38, en términos de la Ley de los Impuestos Generales de Importación y de Exportación vigente, por lo que he tenido a bien expedir el siguiente</w:t>
      </w:r>
    </w:p>
    <w:p w:rsidR="00000000" w:rsidDel="00000000" w:rsidP="00000000" w:rsidRDefault="00000000" w:rsidRPr="00000000" w14:paraId="0000000E">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abroga el Decreto que establece las bases conforme a las cuales se aplicará el Acuerdo de Alcance Parcial No. 38, suscrito entre los Estados Unidos Mexicanos y la República del Paraguay, publicado en el Diario Oficial de la Federación el 17 de abril de 2000 y reformado en diversos instrumentos publicados en el mismo medio de difusión el 17 de marzo y 7 de diciembre de 2005 y el 5 de septiembre de 2006.</w:t>
      </w:r>
    </w:p>
    <w:p w:rsidR="00000000" w:rsidDel="00000000" w:rsidP="00000000" w:rsidRDefault="00000000" w:rsidRPr="00000000" w14:paraId="00000010">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1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28 de mayo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4">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15">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