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mayo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pesquero y agropecuario para el mes de mayo de 2021.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 los estímulos fiscales aplicables para el mes de mayo de 2021,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MAYO 2021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20 de abril de 2021.-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Gabriel Yorio González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