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Baja California Sur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2021)</w:t>
      </w:r>
    </w:p>
    <w:p w:rsidR="00000000" w:rsidDel="00000000" w:rsidP="00000000" w:rsidRDefault="00000000" w:rsidRPr="00000000" w14:paraId="00000003">
      <w:pPr>
        <w:shd w:fill="ffffff" w:val="clear"/>
        <w:spacing w:after="100" w:lineRule="auto"/>
        <w:ind w:firstLine="280"/>
        <w:jc w:val="both"/>
        <w:rPr>
          <w:color w:val="2f2f2f"/>
          <w:sz w:val="16"/>
          <w:szCs w:val="16"/>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BAJA CALIFORNIA SUR, EN ADELANTE DENOMINADO "GOBIERNO DEL ESTADO", REPRESENTADO EN ESTE ACTO POR EL LIC. CARLOS MENDOZA DAVIS, EN SU CALIDAD DE GOBERNADOR, ASISTIDO POR EL LIC. ÁLVARO DE LA PEÑA ANGULO, SECRETARIO GENERAL DE GOBIERNO, LIC. TOMAS FRANK FLORES GAMEROS, SECRETARIO DEL TRABAJO Y DESARROLLO SOCIAL, LIC. ISIDRO JORDÁN MOYRÓN, SECRETARIO DE FINANZAS Y ADMINISTRACIÓN Y ARQ. SERVANDO ESPINOZA VILLAVICENCIO, ENCARGADO DE DESPACHO DE LA CONTRALORÍA GENERAL; A QUIENES SE LES DENOMINARÁ CONJUNTAMENTE COMO "LAS PARTES", DE CONFORMIDAD CON LOS ANTECEDENTES, DECLARACIONES Y CLÁUSULAS SIGUIENTES:</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w:t>
      </w:r>
    </w:p>
    <w:p w:rsidR="00000000" w:rsidDel="00000000" w:rsidP="00000000" w:rsidRDefault="00000000" w:rsidRPr="00000000" w14:paraId="00000013">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Entidades Federativas, y</w:t>
      </w:r>
    </w:p>
    <w:p w:rsidR="00000000" w:rsidDel="00000000" w:rsidP="00000000" w:rsidRDefault="00000000" w:rsidRPr="00000000" w14:paraId="0000001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base a su formación y aptitudes.</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"GOBIERNO DEL ESTADO" declara que:</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Baja California Sur es una entidad libre y soberana que forma parte integrante de la Federación de conformidad con lo establecido en los artículos 40, 42 y 43 de la Constitución Política de los Estados Unidos Mexicanos; así como 1 de la Constitución Política del Estado Libre y Soberano de Baja California Sur.</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ejercicio del Poder Ejecutivo se deposita en el Gobernador del Estado, quien tiene las facultades y obligaciones que establecen la Constitución Política de los Estados Unidos Mexicanos, la Constitución Política del Estado Libre y Soberano de Baja California Sur, la Ley Orgánica de la Administración Pública del Estado y las demás disposiciones jurídicas aplicables, es por ello que de acuerdo a lo dispuesto en los artículos 67 y 79 de la Constitución Política del Estado Libre y Soberano de Baja California Sur; 2 de la Ley Orgánica de la Administración Pública del Estado de Baja California Sur, y 42 y 43 de la Ley de Planeación del Estado de Baja California Sur, el titular del Poder Ejecutivo del Estado de Baja California Sur, cuenta con las facultades suficientes para celebrar el presente Convenio de Coordinación.</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establecido en los artículos 81 y 83 fracción IV de la Constitución Política del Estado Libre y Soberano de Baja California Sur, y 4 de la Ley Orgánica de la Administración Pública del Estado de Baja California Sur, todos los acuerdos y disposiciones que el Gobernador expida en uso de sus facultades, deben para su validez ser autorizados con la firma del Secretario General de Gobierno y también debe firmar de conocimiento el encargado del ramo a que el asunto corresponda.</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establecido en los artículos 80 de la Constitución Política del Estado Libre y Soberano de Baja California Sur; 16 fracciones I, II, IX y XII, 20 fracción II, 21, 22, 29 y 32 de la Ley Orgánica de la Administración Pública del Estado de Baja California Sur, 2°, inciso A) fracción I, y B) inciso b), 5° fracciones I, IV, y V; 6° fracciones II, X, XII, XVI, y 26 del Reglamento Interior de la Secretaría del Trabajo y Desarrollo Social, intervienen también en la suscripción del presente documento el Secretario General de Gobierno, Secretario de Finanzas y Administración, así como la Contraloría General del Estado.</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desahogo de los asuntos de su competencia, la Secretaría del Trabajo y Desarrollo Social cuenta, entre otras Unidades Administrativas, con la Dirección General del Servicio Nacional de Empleo en Baja California Sur, de conformidad con lo establecido en el artículo 11° del Reglamento Interior de la Secretaría del Trabajo y Desarrollo Social del Estado de Baja California Sur.</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instrumento señala como su domicilio el ubicado en Palacio de Gobierno sito en calles Isabel la Católica entre Ignacio Allende y Nicolás Bravo, Colonia Centro, C.P. 23000, La Paz, Baja California Sur.</w:t>
      </w:r>
    </w:p>
    <w:p w:rsidR="00000000" w:rsidDel="00000000" w:rsidP="00000000" w:rsidRDefault="00000000" w:rsidRPr="00000000" w14:paraId="0000002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4">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Baja California Sur.</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OBLIGACIONES DE "LAS PARTES". La "SECRETARÍA" y el "GOBIERNO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OBLIGACIONES DE LA "SECRETARÍA".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w:t>
      </w:r>
    </w:p>
    <w:p w:rsidR="00000000" w:rsidDel="00000000" w:rsidP="00000000" w:rsidRDefault="00000000" w:rsidRPr="00000000" w14:paraId="0000003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Contraloría Social autorizados por la Secretaría de la Función Pública y demás normatividad en la materia.</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OBLIGACIONES DEL "GOBIERNO DEL ESTADO". El "GOBIERNO DEL ESTADO" se obliga a:</w:t>
      </w:r>
    </w:p>
    <w:p w:rsidR="00000000" w:rsidDel="00000000" w:rsidP="00000000" w:rsidRDefault="00000000" w:rsidRPr="00000000" w14:paraId="0000004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r w:rsidDel="00000000" w:rsidR="00000000" w:rsidRPr="00000000">
        <w:rPr>
          <w:b w:val="1"/>
          <w:color w:val="2f2f2f"/>
          <w:sz w:val="18"/>
          <w:szCs w:val="18"/>
          <w:rtl w:val="0"/>
        </w:rPr>
        <w:t xml:space="preserve">:</w:t>
      </w:r>
    </w:p>
    <w:p w:rsidR="00000000" w:rsidDel="00000000" w:rsidP="00000000" w:rsidRDefault="00000000" w:rsidRPr="00000000" w14:paraId="0000004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Baja California Sur"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8">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4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del Trabajo y Desarrollo Social,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otro funcionario de la misma, como responsables del ejercicio, control y seguimiento de los recursos que "LAS PARTES"</w:t>
      </w:r>
    </w:p>
    <w:p w:rsidR="00000000" w:rsidDel="00000000" w:rsidP="00000000" w:rsidRDefault="00000000" w:rsidRPr="00000000" w14:paraId="0000004A">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4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"GOBIERNO DEL ESTADO" y las obligaciones que se deriven de esta relación serán responsabilidad de éste.</w:t>
      </w:r>
    </w:p>
    <w:p w:rsidR="00000000" w:rsidDel="00000000" w:rsidP="00000000" w:rsidRDefault="00000000" w:rsidRPr="00000000" w14:paraId="0000004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4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caso, el "GOBIERNO DEL ESTADO"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5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5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5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w:t>
      </w:r>
      <w:r w:rsidDel="00000000" w:rsidR="00000000" w:rsidRPr="00000000">
        <w:rPr>
          <w:i w:val="1"/>
          <w:color w:val="2f2f2f"/>
          <w:sz w:val="18"/>
          <w:szCs w:val="18"/>
          <w:rtl w:val="0"/>
        </w:rPr>
        <w:t xml:space="preserve">Sistema</w:t>
      </w:r>
      <w:r w:rsidDel="00000000" w:rsidR="00000000" w:rsidRPr="00000000">
        <w:rPr>
          <w:color w:val="2f2f2f"/>
          <w:sz w:val="18"/>
          <w:szCs w:val="18"/>
          <w:rtl w:val="0"/>
        </w:rPr>
        <w:t xml:space="preserve">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5E">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5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0">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1">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6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$4'389,560.00 (CUATRO MILLONES TRESCIENTOS OCHENTA Y NUEVE MIL QUINIENTOS SESENTA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en el rubro "subsidios de apoyo", concepto "consejeros laborales".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6F">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APORTACIONES DEL "GOBIERNO DEL ESTADO".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"GOBIERNO DEL ESTADO" se compromete a aportar los recursos que a continuación se indican:</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$8'843,026.00 (OCHO MILLONES OCHOCIENTOS CUARENTA Y TRES MIL VEINTISÉIS PESOS 00/100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$9'187,500.00 (NUEVE MILLONES CIENTO OCHENTA Y SIETE MIL QUINIENTOS PESOS 00/100 M.N.), para su aplicación en acciones de:</w:t>
      </w:r>
    </w:p>
    <w:p w:rsidR="00000000" w:rsidDel="00000000" w:rsidP="00000000" w:rsidRDefault="00000000" w:rsidRPr="00000000" w14:paraId="0000007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"GOBIERNO DEL ESTADO" en favor de la población buscadora de empleo, y</w:t>
      </w:r>
    </w:p>
    <w:p w:rsidR="00000000" w:rsidDel="00000000" w:rsidP="00000000" w:rsidRDefault="00000000" w:rsidRPr="00000000" w14:paraId="0000007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empleadores</w:t>
      </w:r>
      <w:r w:rsidDel="00000000" w:rsidR="00000000" w:rsidRPr="00000000">
        <w:rPr>
          <w:color w:val="2f2f2f"/>
          <w:sz w:val="18"/>
          <w:szCs w:val="18"/>
          <w:rtl w:val="0"/>
        </w:rPr>
        <w:t xml:space="preserve">.</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w:t>
      </w:r>
      <w:r w:rsidDel="00000000" w:rsidR="00000000" w:rsidRPr="00000000">
        <w:rPr>
          <w:i w:val="1"/>
          <w:color w:val="2f2f2f"/>
          <w:sz w:val="18"/>
          <w:szCs w:val="18"/>
          <w:rtl w:val="0"/>
        </w:rPr>
        <w:t xml:space="preserve"> USNE</w:t>
      </w:r>
      <w:r w:rsidDel="00000000" w:rsidR="00000000" w:rsidRPr="00000000">
        <w:rPr>
          <w:color w:val="2f2f2f"/>
          <w:sz w:val="18"/>
          <w:szCs w:val="18"/>
          <w:rtl w:val="0"/>
        </w:rPr>
        <w:t xml:space="preserve"> con 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"GOBIERNO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manera inmediata.</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w:t>
      </w:r>
      <w:r w:rsidDel="00000000" w:rsidR="00000000" w:rsidRPr="00000000">
        <w:rPr>
          <w:color w:val="2f2f2f"/>
          <w:sz w:val="18"/>
          <w:szCs w:val="18"/>
          <w:rtl w:val="0"/>
        </w:rPr>
        <w:t xml:space="preserve">FISCALIZACIÓN Y CONTROL. La fiscalización y control se realizará conforme a lo siguiente:</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"GOBIERNO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w:t>
      </w:r>
      <w:r w:rsidDel="00000000" w:rsidR="00000000" w:rsidRPr="00000000">
        <w:rPr>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TRANSPARENCIA Y PUBLICIDAD. La "SECRETARÍA", conforme a lo dispuesto en los artículos 27 del Presupuesto de Egresos de la Federación para el Ejercicio Fiscal 2021; y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por su parte, se obliga a difundir al interior de la entidad federativa dicha información, en los términos de lo dispuesto por la Ley de Transparencia y Acceso a la Información Pública del Estado de Baja California Sur.</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14 de febrero de 2020 y que fue publicado en el Diario Oficial de la Federación el 27 de marzo del mismo año.</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w:t>
      </w:r>
      <w:r w:rsidDel="00000000" w:rsidR="00000000" w:rsidRPr="00000000">
        <w:rPr>
          <w:color w:val="2f2f2f"/>
          <w:sz w:val="18"/>
          <w:szCs w:val="18"/>
          <w:rtl w:val="0"/>
        </w:rPr>
        <w:t xml:space="preserve">TERMINACIÓN ANTICIPADA. El presente instrumento jurídico podrá terminarse con antelación a su vencimiento, siempre que medie escrito de aviso por parte de la "SECRETARÍA" por conducto del Encargado de Despacho de la Unidad del Servicio Nacional de Empleo o por el "GOBIERNO DEL ESTADO", por conducto del titular de la Secretaría del Trabajo y Desarrollo Social,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w:t>
      </w:r>
      <w:r w:rsidDel="00000000" w:rsidR="00000000" w:rsidRPr="00000000">
        <w:rPr>
          <w:color w:val="2f2f2f"/>
          <w:sz w:val="18"/>
          <w:szCs w:val="18"/>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PUBLICACIÓN. Con fundamento en lo dispuesto en los artículos 36, de la Ley de Planeación, y 82 de la Ley Federal de Presupuesto y Responsabilidad Hacendaria, el presente documento deberá ser publicado en el Diario Oficial de la Federación; por su parte, de acuerdo con el artículo 14 de la Ley Orgánica de la Administración Pública del Estado de Baja California Sur, así como el artículo 44 de la Ley de Planeación del Estado de Baja California Sur, también deberá ser publicado dentro del Boletín Oficial del "GOBIERNO DEL ESTADO".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días del mes de marzo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Gobierno del Estado: Gobernador del Estado de Baja California Sur, </w:t>
      </w:r>
      <w:r w:rsidDel="00000000" w:rsidR="00000000" w:rsidRPr="00000000">
        <w:rPr>
          <w:sz w:val="18"/>
          <w:szCs w:val="18"/>
          <w:rtl w:val="0"/>
        </w:rPr>
        <w:t xml:space="preserve">Lic. </w:t>
      </w:r>
      <w:r w:rsidDel="00000000" w:rsidR="00000000" w:rsidRPr="00000000">
        <w:rPr>
          <w:b w:val="1"/>
          <w:sz w:val="18"/>
          <w:szCs w:val="18"/>
          <w:rtl w:val="0"/>
        </w:rPr>
        <w:t xml:space="preserve">Carlos Mendoza Davis</w:t>
      </w:r>
      <w:r w:rsidDel="00000000" w:rsidR="00000000" w:rsidRPr="00000000">
        <w:rPr>
          <w:color w:val="2f2f2f"/>
          <w:sz w:val="18"/>
          <w:szCs w:val="18"/>
          <w:rtl w:val="0"/>
        </w:rPr>
        <w:t xml:space="preserve">.- Rúbrica.- Secretario General de Gobierno, Lic. </w:t>
      </w:r>
      <w:r w:rsidDel="00000000" w:rsidR="00000000" w:rsidRPr="00000000">
        <w:rPr>
          <w:b w:val="1"/>
          <w:color w:val="2f2f2f"/>
          <w:sz w:val="18"/>
          <w:szCs w:val="18"/>
          <w:rtl w:val="0"/>
        </w:rPr>
        <w:t xml:space="preserve">Álvaro de la Peña Angulo</w:t>
      </w:r>
      <w:r w:rsidDel="00000000" w:rsidR="00000000" w:rsidRPr="00000000">
        <w:rPr>
          <w:color w:val="2f2f2f"/>
          <w:sz w:val="18"/>
          <w:szCs w:val="18"/>
          <w:rtl w:val="0"/>
        </w:rPr>
        <w:t xml:space="preserve">.- Rúbrica.- Secretario del Trabajo y Desarrollo Social, Lic. </w:t>
      </w:r>
      <w:r w:rsidDel="00000000" w:rsidR="00000000" w:rsidRPr="00000000">
        <w:rPr>
          <w:b w:val="1"/>
          <w:color w:val="2f2f2f"/>
          <w:sz w:val="18"/>
          <w:szCs w:val="18"/>
          <w:rtl w:val="0"/>
        </w:rPr>
        <w:t xml:space="preserve">Tomas Frank Flores Gameros</w:t>
      </w:r>
      <w:r w:rsidDel="00000000" w:rsidR="00000000" w:rsidRPr="00000000">
        <w:rPr>
          <w:color w:val="2f2f2f"/>
          <w:sz w:val="18"/>
          <w:szCs w:val="18"/>
          <w:rtl w:val="0"/>
        </w:rPr>
        <w:t xml:space="preserve">.- Rúbrica.- Secretario de Finanzas y Administración, Lic. </w:t>
      </w:r>
      <w:r w:rsidDel="00000000" w:rsidR="00000000" w:rsidRPr="00000000">
        <w:rPr>
          <w:b w:val="1"/>
          <w:color w:val="2f2f2f"/>
          <w:sz w:val="18"/>
          <w:szCs w:val="18"/>
          <w:rtl w:val="0"/>
        </w:rPr>
        <w:t xml:space="preserve">Isidro Jordán Moyrón</w:t>
      </w:r>
      <w:r w:rsidDel="00000000" w:rsidR="00000000" w:rsidRPr="00000000">
        <w:rPr>
          <w:color w:val="2f2f2f"/>
          <w:sz w:val="18"/>
          <w:szCs w:val="18"/>
          <w:rtl w:val="0"/>
        </w:rPr>
        <w:t xml:space="preserve">.- Rúbrica.- Encargado de Despacho de la Contraloría General del Estado, Arq. </w:t>
      </w:r>
      <w:r w:rsidDel="00000000" w:rsidR="00000000" w:rsidRPr="00000000">
        <w:rPr>
          <w:b w:val="1"/>
          <w:color w:val="2f2f2f"/>
          <w:sz w:val="18"/>
          <w:szCs w:val="18"/>
          <w:rtl w:val="0"/>
        </w:rPr>
        <w:t xml:space="preserve">Servando Espinoza Villavicencio</w:t>
      </w:r>
      <w:r w:rsidDel="00000000" w:rsidR="00000000" w:rsidRPr="00000000">
        <w:rPr>
          <w:color w:val="2f2f2f"/>
          <w:sz w:val="18"/>
          <w:szCs w:val="18"/>
          <w:rtl w:val="0"/>
        </w:rPr>
        <w:t xml:space="preserve">.- Rúbrica.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A">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