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Resolución por la que se declara el inicio del procedimiento administrativo de examen de vigencia de la cuota compensatoria impuesta a las importaciones de aceite epoxidado de soya, originarias de los Estados Unidos de América, independientemente del país de procedencia</w:t>
      </w:r>
    </w:p>
    <w:p w:rsidR="00000000" w:rsidDel="00000000" w:rsidP="00000000" w:rsidRDefault="00000000" w:rsidRPr="00000000" w14:paraId="00000002">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(DOF del 7 de julio de 2020)</w:t>
      </w:r>
    </w:p>
    <w:p w:rsidR="00000000" w:rsidDel="00000000" w:rsidP="00000000" w:rsidRDefault="00000000" w:rsidRPr="00000000" w14:paraId="00000004">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 EXAMEN DE VIGENCIA DE LA CUOTA COMPENSATORIA IMPUESTA A LAS IMPORTACIONES DE ACEITE EPOXIDADO DE SOYA, ORIGINARIAS DE LOS ESTADOS UNIDOS DE AMÉRICA,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15/20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Resolución final de la investigación antidumping</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29 de julio de 2005 se publicó en el Diario Oficial de la Federación (DOF) la Resolución final de la investigación antidumping sobre las importaciones de aceite epoxidado de soya originarias de los Estados Unidos de América (los "Estados Unidos"), independientemente del país de procedencia. Mediante esta Resolución, la Secretaría determinó imponer una cuota compensatoria definitiva de 62.45%.</w:t>
      </w:r>
    </w:p>
    <w:p w:rsidR="00000000" w:rsidDel="00000000" w:rsidP="00000000" w:rsidRDefault="00000000" w:rsidRPr="00000000" w14:paraId="0000000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Exámenes de vigencia previos y revisión de oficio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9 de enero de 2012 se publicó en el DOF Resolución final del primer examen de vigencia y de la revisión de oficio. Se determinó continuar la vigencia de la cuota compensatoria por cinco años más.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5 de agosto de 2016 se publicó en el DOF la Resolución final del segundo examen de vigencia. Se determinó continuar la vigencia de la cuota compensatoria por cinco años más.</w:t>
      </w:r>
    </w:p>
    <w:p w:rsidR="00000000" w:rsidDel="00000000" w:rsidP="00000000" w:rsidRDefault="00000000" w:rsidRPr="00000000" w14:paraId="0000000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sobre la vigencia de cuotas compensatorias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aceite epoxidado de soya originario de los Estados Unidos, objeto de este examen.</w:t>
      </w:r>
    </w:p>
    <w:p w:rsidR="00000000" w:rsidDel="00000000" w:rsidP="00000000" w:rsidRDefault="00000000" w:rsidRPr="00000000" w14:paraId="0000001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Manifestación de interés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25 de mayo de 2020, Especialidades Industriales y Químicas, S.A. de C.V. ("EIQSA") manifestó su interés en que la Secretaría inicie el examen de vigencia de la cuota compensatoria definitiva impuesta a las importaciones de aceite epoxidado de soya originarias de Estados Unidos. Propuso como periodo de examen el comprendido del 1 de julio de 2019 al 30 de junio de 2020.</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EIQSA es una empresa constituida conforme a las leyes mexicanas. Su principal actividad consiste, entre otras, en la fabricación, transformación, maquila y compra venta de productos químicos, polímeros, plásticos y similares. Para acreditar su calidad de productor nacional de aceite epoxidado de soya, presentó cartas de la Asociación Nacional de la Industria Química, A.C., y de la Asociación Nacional de Industrias del Plástico, A.C. del 5 y 19 de mayo de 2020, respectivamente.</w:t>
      </w:r>
    </w:p>
    <w:p w:rsidR="00000000" w:rsidDel="00000000" w:rsidP="00000000" w:rsidRDefault="00000000" w:rsidRPr="00000000" w14:paraId="0000001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Producto objeto de examen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El producto objeto de examen es el aceite epoxidado de soya. Su nombre genérico es aceite epoxidado de soya, pero también se le conoce como ESO o ESBO (por las siglas en inglés de epoxidized soybean oil).</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El aceite epoxidado de soya es un triglicérido mixto epóxico que pertenece a la familia de los ésteres epóxicos. La materia prima básica para la producción de aceite epoxidado de soya es el aceite de soya refinado, desodorizado y blanqueado. Se utiliza también en peróxido de hidrógeno, heptano, ácido fórmico y sulfato de sodio.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Las especificaciones técnicas que lo identifican son: color gardner máximo de 1, gravedad específica de 0.985 a 0.996 g/cm, viscosidad en un intervalo de 300 a 550 centipoise, índice de refracción de 1.47 a 1.473, índice de acidez de 1 mg KOH/g y color alpha y humedad de 0.4%. Sus características químicas más importantes son el índice de oxirano (Epoxi) de 6.2% a 7% y el índice de yodo (Wijs) máximo de 2%.</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El producto objeto de examen ingresa al mercado nacional a través de la fracción arancelaria 1518.00.02 de la Tarifa de la Ley de los Impuestos Generales de Importación y de Exportación (TIGIE), cuya descripción es la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000"/>
        <w:tblGridChange w:id="0">
          <w:tblGrid>
            <w:gridCol w:w="2805"/>
            <w:gridCol w:w="600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A">
            <w:pPr>
              <w:shd w:fill="ffffff" w:val="clea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B">
            <w:pPr>
              <w:shd w:fill="ffffff" w:val="clea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Descripción</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Capítulo 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Grasas y aceites animales o vegetales; productos de su desdoblamiento; grasas alimenticias elaboradas; ceras de origen animal o vegetal.</w:t>
            </w:r>
          </w:p>
        </w:tc>
      </w:tr>
      <w:tr>
        <w:trPr>
          <w:trHeight w:val="21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Partida 1518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Grasas y aceites, animales o vegetales, y sus fracciones, cocidos, oxidados, deshidratados, sulfurados, soplados, polimerizados por calor en vacío o atmósfera inerte ("estandolizados"), o modificados químicamente de otra forma, excepto los de la partida 15.16; mezclas o preparaciones no alimenticias de grasas o de aceites, animales o vegetales, o de fracciones de diferentes grasas o aceites de este Capítulo, no expresadas ni comprendidas en otra parte.</w:t>
            </w:r>
          </w:p>
        </w:tc>
      </w:tr>
      <w:tr>
        <w:trPr>
          <w:trHeight w:val="21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Subpartida 1518.00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Grasas y aceites, animales o vegetales, y sus fracciones, cocidos, oxidados, deshidratados, sulfurados, soplados, polimerizados por calor en vacío o atmósfera inerte ("estandolizados"), o modificados químicamente de otra forma, excepto los de la partida 15.16; mezclas o preparaciones no alimenticias de grasas o de aceites, animales o vegetales, o de fracciones de diferentes grasas o aceites de este Capítulo, no expresadas ni comprendidas en otra parte.</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2">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Fracción 1518.00.02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3">
            <w:pPr>
              <w:shd w:fill="ffffff" w:val="clear"/>
              <w:spacing w:after="100" w:lineRule="auto"/>
              <w:ind w:left="80" w:firstLine="0"/>
              <w:jc w:val="both"/>
              <w:rPr>
                <w:color w:val="2f2f2f"/>
                <w:sz w:val="18"/>
                <w:szCs w:val="18"/>
              </w:rPr>
            </w:pPr>
            <w:r w:rsidDel="00000000" w:rsidR="00000000" w:rsidRPr="00000000">
              <w:rPr>
                <w:color w:val="2f2f2f"/>
                <w:sz w:val="18"/>
                <w:szCs w:val="18"/>
                <w:rtl w:val="0"/>
              </w:rPr>
              <w:t xml:space="preserve">Aceites animales o vegetales epoxidados.</w:t>
            </w:r>
          </w:p>
        </w:tc>
      </w:tr>
    </w:tbl>
    <w:p w:rsidR="00000000" w:rsidDel="00000000" w:rsidP="00000000" w:rsidRDefault="00000000" w:rsidRPr="00000000" w14:paraId="00000024">
      <w:pPr>
        <w:shd w:fill="ffffff" w:val="clear"/>
        <w:spacing w:after="100" w:before="20" w:lineRule="auto"/>
        <w:ind w:firstLine="28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La unidad de medida que utiliza la TIGIE es el kilogramo.</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De acuerdo con el SIAVI, las importaciones de la mercancía objeto de este procedimiento, están sujetas al pago de un arancel de 15%, a excepción de los países con los que México tiene tratados comerciales, cuyas mercancías están exentos del mismo. Sin embargo, de acuerdo con el Tratado Integral y Progresista de Asociación Transpacífico, las mercancías que ingresen por la fracción arancelaria señalada anteriormente, originarias de Vietnam están sujetas al pago de un arancel del 12%; mientras que, de conformidad con el Acuerdo de Integración Comercial con Perú, las mercancías originarias de dicho país están sujetas al pago de un arancel del 10.5%.</w:t>
      </w:r>
    </w:p>
    <w:p w:rsidR="00000000" w:rsidDel="00000000" w:rsidP="00000000" w:rsidRDefault="00000000" w:rsidRPr="00000000" w14:paraId="000000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Proceso productivo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El aceite epoxidado de soya se obtiene por medio de un proceso por lotes, que se lleva a cabo a presión atmosférica. La carga de los reactivos se realiza en vacío, a excepción del peróxido de hidrógeno, que se dosifica por gravedad al interior del reactor. En primer lugar, se cargan el aceite de soya, el heptano y el ácido fórmico. Después, por medio de un serpentín, se aplica vapor para calentar los reactivos a 50 grados centígrados. Posteriormente, se detiene el calentamiento y por gravedad se inicia la dosificación del peróxido de hidrógeno lentamente, ya que la reacción es exotérmica (genera energía). La temperatura se controla alimentando agua de enfriamiento al serpentín. Al término de la dosificación se inicia la verificación del avance de la reacción por medio de análisis químicos, periódicos, hasta que el índice de yodo indica que la reacción ha finalizado. Se enfría el sistema, se elimina la fase acuosa y se neutraliza la acidez del producto. La eliminación de humedad y solvente se lleva a cabo mediante calentamiento y aplicación de vacío al sistema.</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Normas</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En el ámbito internacional la calidad del aceite epoxidado de soya se rige por las propiedades establecidas en las siguientes normas de la Sociedad Americana para Pruebas y Materiales (ASTM, por las siglas en inglés de "American Society for Testing and Materials"): D-1554 para el color gardner, D-1298 para la gravedad específica, D-4878-98 para la viscosidad, D-1807 y D-1218 para el índice de refracción, D-2288 para volátiles, D-1045 y D-4662-98 para el índice de acidez, D-1652-97-B para el índice de oxirano, D-1045-90 para el color alpha y D-1364-55T para la humedad.</w:t>
      </w:r>
    </w:p>
    <w:p w:rsidR="00000000" w:rsidDel="00000000" w:rsidP="00000000" w:rsidRDefault="00000000" w:rsidRPr="00000000" w14:paraId="000000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Usos y funciones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El aceite epoxidado de soya se utiliza como agente plastificante o coestabilizador en las formulaciones o compuestos de policloruro de vinilo (PVC) y sus copolímeros, ya que evita que el PVC se degrade durante los diferentes procesos de transformación. También se utiliza como un medio de dispersión de pigmentos y como un agente enmascarante de ácido en compuestos de tinta de soya. Es compatible con el hule clorado, nitrocelulosa, neopreno y emulsiones de PVC y acetato de polivinilo (PVA).</w:t>
      </w:r>
    </w:p>
    <w:p w:rsidR="00000000" w:rsidDel="00000000" w:rsidP="00000000" w:rsidRDefault="00000000" w:rsidRPr="00000000" w14:paraId="0000002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Posibles partes interesadas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Productoras nacionales</w:t>
      </w:r>
    </w:p>
    <w:p w:rsidR="00000000" w:rsidDel="00000000" w:rsidP="00000000" w:rsidRDefault="00000000" w:rsidRPr="00000000" w14:paraId="00000030">
      <w:pPr>
        <w:shd w:fill="ffffff" w:val="clear"/>
        <w:ind w:firstLine="280"/>
        <w:jc w:val="both"/>
        <w:rPr>
          <w:color w:val="2f2f2f"/>
          <w:sz w:val="18"/>
          <w:szCs w:val="18"/>
        </w:rPr>
      </w:pPr>
      <w:r w:rsidDel="00000000" w:rsidR="00000000" w:rsidRPr="00000000">
        <w:rPr>
          <w:color w:val="2f2f2f"/>
          <w:sz w:val="18"/>
          <w:szCs w:val="18"/>
          <w:rtl w:val="0"/>
        </w:rPr>
        <w:t xml:space="preserve">Especialidades Industriales y Químicas, S.A. de C.V.</w:t>
      </w:r>
    </w:p>
    <w:p w:rsidR="00000000" w:rsidDel="00000000" w:rsidP="00000000" w:rsidRDefault="00000000" w:rsidRPr="00000000" w14:paraId="00000031">
      <w:pPr>
        <w:shd w:fill="ffffff" w:val="clear"/>
        <w:ind w:firstLine="280"/>
        <w:jc w:val="both"/>
        <w:rPr>
          <w:color w:val="2f2f2f"/>
          <w:sz w:val="18"/>
          <w:szCs w:val="18"/>
        </w:rPr>
      </w:pPr>
      <w:r w:rsidDel="00000000" w:rsidR="00000000" w:rsidRPr="00000000">
        <w:rPr>
          <w:color w:val="2f2f2f"/>
          <w:sz w:val="18"/>
          <w:szCs w:val="18"/>
          <w:rtl w:val="0"/>
        </w:rPr>
        <w:t xml:space="preserve">Paseo de España No. 90, Interior PH 2</w:t>
      </w:r>
    </w:p>
    <w:p w:rsidR="00000000" w:rsidDel="00000000" w:rsidP="00000000" w:rsidRDefault="00000000" w:rsidRPr="00000000" w14:paraId="00000032">
      <w:pPr>
        <w:shd w:fill="ffffff" w:val="clear"/>
        <w:ind w:firstLine="280"/>
        <w:jc w:val="both"/>
        <w:rPr>
          <w:color w:val="2f2f2f"/>
          <w:sz w:val="18"/>
          <w:szCs w:val="18"/>
        </w:rPr>
      </w:pPr>
      <w:r w:rsidDel="00000000" w:rsidR="00000000" w:rsidRPr="00000000">
        <w:rPr>
          <w:color w:val="2f2f2f"/>
          <w:sz w:val="18"/>
          <w:szCs w:val="18"/>
          <w:rtl w:val="0"/>
        </w:rPr>
        <w:t xml:space="preserve">Col. Lomas Verdes, Tercera Sección</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53125, Naucalpan de Juárez, Estado de México</w:t>
      </w:r>
    </w:p>
    <w:p w:rsidR="00000000" w:rsidDel="00000000" w:rsidP="00000000" w:rsidRDefault="00000000" w:rsidRPr="00000000" w14:paraId="00000034">
      <w:pPr>
        <w:shd w:fill="ffffff" w:val="clear"/>
        <w:ind w:firstLine="280"/>
        <w:jc w:val="both"/>
        <w:rPr>
          <w:color w:val="2f2f2f"/>
          <w:sz w:val="18"/>
          <w:szCs w:val="18"/>
        </w:rPr>
      </w:pPr>
      <w:r w:rsidDel="00000000" w:rsidR="00000000" w:rsidRPr="00000000">
        <w:rPr>
          <w:color w:val="2f2f2f"/>
          <w:sz w:val="18"/>
          <w:szCs w:val="18"/>
          <w:rtl w:val="0"/>
        </w:rPr>
        <w:t xml:space="preserve">Resinas y Materiales, S.A. de C.V.</w:t>
      </w:r>
    </w:p>
    <w:p w:rsidR="00000000" w:rsidDel="00000000" w:rsidP="00000000" w:rsidRDefault="00000000" w:rsidRPr="00000000" w14:paraId="00000035">
      <w:pPr>
        <w:shd w:fill="ffffff" w:val="clear"/>
        <w:ind w:firstLine="280"/>
        <w:jc w:val="both"/>
        <w:rPr>
          <w:color w:val="2f2f2f"/>
          <w:sz w:val="18"/>
          <w:szCs w:val="18"/>
        </w:rPr>
      </w:pPr>
      <w:r w:rsidDel="00000000" w:rsidR="00000000" w:rsidRPr="00000000">
        <w:rPr>
          <w:color w:val="2f2f2f"/>
          <w:sz w:val="18"/>
          <w:szCs w:val="18"/>
          <w:rtl w:val="0"/>
        </w:rPr>
        <w:t xml:space="preserve">Blvd. Manuel Ávila Camacho No. 1994-1101</w:t>
      </w:r>
    </w:p>
    <w:p w:rsidR="00000000" w:rsidDel="00000000" w:rsidP="00000000" w:rsidRDefault="00000000" w:rsidRPr="00000000" w14:paraId="00000036">
      <w:pPr>
        <w:shd w:fill="ffffff" w:val="clear"/>
        <w:ind w:firstLine="280"/>
        <w:jc w:val="both"/>
        <w:rPr>
          <w:color w:val="2f2f2f"/>
          <w:sz w:val="18"/>
          <w:szCs w:val="18"/>
        </w:rPr>
      </w:pPr>
      <w:r w:rsidDel="00000000" w:rsidR="00000000" w:rsidRPr="00000000">
        <w:rPr>
          <w:color w:val="2f2f2f"/>
          <w:sz w:val="18"/>
          <w:szCs w:val="18"/>
          <w:rtl w:val="0"/>
        </w:rPr>
        <w:t xml:space="preserve">Col. San Lucas Tepetlacalco</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54055, Tlalnepantla, Estado de México</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Gobierno</w:t>
      </w:r>
    </w:p>
    <w:p w:rsidR="00000000" w:rsidDel="00000000" w:rsidP="00000000" w:rsidRDefault="00000000" w:rsidRPr="00000000" w14:paraId="00000039">
      <w:pPr>
        <w:shd w:fill="ffffff" w:val="clear"/>
        <w:ind w:firstLine="280"/>
        <w:jc w:val="both"/>
        <w:rPr>
          <w:color w:val="2f2f2f"/>
          <w:sz w:val="18"/>
          <w:szCs w:val="18"/>
        </w:rPr>
      </w:pPr>
      <w:r w:rsidDel="00000000" w:rsidR="00000000" w:rsidRPr="00000000">
        <w:rPr>
          <w:color w:val="2f2f2f"/>
          <w:sz w:val="18"/>
          <w:szCs w:val="18"/>
          <w:rtl w:val="0"/>
        </w:rPr>
        <w:t xml:space="preserve">Embajada de los Estados Unidos en México</w:t>
      </w:r>
    </w:p>
    <w:p w:rsidR="00000000" w:rsidDel="00000000" w:rsidP="00000000" w:rsidRDefault="00000000" w:rsidRPr="00000000" w14:paraId="0000003A">
      <w:pPr>
        <w:shd w:fill="ffffff" w:val="clear"/>
        <w:ind w:firstLine="280"/>
        <w:jc w:val="both"/>
        <w:rPr>
          <w:color w:val="2f2f2f"/>
          <w:sz w:val="18"/>
          <w:szCs w:val="18"/>
        </w:rPr>
      </w:pPr>
      <w:r w:rsidDel="00000000" w:rsidR="00000000" w:rsidRPr="00000000">
        <w:rPr>
          <w:color w:val="2f2f2f"/>
          <w:sz w:val="18"/>
          <w:szCs w:val="18"/>
          <w:rtl w:val="0"/>
        </w:rPr>
        <w:t xml:space="preserve">Paseo de la Reforma No. 305</w:t>
      </w:r>
    </w:p>
    <w:p w:rsidR="00000000" w:rsidDel="00000000" w:rsidP="00000000" w:rsidRDefault="00000000" w:rsidRPr="00000000" w14:paraId="0000003B">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3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3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Competencia</w:t>
      </w:r>
    </w:p>
    <w:p w:rsidR="00000000" w:rsidDel="00000000" w:rsidP="00000000" w:rsidRDefault="00000000" w:rsidRPr="00000000" w14:paraId="0000003F">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17. </w:t>
      </w:r>
      <w:r w:rsidDel="00000000" w:rsidR="00000000" w:rsidRPr="00000000">
        <w:rPr>
          <w:sz w:val="18"/>
          <w:szCs w:val="18"/>
          <w:rtl w:val="0"/>
        </w:rPr>
        <w:t xml:space="preserve">La Secretaría es competente para emitir la presente Resolución, conforme a los artículos </w:t>
      </w:r>
      <w:r w:rsidDel="00000000" w:rsidR="00000000" w:rsidRPr="00000000">
        <w:rPr>
          <w:color w:val="2f2f2f"/>
          <w:sz w:val="18"/>
          <w:szCs w:val="18"/>
          <w:rtl w:val="0"/>
        </w:rPr>
        <w:t xml:space="preserve">16</w:t>
      </w:r>
      <w:r w:rsidDel="00000000" w:rsidR="00000000" w:rsidRPr="00000000">
        <w:rPr>
          <w:sz w:val="18"/>
          <w:szCs w:val="18"/>
          <w:rtl w:val="0"/>
        </w:rPr>
        <w:t xml:space="preserve"> y 34 fracciones V y XXXIII de la Ley Orgánica de la Administración Pública Federal; 1, 2 </w:t>
      </w:r>
      <w:r w:rsidDel="00000000" w:rsidR="00000000" w:rsidRPr="00000000">
        <w:rPr>
          <w:color w:val="2f2f2f"/>
          <w:sz w:val="18"/>
          <w:szCs w:val="18"/>
          <w:rtl w:val="0"/>
        </w:rPr>
        <w:t xml:space="preserve">apartado</w:t>
      </w:r>
      <w:r w:rsidDel="00000000" w:rsidR="00000000" w:rsidRPr="00000000">
        <w:rPr>
          <w:sz w:val="18"/>
          <w:szCs w:val="18"/>
          <w:rtl w:val="0"/>
        </w:rPr>
        <w:t xml:space="preserve"> A fracción II numeral 7 y 19 fracciones I y IV del Reglamento Interior de la Secretaría de Economía; 11.3, 12.1 y 12.3 del Acuerdo relativo a la Aplicación del Artículo VI del </w:t>
      </w:r>
      <w:r w:rsidDel="00000000" w:rsidR="00000000" w:rsidRPr="00000000">
        <w:rPr>
          <w:color w:val="2f2f2f"/>
          <w:sz w:val="18"/>
          <w:szCs w:val="18"/>
          <w:rtl w:val="0"/>
        </w:rPr>
        <w:t xml:space="preserve">Acuerdo</w:t>
      </w:r>
      <w:r w:rsidDel="00000000" w:rsidR="00000000" w:rsidRPr="00000000">
        <w:rPr>
          <w:sz w:val="18"/>
          <w:szCs w:val="18"/>
          <w:rtl w:val="0"/>
        </w:rPr>
        <w:t xml:space="preserve"> General sobre Aranceles Aduaneros y Comercio de 1994 (el "Acuerdo Antidumping"); 5 fracción VII, 70 fracción II, 70 B y 89 F de la Ley de Comercio Exterior, y 80 y 81 de su Reglamento.</w:t>
      </w:r>
    </w:p>
    <w:p w:rsidR="00000000" w:rsidDel="00000000" w:rsidP="00000000" w:rsidRDefault="00000000" w:rsidRPr="00000000" w14:paraId="0000004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Legislación aplicable</w:t>
      </w:r>
    </w:p>
    <w:p w:rsidR="00000000" w:rsidDel="00000000" w:rsidP="00000000" w:rsidRDefault="00000000" w:rsidRPr="00000000" w14:paraId="00000041">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18. </w:t>
      </w:r>
      <w:r w:rsidDel="00000000" w:rsidR="00000000" w:rsidRPr="00000000">
        <w:rPr>
          <w:sz w:val="18"/>
          <w:szCs w:val="18"/>
          <w:rtl w:val="0"/>
        </w:rPr>
        <w:t xml:space="preserve">Para efectos de este procedimiento son aplicables el Acuerdo Antidumping, la Ley de Comercio Exterior y su Reglamento, el Código Fiscal de la Federación, la Ley Federal de Procedimiento Contencioso Administrativo aplicada supletoriamente, de conformidad con el artículo Segundo </w:t>
      </w:r>
      <w:r w:rsidDel="00000000" w:rsidR="00000000" w:rsidRPr="00000000">
        <w:rPr>
          <w:color w:val="2f2f2f"/>
          <w:sz w:val="18"/>
          <w:szCs w:val="18"/>
          <w:rtl w:val="0"/>
        </w:rPr>
        <w:t xml:space="preserve">Transitorio</w:t>
      </w:r>
      <w:r w:rsidDel="00000000" w:rsidR="00000000" w:rsidRPr="00000000">
        <w:rPr>
          <w:sz w:val="18"/>
          <w:szCs w:val="18"/>
          <w:rtl w:val="0"/>
        </w:rPr>
        <w:t xml:space="preserve"> del Decreto por el que se expide dicha ley, así como el Código Federal de Procedimientos Civiles, estos tres últimos de aplicación supletoria.</w:t>
      </w:r>
    </w:p>
    <w:p w:rsidR="00000000" w:rsidDel="00000000" w:rsidP="00000000" w:rsidRDefault="00000000" w:rsidRPr="00000000" w14:paraId="0000004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Protección de la información confidencial</w:t>
      </w:r>
    </w:p>
    <w:p w:rsidR="00000000" w:rsidDel="00000000" w:rsidP="00000000" w:rsidRDefault="00000000" w:rsidRPr="00000000" w14:paraId="00000043">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19. </w:t>
      </w:r>
      <w:r w:rsidDel="00000000" w:rsidR="00000000" w:rsidRPr="00000000">
        <w:rPr>
          <w:sz w:val="18"/>
          <w:szCs w:val="18"/>
          <w:rtl w:val="0"/>
        </w:rPr>
        <w:t xml:space="preserve">La Secretaría no puede revelar públicamente la información confidencial que las partes </w:t>
      </w:r>
      <w:r w:rsidDel="00000000" w:rsidR="00000000" w:rsidRPr="00000000">
        <w:rPr>
          <w:color w:val="2f2f2f"/>
          <w:sz w:val="18"/>
          <w:szCs w:val="18"/>
          <w:rtl w:val="0"/>
        </w:rPr>
        <w:t xml:space="preserve">interesadas</w:t>
      </w:r>
      <w:r w:rsidDel="00000000" w:rsidR="00000000" w:rsidRPr="00000000">
        <w:rPr>
          <w:sz w:val="18"/>
          <w:szCs w:val="18"/>
          <w:rtl w:val="0"/>
        </w:rPr>
        <w:t xml:space="preserve"> le presenten, ni la información confidencial de que ella misma se allegue, de conformidad con los artículos 6.5 del Acuerdo Antidumping, 80 de la Ley de Comercio Exterior, y 152 y 158 de su Reglamento. No obstante, las partes interesadas podrán obtener el acceso a la información confidencial, siempre y cuando satisfagan los requisitos establecidos en los artículos 159 y 160 del Reglamento de la Ley de Comercio Exterior.</w:t>
      </w:r>
    </w:p>
    <w:p w:rsidR="00000000" w:rsidDel="00000000" w:rsidP="00000000" w:rsidRDefault="00000000" w:rsidRPr="00000000" w14:paraId="0000004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Legitimación para el inicio del examen de vigencia de cuota</w:t>
      </w:r>
    </w:p>
    <w:p w:rsidR="00000000" w:rsidDel="00000000" w:rsidP="00000000" w:rsidRDefault="00000000" w:rsidRPr="00000000" w14:paraId="00000045">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20. </w:t>
      </w:r>
      <w:r w:rsidDel="00000000" w:rsidR="00000000" w:rsidRPr="00000000">
        <w:rPr>
          <w:sz w:val="18"/>
          <w:szCs w:val="18"/>
          <w:rtl w:val="0"/>
        </w:rPr>
        <w:t xml:space="preserve">Conforme a los artículos 11.3 del Acuerdo Antidumping, 70 fracción II y 70 B de la Ley de Comercio Exterior, las </w:t>
      </w:r>
      <w:r w:rsidDel="00000000" w:rsidR="00000000" w:rsidRPr="00000000">
        <w:rPr>
          <w:color w:val="2f2f2f"/>
          <w:sz w:val="18"/>
          <w:szCs w:val="18"/>
          <w:rtl w:val="0"/>
        </w:rPr>
        <w:t xml:space="preserve">cuotas</w:t>
      </w:r>
      <w:r w:rsidDel="00000000" w:rsidR="00000000" w:rsidRPr="00000000">
        <w:rPr>
          <w:sz w:val="18"/>
          <w:szCs w:val="18"/>
          <w:rtl w:val="0"/>
        </w:rPr>
        <w:t xml:space="preserve"> compensatorias definitivas se eliminarán en un plazo de cinco años contados a partir de </w:t>
      </w:r>
      <w:r w:rsidDel="00000000" w:rsidR="00000000" w:rsidRPr="00000000">
        <w:rPr>
          <w:color w:val="2f2f2f"/>
          <w:sz w:val="18"/>
          <w:szCs w:val="18"/>
          <w:rtl w:val="0"/>
        </w:rPr>
        <w:t xml:space="preserve">su</w:t>
      </w:r>
      <w:r w:rsidDel="00000000" w:rsidR="00000000" w:rsidRPr="00000000">
        <w:rPr>
          <w:sz w:val="18"/>
          <w:szCs w:val="18"/>
          <w:rtl w:val="0"/>
        </w:rPr>
        <w:t xml:space="preserve">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46">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21. </w:t>
      </w:r>
      <w:r w:rsidDel="00000000" w:rsidR="00000000" w:rsidRPr="00000000">
        <w:rPr>
          <w:sz w:val="18"/>
          <w:szCs w:val="18"/>
          <w:rtl w:val="0"/>
        </w:rPr>
        <w:t xml:space="preserve">En el presente caso, EIQSA, en su calidad de productora nacional del </w:t>
      </w:r>
      <w:r w:rsidDel="00000000" w:rsidR="00000000" w:rsidRPr="00000000">
        <w:rPr>
          <w:color w:val="2f2f2f"/>
          <w:sz w:val="18"/>
          <w:szCs w:val="18"/>
          <w:rtl w:val="0"/>
        </w:rPr>
        <w:t xml:space="preserve">producto</w:t>
      </w:r>
      <w:r w:rsidDel="00000000" w:rsidR="00000000" w:rsidRPr="00000000">
        <w:rPr>
          <w:sz w:val="18"/>
          <w:szCs w:val="18"/>
          <w:rtl w:val="0"/>
        </w:rPr>
        <w:t xml:space="preserve"> objeto de examen, manifestó en tiempo y forma, su interés en que se inicie el examen de vigencia de la cuota compensatoria definitiva impuesta a las importaciones de aceite </w:t>
      </w:r>
      <w:r w:rsidDel="00000000" w:rsidR="00000000" w:rsidRPr="00000000">
        <w:rPr>
          <w:color w:val="2f2f2f"/>
          <w:sz w:val="18"/>
          <w:szCs w:val="18"/>
          <w:rtl w:val="0"/>
        </w:rPr>
        <w:t xml:space="preserve">epoxidado</w:t>
      </w:r>
      <w:r w:rsidDel="00000000" w:rsidR="00000000" w:rsidRPr="00000000">
        <w:rPr>
          <w:sz w:val="18"/>
          <w:szCs w:val="18"/>
          <w:rtl w:val="0"/>
        </w:rPr>
        <w:t xml:space="preserve"> de soya, originarias de Estados Unidos, por lo que se actualizan los supuestos previstos en la legislación de la materia y, en consecuencia, procede iniciarlo.</w:t>
      </w:r>
    </w:p>
    <w:p w:rsidR="00000000" w:rsidDel="00000000" w:rsidP="00000000" w:rsidRDefault="00000000" w:rsidRPr="00000000" w14:paraId="0000004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Periodo de examen y de análisis</w:t>
      </w:r>
    </w:p>
    <w:p w:rsidR="00000000" w:rsidDel="00000000" w:rsidP="00000000" w:rsidRDefault="00000000" w:rsidRPr="00000000" w14:paraId="00000048">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22. </w:t>
      </w:r>
      <w:r w:rsidDel="00000000" w:rsidR="00000000" w:rsidRPr="00000000">
        <w:rPr>
          <w:sz w:val="18"/>
          <w:szCs w:val="18"/>
          <w:rtl w:val="0"/>
        </w:rPr>
        <w:t xml:space="preserve">La </w:t>
      </w:r>
      <w:r w:rsidDel="00000000" w:rsidR="00000000" w:rsidRPr="00000000">
        <w:rPr>
          <w:color w:val="2f2f2f"/>
          <w:sz w:val="18"/>
          <w:szCs w:val="18"/>
          <w:rtl w:val="0"/>
        </w:rPr>
        <w:t xml:space="preserve">Secretaría</w:t>
      </w:r>
      <w:r w:rsidDel="00000000" w:rsidR="00000000" w:rsidRPr="00000000">
        <w:rPr>
          <w:sz w:val="18"/>
          <w:szCs w:val="18"/>
          <w:rtl w:val="0"/>
        </w:rPr>
        <w:t xml:space="preserve"> determina fijar como periodo de examen el propuesto por EIQSA, comprendido del 1 de julio de 2019 al 30 de junio de 2020</w:t>
      </w:r>
      <w:r w:rsidDel="00000000" w:rsidR="00000000" w:rsidRPr="00000000">
        <w:rPr>
          <w:color w:val="2f2f2f"/>
          <w:sz w:val="18"/>
          <w:szCs w:val="18"/>
          <w:rtl w:val="0"/>
        </w:rPr>
        <w:t xml:space="preserve"> y</w:t>
      </w:r>
      <w:r w:rsidDel="00000000" w:rsidR="00000000" w:rsidRPr="00000000">
        <w:rPr>
          <w:sz w:val="18"/>
          <w:szCs w:val="18"/>
          <w:rtl w:val="0"/>
        </w:rPr>
        <w:t xml:space="preserve"> como periodo de análisis el comprendido del 1 de julio de 2015 al 30 de junio de 2020, </w:t>
      </w:r>
      <w:r w:rsidDel="00000000" w:rsidR="00000000" w:rsidRPr="00000000">
        <w:rPr>
          <w:color w:val="2f2f2f"/>
          <w:sz w:val="18"/>
          <w:szCs w:val="18"/>
          <w:rtl w:val="0"/>
        </w:rPr>
        <w:t xml:space="preserve">toda</w:t>
      </w:r>
      <w:r w:rsidDel="00000000" w:rsidR="00000000" w:rsidRPr="00000000">
        <w:rPr>
          <w:sz w:val="18"/>
          <w:szCs w:val="18"/>
          <w:rtl w:val="0"/>
        </w:rPr>
        <w:t xml:space="preserve"> vez que este se apega a lo previsto en el artículo 76 del Reglamento de la Ley de Comercio Exterior y a la recomendación del Comité de Prácticas Antidumping de la Organización Mundial del Comercio (documento G/ADP/6 adoptado el 5 de mayo de 2000).</w:t>
      </w:r>
    </w:p>
    <w:p w:rsidR="00000000" w:rsidDel="00000000" w:rsidP="00000000" w:rsidRDefault="00000000" w:rsidRPr="00000000" w14:paraId="00000049">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Por</w:t>
      </w:r>
      <w:r w:rsidDel="00000000" w:rsidR="00000000" w:rsidRPr="00000000">
        <w:rPr>
          <w:sz w:val="18"/>
          <w:szCs w:val="18"/>
          <w:rtl w:val="0"/>
        </w:rPr>
        <w:t xml:space="preserve"> lo expuesto, con fundamento en los artículos 11.1 y 11.3 del Acuerdo Antidumping, y 67, 70 </w:t>
      </w:r>
      <w:r w:rsidDel="00000000" w:rsidR="00000000" w:rsidRPr="00000000">
        <w:rPr>
          <w:color w:val="2f2f2f"/>
          <w:sz w:val="18"/>
          <w:szCs w:val="18"/>
          <w:rtl w:val="0"/>
        </w:rPr>
        <w:t xml:space="preserve">fracción</w:t>
      </w:r>
      <w:r w:rsidDel="00000000" w:rsidR="00000000" w:rsidRPr="00000000">
        <w:rPr>
          <w:sz w:val="18"/>
          <w:szCs w:val="18"/>
          <w:rtl w:val="0"/>
        </w:rPr>
        <w:t xml:space="preserve"> II, 70 B y 89 F de la Ley de Comercio Exterior, se emite la siguiente</w:t>
      </w:r>
    </w:p>
    <w:p w:rsidR="00000000" w:rsidDel="00000000" w:rsidP="00000000" w:rsidRDefault="00000000" w:rsidRPr="00000000" w14:paraId="0000004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4B">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w:t>
      </w:r>
      <w:r w:rsidDel="00000000" w:rsidR="00000000" w:rsidRPr="00000000">
        <w:rPr>
          <w:sz w:val="18"/>
          <w:szCs w:val="18"/>
          <w:rtl w:val="0"/>
        </w:rPr>
        <w:t xml:space="preserve">Se declara el inicio del procedimiento administrativo de examen de vigencia </w:t>
      </w:r>
      <w:r w:rsidDel="00000000" w:rsidR="00000000" w:rsidRPr="00000000">
        <w:rPr>
          <w:color w:val="2f2f2f"/>
          <w:sz w:val="18"/>
          <w:szCs w:val="18"/>
          <w:rtl w:val="0"/>
        </w:rPr>
        <w:t xml:space="preserve">de</w:t>
      </w:r>
      <w:r w:rsidDel="00000000" w:rsidR="00000000" w:rsidRPr="00000000">
        <w:rPr>
          <w:sz w:val="18"/>
          <w:szCs w:val="18"/>
          <w:rtl w:val="0"/>
        </w:rPr>
        <w:t xml:space="preserve"> la cuota compensatoria definitiva impuesta a las importaciones de aceite </w:t>
      </w:r>
      <w:r w:rsidDel="00000000" w:rsidR="00000000" w:rsidRPr="00000000">
        <w:rPr>
          <w:color w:val="2f2f2f"/>
          <w:sz w:val="18"/>
          <w:szCs w:val="18"/>
          <w:rtl w:val="0"/>
        </w:rPr>
        <w:t xml:space="preserve">epoxidado</w:t>
      </w:r>
      <w:r w:rsidDel="00000000" w:rsidR="00000000" w:rsidRPr="00000000">
        <w:rPr>
          <w:sz w:val="18"/>
          <w:szCs w:val="18"/>
          <w:rtl w:val="0"/>
        </w:rPr>
        <w:t xml:space="preserve"> de soya originarias de los Estados Unidos, independientemente del país de procedencia, que ingresan a través de </w:t>
      </w:r>
      <w:r w:rsidDel="00000000" w:rsidR="00000000" w:rsidRPr="00000000">
        <w:rPr>
          <w:color w:val="2f2f2f"/>
          <w:sz w:val="18"/>
          <w:szCs w:val="18"/>
          <w:rtl w:val="0"/>
        </w:rPr>
        <w:t xml:space="preserve">la fracción </w:t>
      </w:r>
      <w:r w:rsidDel="00000000" w:rsidR="00000000" w:rsidRPr="00000000">
        <w:rPr>
          <w:sz w:val="18"/>
          <w:szCs w:val="18"/>
          <w:rtl w:val="0"/>
        </w:rPr>
        <w:t xml:space="preserve">arancelaria 1518.00.02 de la TIGIE, o por cualquier otra.</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w:t>
      </w:r>
      <w:r w:rsidDel="00000000" w:rsidR="00000000" w:rsidRPr="00000000">
        <w:rPr>
          <w:sz w:val="18"/>
          <w:szCs w:val="18"/>
          <w:rtl w:val="0"/>
        </w:rPr>
        <w:t xml:space="preserve">Se </w:t>
      </w:r>
      <w:r w:rsidDel="00000000" w:rsidR="00000000" w:rsidRPr="00000000">
        <w:rPr>
          <w:color w:val="2f2f2f"/>
          <w:sz w:val="18"/>
          <w:szCs w:val="18"/>
          <w:rtl w:val="0"/>
        </w:rPr>
        <w:t xml:space="preserve">fija</w:t>
      </w:r>
      <w:r w:rsidDel="00000000" w:rsidR="00000000" w:rsidRPr="00000000">
        <w:rPr>
          <w:sz w:val="18"/>
          <w:szCs w:val="18"/>
          <w:rtl w:val="0"/>
        </w:rPr>
        <w:t xml:space="preserve"> como periodo de examen el comprendido del 1 de julio de 2019 al 30 de junio de </w:t>
      </w:r>
      <w:r w:rsidDel="00000000" w:rsidR="00000000" w:rsidRPr="00000000">
        <w:rPr>
          <w:color w:val="2f2f2f"/>
          <w:sz w:val="18"/>
          <w:szCs w:val="18"/>
          <w:rtl w:val="0"/>
        </w:rPr>
        <w:t xml:space="preserve">2020 y como periodo de análisis el comprendido del 1 de julio de 2015 al 30 de junio de 2020.</w:t>
      </w:r>
    </w:p>
    <w:p w:rsidR="00000000" w:rsidDel="00000000" w:rsidP="00000000" w:rsidRDefault="00000000" w:rsidRPr="00000000" w14:paraId="0000004D">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Conforme</w:t>
      </w:r>
      <w:r w:rsidDel="00000000" w:rsidR="00000000" w:rsidRPr="00000000">
        <w:rPr>
          <w:sz w:val="18"/>
          <w:szCs w:val="18"/>
          <w:rtl w:val="0"/>
        </w:rPr>
        <w:t xml:space="preserve"> a lo establecido en los artículos 11.3 del Acuerdo Antidumping, 70 fracción II y 89 F de la Ley de Comercio Exterior y 94 de su Reglamento, la cuota compensatoria definitiva a que se refiere el punto 1 de la </w:t>
      </w:r>
      <w:r w:rsidDel="00000000" w:rsidR="00000000" w:rsidRPr="00000000">
        <w:rPr>
          <w:color w:val="2f2f2f"/>
          <w:sz w:val="18"/>
          <w:szCs w:val="18"/>
          <w:rtl w:val="0"/>
        </w:rPr>
        <w:t xml:space="preserve">presente</w:t>
      </w:r>
      <w:r w:rsidDel="00000000" w:rsidR="00000000" w:rsidRPr="00000000">
        <w:rPr>
          <w:sz w:val="18"/>
          <w:szCs w:val="18"/>
          <w:rtl w:val="0"/>
        </w:rPr>
        <w:t xml:space="preserve"> Resolución, continuará vigente mientras se tramita el presente procedimiento de examen de vigencia.</w:t>
      </w:r>
    </w:p>
    <w:p w:rsidR="00000000" w:rsidDel="00000000" w:rsidP="00000000" w:rsidRDefault="00000000" w:rsidRPr="00000000" w14:paraId="0000004E">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w:t>
      </w:r>
      <w:r w:rsidDel="00000000" w:rsidR="00000000" w:rsidRPr="00000000">
        <w:rPr>
          <w:sz w:val="18"/>
          <w:szCs w:val="18"/>
          <w:rtl w:val="0"/>
        </w:rPr>
        <w:t xml:space="preserve">De </w:t>
      </w:r>
      <w:r w:rsidDel="00000000" w:rsidR="00000000" w:rsidRPr="00000000">
        <w:rPr>
          <w:color w:val="2f2f2f"/>
          <w:sz w:val="18"/>
          <w:szCs w:val="18"/>
          <w:rtl w:val="0"/>
        </w:rPr>
        <w:t xml:space="preserve">conformidad</w:t>
      </w:r>
      <w:r w:rsidDel="00000000" w:rsidR="00000000" w:rsidRPr="00000000">
        <w:rPr>
          <w:sz w:val="18"/>
          <w:szCs w:val="18"/>
          <w:rtl w:val="0"/>
        </w:rPr>
        <w:t xml:space="preserve"> con los artículos 6.1 y 11.4 del Acuerdo Antidumping, y 3 último párrafo y 89 F de la Ley de Comercio Exterior,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y concluirá a las 14:00 horas del día de su vencimiento.</w:t>
      </w:r>
    </w:p>
    <w:p w:rsidR="00000000" w:rsidDel="00000000" w:rsidP="00000000" w:rsidRDefault="00000000" w:rsidRPr="00000000" w14:paraId="0000004F">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w:t>
      </w:r>
      <w:r w:rsidDel="00000000" w:rsidR="00000000" w:rsidRPr="00000000">
        <w:rPr>
          <w:sz w:val="18"/>
          <w:szCs w:val="18"/>
          <w:rtl w:val="0"/>
        </w:rPr>
        <w:t xml:space="preserve">El formulario oficial a que se refiere el punto anterior, se podrá obtener en la página de Internet de la Secretaría o solicitarlo al correo upci@economia.gob.mx.</w:t>
      </w:r>
    </w:p>
    <w:p w:rsidR="00000000" w:rsidDel="00000000" w:rsidP="00000000" w:rsidRDefault="00000000" w:rsidRPr="00000000" w14:paraId="00000050">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Notifíquese</w:t>
      </w:r>
      <w:r w:rsidDel="00000000" w:rsidR="00000000" w:rsidRPr="00000000">
        <w:rPr>
          <w:sz w:val="18"/>
          <w:szCs w:val="18"/>
          <w:rtl w:val="0"/>
        </w:rPr>
        <w:t xml:space="preserve"> la presente Resolución a las partes de que se tenga conocimiento.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2">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Comuníquese</w:t>
      </w:r>
      <w:r w:rsidDel="00000000" w:rsidR="00000000" w:rsidRPr="00000000">
        <w:rPr>
          <w:sz w:val="18"/>
          <w:szCs w:val="18"/>
          <w:rtl w:val="0"/>
        </w:rPr>
        <w:t xml:space="preserve"> esta Resolución al </w:t>
      </w:r>
      <w:r w:rsidDel="00000000" w:rsidR="00000000" w:rsidRPr="00000000">
        <w:rPr>
          <w:color w:val="2f2f2f"/>
          <w:sz w:val="18"/>
          <w:szCs w:val="18"/>
          <w:rtl w:val="0"/>
        </w:rPr>
        <w:t xml:space="preserve">Servicio de Administración Tributaria, para los</w:t>
      </w:r>
      <w:r w:rsidDel="00000000" w:rsidR="00000000" w:rsidRPr="00000000">
        <w:rPr>
          <w:sz w:val="18"/>
          <w:szCs w:val="18"/>
          <w:rtl w:val="0"/>
        </w:rPr>
        <w:t xml:space="preserve"> efectos legales correspondientes.</w:t>
      </w:r>
    </w:p>
    <w:p w:rsidR="00000000" w:rsidDel="00000000" w:rsidP="00000000" w:rsidRDefault="00000000" w:rsidRPr="00000000" w14:paraId="00000053">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w:t>
      </w:r>
      <w:r w:rsidDel="00000000" w:rsidR="00000000" w:rsidRPr="00000000">
        <w:rPr>
          <w:sz w:val="18"/>
          <w:szCs w:val="18"/>
          <w:rtl w:val="0"/>
        </w:rPr>
        <w:t xml:space="preserve">La </w:t>
      </w:r>
      <w:r w:rsidDel="00000000" w:rsidR="00000000" w:rsidRPr="00000000">
        <w:rPr>
          <w:color w:val="2f2f2f"/>
          <w:sz w:val="18"/>
          <w:szCs w:val="18"/>
          <w:rtl w:val="0"/>
        </w:rPr>
        <w:t xml:space="preserve">presente</w:t>
      </w:r>
      <w:r w:rsidDel="00000000" w:rsidR="00000000" w:rsidRPr="00000000">
        <w:rPr>
          <w:sz w:val="18"/>
          <w:szCs w:val="18"/>
          <w:rtl w:val="0"/>
        </w:rPr>
        <w:t xml:space="preserve"> Resolución entrará en vigor al día siguiente de su publicación en el DOF.</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junio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057">
      <w:pPr>
        <w:shd w:fill="ffffff" w:val="clear"/>
        <w:spacing w:after="100" w:lineRule="auto"/>
        <w:ind w:firstLine="280"/>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