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35/2021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6 al 12 de marzo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C">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04 de marzo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