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3A" w:rsidRDefault="003C0B3A" w:rsidP="003C0B3A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</w:pPr>
      <w:r w:rsidRPr="003C0B3A"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  <w:t>Acuerdo por el que se actualizan las cuotas que se especifican en materia del impuesto especial sobre producción y servicios</w:t>
      </w:r>
    </w:p>
    <w:p w:rsidR="003C0B3A" w:rsidRPr="003C0B3A" w:rsidRDefault="003C0B3A" w:rsidP="003C0B3A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  <w:t>(DOF 29 de diciembre de 2017)</w:t>
      </w:r>
    </w:p>
    <w:p w:rsidR="003C0B3A" w:rsidRPr="003C0B3A" w:rsidRDefault="003C0B3A" w:rsidP="003C0B3A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lang w:eastAsia="es-MX"/>
        </w:rPr>
      </w:pPr>
    </w:p>
    <w:p w:rsidR="003C0B3A" w:rsidRPr="003C0B3A" w:rsidRDefault="003C0B3A" w:rsidP="003C0B3A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Al margen un sello con el Escudo Nacional, que dice: Estados Unidos Mexicanos.- Secretaría de Hacienda y Crédito Público.</w:t>
      </w:r>
    </w:p>
    <w:p w:rsidR="003C0B3A" w:rsidRPr="003C0B3A" w:rsidRDefault="003C0B3A" w:rsidP="003C0B3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lang w:eastAsia="es-MX"/>
        </w:rPr>
      </w:pPr>
      <w:r w:rsidRPr="003C0B3A">
        <w:rPr>
          <w:rFonts w:ascii="Verdana" w:eastAsia="Times New Roman" w:hAnsi="Verdana" w:cs="Times"/>
          <w:b/>
          <w:bCs/>
          <w:color w:val="2F2F2F"/>
          <w:lang w:eastAsia="es-MX"/>
        </w:rPr>
        <w:t>Acuerdo 136/2017</w:t>
      </w:r>
    </w:p>
    <w:p w:rsidR="003C0B3A" w:rsidRPr="003C0B3A" w:rsidRDefault="003C0B3A" w:rsidP="003C0B3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Acuerdo por el que se actualizan las cuotas que se especifican en materia del impuesto especial</w:t>
      </w:r>
      <w:r w:rsidRPr="003C0B3A">
        <w:rPr>
          <w:rFonts w:ascii="Verdana" w:eastAsia="Times New Roman" w:hAnsi="Verdana" w:cs="Arial"/>
          <w:color w:val="2F2F2F"/>
          <w:lang w:eastAsia="es-MX"/>
        </w:rPr>
        <w:br/>
      </w: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sobre producción y servicios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color w:val="2F2F2F"/>
          <w:lang w:eastAsia="es-MX"/>
        </w:rPr>
        <w:t>JOSÉ ANTONIO GONZÁLEZ ANAYA, Secretario de Hacienda y Crédito Público, con fundamento en los artículos 31, fracción XXXIV de la Ley Orgánica de la Administración Pública Federal; 2o., fracción I, incisos D) y H), y 2o.-A de la Ley del Impuesto Especial sobre Producción y Servicios, y 4o. del Reglamento Interior de la Secretaría de Hacienda y Crédito Público, y</w:t>
      </w:r>
    </w:p>
    <w:p w:rsidR="003C0B3A" w:rsidRPr="003C0B3A" w:rsidRDefault="003C0B3A" w:rsidP="003C0B3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lang w:eastAsia="es-MX"/>
        </w:rPr>
      </w:pPr>
      <w:r w:rsidRPr="003C0B3A">
        <w:rPr>
          <w:rFonts w:ascii="Verdana" w:eastAsia="Times New Roman" w:hAnsi="Verdana" w:cs="Times"/>
          <w:b/>
          <w:bCs/>
          <w:color w:val="2F2F2F"/>
          <w:lang w:eastAsia="es-MX"/>
        </w:rPr>
        <w:t>CONSIDERANDO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color w:val="2F2F2F"/>
          <w:lang w:eastAsia="es-MX"/>
        </w:rPr>
        <w:t xml:space="preserve">Que conforme a lo dispuesto en los artículos 2o., fracción I, incisos D) y H), y 2o.-A de la Ley del Impuesto Especial sobre Producción y Servicios, las cuotas aplicables a los combustibles automotrices, combustibles fósiles y las cuotas aplicables a las gasolinas y al </w:t>
      </w:r>
      <w:proofErr w:type="spellStart"/>
      <w:r w:rsidRPr="003C0B3A">
        <w:rPr>
          <w:rFonts w:ascii="Verdana" w:eastAsia="Times New Roman" w:hAnsi="Verdana" w:cs="Arial"/>
          <w:color w:val="2F2F2F"/>
          <w:lang w:eastAsia="es-MX"/>
        </w:rPr>
        <w:t>diésel</w:t>
      </w:r>
      <w:proofErr w:type="spellEnd"/>
      <w:r w:rsidRPr="003C0B3A">
        <w:rPr>
          <w:rFonts w:ascii="Verdana" w:eastAsia="Times New Roman" w:hAnsi="Verdana" w:cs="Arial"/>
          <w:color w:val="2F2F2F"/>
          <w:lang w:eastAsia="es-MX"/>
        </w:rPr>
        <w:t xml:space="preserve"> que se destinan a las entidades federativas, se actualizarán anualmente y entrarán en vigor a partir del 1 de enero de cada año;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color w:val="2F2F2F"/>
          <w:lang w:eastAsia="es-MX"/>
        </w:rPr>
        <w:t>Que la actualización se llevará a cabo aplicando el factor de actualización correspondiente al período comprendido desde el mes de diciembre del penúltimo año hasta el mes de diciembre inmediato anterior a aquél por el que se efectúa la actualización, factor que se obtendrá de conformidad con lo dispuesto por el artículo 17-A del Código Fiscal de la Federación;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color w:val="2F2F2F"/>
          <w:lang w:eastAsia="es-MX"/>
        </w:rPr>
        <w:t>Que las cuotas aplicables a los combustibles fósiles fueron actualizadas por última vez mediante el "Acuerdo por el que se actualizan las cuotas que se especifican en materia del impuesto especial sobre producción y servicios" publicado en el Diario Oficial de la Federación el 27 de diciembre de 2016, y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color w:val="2F2F2F"/>
          <w:lang w:eastAsia="es-MX"/>
        </w:rPr>
        <w:t xml:space="preserve">Que la Secretaría de Hacienda y Crédito Público publicará el factor de actualización en el Diario Oficial de la Federación durante el mes de diciembre de cada año y con base en lo anterior, se actualizan las cuotas aplicables a los combustibles automotrices, a los combustibles fósiles, así como las cuotas aplicables a las gasolinas y el </w:t>
      </w:r>
      <w:proofErr w:type="spellStart"/>
      <w:r w:rsidRPr="003C0B3A">
        <w:rPr>
          <w:rFonts w:ascii="Verdana" w:eastAsia="Times New Roman" w:hAnsi="Verdana" w:cs="Arial"/>
          <w:color w:val="2F2F2F"/>
          <w:lang w:eastAsia="es-MX"/>
        </w:rPr>
        <w:t>diésel</w:t>
      </w:r>
      <w:proofErr w:type="spellEnd"/>
      <w:r w:rsidRPr="003C0B3A">
        <w:rPr>
          <w:rFonts w:ascii="Verdana" w:eastAsia="Times New Roman" w:hAnsi="Verdana" w:cs="Arial"/>
          <w:color w:val="2F2F2F"/>
          <w:lang w:eastAsia="es-MX"/>
        </w:rPr>
        <w:t xml:space="preserve"> destinadas a las entidades federativas, por lo que se expide el siguiente</w:t>
      </w:r>
    </w:p>
    <w:p w:rsidR="003C0B3A" w:rsidRPr="003C0B3A" w:rsidRDefault="003C0B3A" w:rsidP="003C0B3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lang w:eastAsia="es-MX"/>
        </w:rPr>
      </w:pPr>
      <w:r w:rsidRPr="003C0B3A">
        <w:rPr>
          <w:rFonts w:ascii="Verdana" w:eastAsia="Times New Roman" w:hAnsi="Verdana" w:cs="Times"/>
          <w:b/>
          <w:bCs/>
          <w:color w:val="2F2F2F"/>
          <w:lang w:eastAsia="es-MX"/>
        </w:rPr>
        <w:t>ACUERDO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ARTÍCULO PRIMERO.-</w:t>
      </w:r>
      <w:r w:rsidRPr="003C0B3A">
        <w:rPr>
          <w:rFonts w:ascii="Verdana" w:eastAsia="Times New Roman" w:hAnsi="Verdana" w:cs="Arial"/>
          <w:color w:val="2F2F2F"/>
          <w:lang w:eastAsia="es-MX"/>
        </w:rPr>
        <w:t xml:space="preserve"> El factor de actualización aplicable para el año de 2018 a las cuotas a que se refieren los artículos 2o., fracción I, incisos D) y H), y 2o.-A, fracciones I, II y III de la Ley del Impuesto Especial sobre Producción </w:t>
      </w:r>
      <w:r w:rsidRPr="003C0B3A">
        <w:rPr>
          <w:rFonts w:ascii="Verdana" w:eastAsia="Times New Roman" w:hAnsi="Verdana" w:cs="Arial"/>
          <w:color w:val="2F2F2F"/>
          <w:lang w:eastAsia="es-MX"/>
        </w:rPr>
        <w:lastRenderedPageBreak/>
        <w:t>y Servicios, es de 1.0663, resultado de dividir el Índice Nacional de Precios al Consumidor del mes de noviembre de 2017, que fue de 130.044 puntos, y el mencionado índice correspondiente al mes de noviembre de 2016, que fue de 121.953 puntos, procedimiento establecido conforme a lo dispuesto por el artículo 17-A del Código Fiscal de la Federación.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ARTÍCULO SEGUNDO.-</w:t>
      </w:r>
      <w:r w:rsidRPr="003C0B3A">
        <w:rPr>
          <w:rFonts w:ascii="Verdana" w:eastAsia="Times New Roman" w:hAnsi="Verdana" w:cs="Arial"/>
          <w:color w:val="2F2F2F"/>
          <w:lang w:eastAsia="es-MX"/>
        </w:rPr>
        <w:t> Conforme al factor de actualización mencionado en el artículo Primero de este Acuerdo, las cuotas aplicables a los combustibles automotrices a que se refiere el artículo 2o., fracción I, inciso D) de la Ley del Impuesto Especial sobre Producción y Servicios, que estarán vigentes a partir del 1 de enero de 2018, son las siguientes: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hanging="432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1.</w:t>
      </w:r>
      <w:r w:rsidRPr="003C0B3A">
        <w:rPr>
          <w:rFonts w:ascii="Verdana" w:eastAsia="Times New Roman" w:hAnsi="Verdana" w:cs="Arial"/>
          <w:color w:val="2F2F2F"/>
          <w:lang w:eastAsia="es-MX"/>
        </w:rPr>
        <w:t>     Combustibles fósiles..............................Cuota           Unidad de medida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hanging="360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a.</w:t>
      </w:r>
      <w:r w:rsidRPr="003C0B3A">
        <w:rPr>
          <w:rFonts w:ascii="Verdana" w:eastAsia="Times New Roman" w:hAnsi="Verdana" w:cs="Arial"/>
          <w:color w:val="2F2F2F"/>
          <w:lang w:eastAsia="es-MX"/>
        </w:rPr>
        <w:t>   Gasolina menor a 92 octanos.............4.59             pesos por litro.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hanging="360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b.</w:t>
      </w:r>
      <w:r w:rsidRPr="003C0B3A">
        <w:rPr>
          <w:rFonts w:ascii="Verdana" w:eastAsia="Times New Roman" w:hAnsi="Verdana" w:cs="Arial"/>
          <w:color w:val="2F2F2F"/>
          <w:lang w:eastAsia="es-MX"/>
        </w:rPr>
        <w:t>   Gasolina mayor o igual a 92 octanos    3.88             pesos por litro.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hanging="360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c.</w:t>
      </w:r>
      <w:r w:rsidRPr="003C0B3A">
        <w:rPr>
          <w:rFonts w:ascii="Verdana" w:eastAsia="Times New Roman" w:hAnsi="Verdana" w:cs="Arial"/>
          <w:color w:val="2F2F2F"/>
          <w:lang w:eastAsia="es-MX"/>
        </w:rPr>
        <w:t>   </w:t>
      </w:r>
      <w:proofErr w:type="spellStart"/>
      <w:proofErr w:type="gramStart"/>
      <w:r w:rsidRPr="003C0B3A">
        <w:rPr>
          <w:rFonts w:ascii="Verdana" w:eastAsia="Times New Roman" w:hAnsi="Verdana" w:cs="Arial"/>
          <w:color w:val="2F2F2F"/>
          <w:lang w:eastAsia="es-MX"/>
        </w:rPr>
        <w:t>Diésel</w:t>
      </w:r>
      <w:proofErr w:type="spellEnd"/>
      <w:r w:rsidRPr="003C0B3A">
        <w:rPr>
          <w:rFonts w:ascii="Verdana" w:eastAsia="Times New Roman" w:hAnsi="Verdana" w:cs="Arial"/>
          <w:color w:val="2F2F2F"/>
          <w:lang w:eastAsia="es-MX"/>
        </w:rPr>
        <w:t> ..........................................</w:t>
      </w:r>
      <w:proofErr w:type="gramEnd"/>
      <w:r w:rsidRPr="003C0B3A">
        <w:rPr>
          <w:rFonts w:ascii="Verdana" w:eastAsia="Times New Roman" w:hAnsi="Verdana" w:cs="Arial"/>
          <w:color w:val="2F2F2F"/>
          <w:lang w:eastAsia="es-MX"/>
        </w:rPr>
        <w:t>5.04             pesos por litro.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hanging="432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2.</w:t>
      </w:r>
      <w:r w:rsidRPr="003C0B3A">
        <w:rPr>
          <w:rFonts w:ascii="Verdana" w:eastAsia="Times New Roman" w:hAnsi="Verdana" w:cs="Arial"/>
          <w:color w:val="2F2F2F"/>
          <w:lang w:eastAsia="es-MX"/>
        </w:rPr>
        <w:t xml:space="preserve">     Combustibles no </w:t>
      </w:r>
      <w:proofErr w:type="gramStart"/>
      <w:r w:rsidRPr="003C0B3A">
        <w:rPr>
          <w:rFonts w:ascii="Verdana" w:eastAsia="Times New Roman" w:hAnsi="Verdana" w:cs="Arial"/>
          <w:color w:val="2F2F2F"/>
          <w:lang w:eastAsia="es-MX"/>
        </w:rPr>
        <w:t>fósiles .........................</w:t>
      </w:r>
      <w:proofErr w:type="gramEnd"/>
      <w:r w:rsidRPr="003C0B3A">
        <w:rPr>
          <w:rFonts w:ascii="Verdana" w:eastAsia="Times New Roman" w:hAnsi="Verdana" w:cs="Arial"/>
          <w:color w:val="2F2F2F"/>
          <w:lang w:eastAsia="es-MX"/>
        </w:rPr>
        <w:t>3.88             pesos por litro.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ARTÍCULO TERCERO.-</w:t>
      </w:r>
      <w:r w:rsidRPr="003C0B3A">
        <w:rPr>
          <w:rFonts w:ascii="Verdana" w:eastAsia="Times New Roman" w:hAnsi="Verdana" w:cs="Arial"/>
          <w:color w:val="2F2F2F"/>
          <w:lang w:eastAsia="es-MX"/>
        </w:rPr>
        <w:t> Conforme al factor de actualización mencionado en el artículo Primero de este Acuerdo, las cuotas aplicables a los combustibles fósiles a que se refiere el artículo 2o., fracción I, inciso H) de la Ley del Impuesto Especial sobre Producción y Servicios, que estarán vigentes a partir del 1 de enero de 2018, son las siguientes: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Combustibles Fósiles</w:t>
      </w:r>
      <w:r w:rsidRPr="003C0B3A">
        <w:rPr>
          <w:rFonts w:ascii="Verdana" w:eastAsia="Times New Roman" w:hAnsi="Verdana" w:cs="Arial"/>
          <w:color w:val="2F2F2F"/>
          <w:lang w:eastAsia="es-MX"/>
        </w:rPr>
        <w:t>                                    </w:t>
      </w: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Cuota</w:t>
      </w:r>
      <w:r w:rsidRPr="003C0B3A">
        <w:rPr>
          <w:rFonts w:ascii="Verdana" w:eastAsia="Times New Roman" w:hAnsi="Verdana" w:cs="Arial"/>
          <w:color w:val="2F2F2F"/>
          <w:lang w:eastAsia="es-MX"/>
        </w:rPr>
        <w:t>         </w:t>
      </w: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Unidad de medida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3C0B3A" w:rsidRPr="003C0B3A" w:rsidTr="003C0B3A">
        <w:tc>
          <w:tcPr>
            <w:tcW w:w="0" w:type="auto"/>
            <w:shd w:val="clear" w:color="auto" w:fill="FFFFFF"/>
            <w:vAlign w:val="center"/>
            <w:hideMark/>
          </w:tcPr>
          <w:p w:rsidR="003C0B3A" w:rsidRPr="003C0B3A" w:rsidRDefault="003C0B3A" w:rsidP="003C0B3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lang w:eastAsia="es-MX"/>
              </w:rPr>
            </w:pPr>
          </w:p>
        </w:tc>
      </w:tr>
    </w:tbl>
    <w:p w:rsidR="003C0B3A" w:rsidRPr="003C0B3A" w:rsidRDefault="003C0B3A" w:rsidP="003C0B3A">
      <w:pPr>
        <w:spacing w:after="0" w:line="240" w:lineRule="auto"/>
        <w:rPr>
          <w:rFonts w:ascii="Verdana" w:eastAsia="Times New Roman" w:hAnsi="Verdana" w:cs="Times New Roman"/>
          <w:vanish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6"/>
        <w:gridCol w:w="1371"/>
        <w:gridCol w:w="2917"/>
      </w:tblGrid>
      <w:tr w:rsidR="003C0B3A" w:rsidRPr="003C0B3A" w:rsidTr="003C0B3A">
        <w:trPr>
          <w:trHeight w:val="325"/>
        </w:trPr>
        <w:tc>
          <w:tcPr>
            <w:tcW w:w="37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1</w:t>
            </w: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. Propano...........................................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6.93</w:t>
            </w:r>
          </w:p>
        </w:tc>
        <w:tc>
          <w:tcPr>
            <w:tcW w:w="3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centavos</w:t>
            </w:r>
            <w:proofErr w:type="gram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por litro.</w:t>
            </w:r>
          </w:p>
        </w:tc>
      </w:tr>
      <w:tr w:rsidR="003C0B3A" w:rsidRPr="003C0B3A" w:rsidTr="003C0B3A">
        <w:trPr>
          <w:trHeight w:val="325"/>
        </w:trPr>
        <w:tc>
          <w:tcPr>
            <w:tcW w:w="37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</w:t>
            </w: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. </w:t>
            </w: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Butano .............................................</w:t>
            </w:r>
            <w:proofErr w:type="gramEnd"/>
          </w:p>
        </w:tc>
        <w:tc>
          <w:tcPr>
            <w:tcW w:w="15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8.98</w:t>
            </w:r>
          </w:p>
        </w:tc>
        <w:tc>
          <w:tcPr>
            <w:tcW w:w="3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centavos</w:t>
            </w:r>
            <w:proofErr w:type="gram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por litro.</w:t>
            </w:r>
          </w:p>
        </w:tc>
      </w:tr>
      <w:tr w:rsidR="003C0B3A" w:rsidRPr="003C0B3A" w:rsidTr="003C0B3A">
        <w:trPr>
          <w:trHeight w:val="325"/>
        </w:trPr>
        <w:tc>
          <w:tcPr>
            <w:tcW w:w="37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</w:t>
            </w: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. Gasolinas y </w:t>
            </w:r>
            <w:proofErr w:type="spellStart"/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gasavión</w:t>
            </w:r>
            <w:proofErr w:type="spell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 ..........................</w:t>
            </w:r>
            <w:proofErr w:type="gramEnd"/>
          </w:p>
        </w:tc>
        <w:tc>
          <w:tcPr>
            <w:tcW w:w="15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12.17</w:t>
            </w:r>
          </w:p>
        </w:tc>
        <w:tc>
          <w:tcPr>
            <w:tcW w:w="3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centavos</w:t>
            </w:r>
            <w:proofErr w:type="gram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por litro.</w:t>
            </w:r>
          </w:p>
        </w:tc>
      </w:tr>
      <w:tr w:rsidR="003C0B3A" w:rsidRPr="003C0B3A" w:rsidTr="003C0B3A">
        <w:trPr>
          <w:trHeight w:val="325"/>
        </w:trPr>
        <w:tc>
          <w:tcPr>
            <w:tcW w:w="37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gramStart"/>
            <w:r w:rsidRPr="003C0B3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</w:t>
            </w: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.Turbosina</w:t>
            </w:r>
            <w:proofErr w:type="gram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y otros kerosenos ..................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14.54</w:t>
            </w:r>
          </w:p>
        </w:tc>
        <w:tc>
          <w:tcPr>
            <w:tcW w:w="3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centavos</w:t>
            </w:r>
            <w:proofErr w:type="gram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por litro.</w:t>
            </w:r>
          </w:p>
        </w:tc>
      </w:tr>
      <w:tr w:rsidR="003C0B3A" w:rsidRPr="003C0B3A" w:rsidTr="003C0B3A">
        <w:trPr>
          <w:trHeight w:val="325"/>
        </w:trPr>
        <w:tc>
          <w:tcPr>
            <w:tcW w:w="37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5</w:t>
            </w: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. </w:t>
            </w: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Diesel ..............................................</w:t>
            </w:r>
            <w:proofErr w:type="gramEnd"/>
          </w:p>
        </w:tc>
        <w:tc>
          <w:tcPr>
            <w:tcW w:w="15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14.76</w:t>
            </w:r>
          </w:p>
        </w:tc>
        <w:tc>
          <w:tcPr>
            <w:tcW w:w="3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centavos</w:t>
            </w:r>
            <w:proofErr w:type="gram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por litro.</w:t>
            </w:r>
          </w:p>
        </w:tc>
      </w:tr>
      <w:tr w:rsidR="003C0B3A" w:rsidRPr="003C0B3A" w:rsidTr="003C0B3A">
        <w:trPr>
          <w:trHeight w:val="325"/>
        </w:trPr>
        <w:tc>
          <w:tcPr>
            <w:tcW w:w="37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6</w:t>
            </w: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. </w:t>
            </w: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Combustóleo .....................................</w:t>
            </w:r>
            <w:proofErr w:type="gramEnd"/>
          </w:p>
        </w:tc>
        <w:tc>
          <w:tcPr>
            <w:tcW w:w="15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15.76</w:t>
            </w:r>
          </w:p>
        </w:tc>
        <w:tc>
          <w:tcPr>
            <w:tcW w:w="3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centavos</w:t>
            </w:r>
            <w:proofErr w:type="gram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por litro.</w:t>
            </w:r>
          </w:p>
        </w:tc>
      </w:tr>
      <w:tr w:rsidR="003C0B3A" w:rsidRPr="003C0B3A" w:rsidTr="003C0B3A">
        <w:trPr>
          <w:trHeight w:val="325"/>
        </w:trPr>
        <w:tc>
          <w:tcPr>
            <w:tcW w:w="37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7</w:t>
            </w: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. Coque de </w:t>
            </w: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petróleo ..............................</w:t>
            </w:r>
            <w:proofErr w:type="gramEnd"/>
          </w:p>
        </w:tc>
        <w:tc>
          <w:tcPr>
            <w:tcW w:w="15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18.29</w:t>
            </w:r>
          </w:p>
        </w:tc>
        <w:tc>
          <w:tcPr>
            <w:tcW w:w="3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pesos</w:t>
            </w:r>
            <w:proofErr w:type="gram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por tonelada.</w:t>
            </w:r>
          </w:p>
        </w:tc>
      </w:tr>
      <w:tr w:rsidR="003C0B3A" w:rsidRPr="003C0B3A" w:rsidTr="003C0B3A">
        <w:trPr>
          <w:trHeight w:val="325"/>
        </w:trPr>
        <w:tc>
          <w:tcPr>
            <w:tcW w:w="37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8</w:t>
            </w: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. Coque de </w:t>
            </w: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carbón ................................</w:t>
            </w:r>
            <w:proofErr w:type="gramEnd"/>
          </w:p>
        </w:tc>
        <w:tc>
          <w:tcPr>
            <w:tcW w:w="15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42.88</w:t>
            </w:r>
          </w:p>
        </w:tc>
        <w:tc>
          <w:tcPr>
            <w:tcW w:w="3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pesos</w:t>
            </w:r>
            <w:proofErr w:type="gram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por tonelada.</w:t>
            </w:r>
          </w:p>
        </w:tc>
      </w:tr>
      <w:tr w:rsidR="003C0B3A" w:rsidRPr="003C0B3A" w:rsidTr="003C0B3A">
        <w:trPr>
          <w:trHeight w:val="325"/>
        </w:trPr>
        <w:tc>
          <w:tcPr>
            <w:tcW w:w="37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9</w:t>
            </w: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. Carbón </w:t>
            </w: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mineral ..................................</w:t>
            </w:r>
            <w:proofErr w:type="gramEnd"/>
          </w:p>
        </w:tc>
        <w:tc>
          <w:tcPr>
            <w:tcW w:w="15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32.29</w:t>
            </w:r>
          </w:p>
        </w:tc>
        <w:tc>
          <w:tcPr>
            <w:tcW w:w="3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pesos</w:t>
            </w:r>
            <w:proofErr w:type="gram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por tonelada.</w:t>
            </w:r>
          </w:p>
        </w:tc>
      </w:tr>
      <w:tr w:rsidR="003C0B3A" w:rsidRPr="003C0B3A" w:rsidTr="003C0B3A">
        <w:trPr>
          <w:trHeight w:val="549"/>
        </w:trPr>
        <w:tc>
          <w:tcPr>
            <w:tcW w:w="37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lastRenderedPageBreak/>
              <w:t>10</w:t>
            </w: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. Otros combustibles </w:t>
            </w: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fósiles ..................</w:t>
            </w:r>
            <w:proofErr w:type="gramEnd"/>
          </w:p>
        </w:tc>
        <w:tc>
          <w:tcPr>
            <w:tcW w:w="15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46.67</w:t>
            </w:r>
          </w:p>
        </w:tc>
        <w:tc>
          <w:tcPr>
            <w:tcW w:w="3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0B3A" w:rsidRPr="003C0B3A" w:rsidRDefault="003C0B3A" w:rsidP="003C0B3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gram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pesos</w:t>
            </w:r>
            <w:proofErr w:type="gram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por tonelada de carbono </w:t>
            </w:r>
            <w:proofErr w:type="spellStart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>quecontenga</w:t>
            </w:r>
            <w:proofErr w:type="spellEnd"/>
            <w:r w:rsidRPr="003C0B3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el combustible.</w:t>
            </w:r>
          </w:p>
        </w:tc>
      </w:tr>
    </w:tbl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color w:val="2F2F2F"/>
          <w:lang w:eastAsia="es-MX"/>
        </w:rPr>
        <w:t> 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ARTÍCULO CUARTO.- </w:t>
      </w:r>
      <w:r w:rsidRPr="003C0B3A">
        <w:rPr>
          <w:rFonts w:ascii="Verdana" w:eastAsia="Times New Roman" w:hAnsi="Verdana" w:cs="Arial"/>
          <w:color w:val="2F2F2F"/>
          <w:lang w:eastAsia="es-MX"/>
        </w:rPr>
        <w:t xml:space="preserve">Conforme al factor de actualización mencionado en el artículo Primero de este Acuerdo, las cuotas aplicables a las gasolinas y el </w:t>
      </w:r>
      <w:proofErr w:type="spellStart"/>
      <w:r w:rsidRPr="003C0B3A">
        <w:rPr>
          <w:rFonts w:ascii="Verdana" w:eastAsia="Times New Roman" w:hAnsi="Verdana" w:cs="Arial"/>
          <w:color w:val="2F2F2F"/>
          <w:lang w:eastAsia="es-MX"/>
        </w:rPr>
        <w:t>diésel</w:t>
      </w:r>
      <w:proofErr w:type="spellEnd"/>
      <w:r w:rsidRPr="003C0B3A">
        <w:rPr>
          <w:rFonts w:ascii="Verdana" w:eastAsia="Times New Roman" w:hAnsi="Verdana" w:cs="Arial"/>
          <w:color w:val="2F2F2F"/>
          <w:lang w:eastAsia="es-MX"/>
        </w:rPr>
        <w:t xml:space="preserve"> previstas en el artículo 2o.-A, fracciones I, II y III de la Ley del Impuesto Especial sobre Producción y Servicios, que estarán vigentes a partir del 1 de enero de 2018, son las siguientes: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Combustibles </w:t>
      </w:r>
      <w:r w:rsidRPr="003C0B3A">
        <w:rPr>
          <w:rFonts w:ascii="Verdana" w:eastAsia="Times New Roman" w:hAnsi="Verdana" w:cs="Arial"/>
          <w:color w:val="2F2F2F"/>
          <w:lang w:eastAsia="es-MX"/>
        </w:rPr>
        <w:t>                                      </w:t>
      </w: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Cuota</w:t>
      </w:r>
      <w:r w:rsidRPr="003C0B3A">
        <w:rPr>
          <w:rFonts w:ascii="Verdana" w:eastAsia="Times New Roman" w:hAnsi="Verdana" w:cs="Arial"/>
          <w:color w:val="2F2F2F"/>
          <w:lang w:eastAsia="es-MX"/>
        </w:rPr>
        <w:t>         </w:t>
      </w: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Unidad de medida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color w:val="2F2F2F"/>
          <w:lang w:eastAsia="es-MX"/>
        </w:rPr>
        <w:t>Gasolina menor a 92 octanos                    40.52          centavos por litro.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color w:val="2F2F2F"/>
          <w:lang w:eastAsia="es-MX"/>
        </w:rPr>
        <w:t>Gasolina mayor o igual a 92 octanos           49.44          centavos por litro.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color w:val="2F2F2F"/>
          <w:lang w:eastAsia="es-MX"/>
        </w:rPr>
        <w:t>Diésel                                                  33.63          centavos por litro.</w:t>
      </w:r>
    </w:p>
    <w:p w:rsidR="003C0B3A" w:rsidRPr="003C0B3A" w:rsidRDefault="003C0B3A" w:rsidP="003C0B3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lang w:eastAsia="es-MX"/>
        </w:rPr>
      </w:pPr>
      <w:r w:rsidRPr="003C0B3A">
        <w:rPr>
          <w:rFonts w:ascii="Verdana" w:eastAsia="Times New Roman" w:hAnsi="Verdana" w:cs="Times"/>
          <w:b/>
          <w:bCs/>
          <w:color w:val="2F2F2F"/>
          <w:lang w:eastAsia="es-MX"/>
        </w:rPr>
        <w:t>TRANSITORIO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ÚNICO.- </w:t>
      </w:r>
      <w:r w:rsidRPr="003C0B3A">
        <w:rPr>
          <w:rFonts w:ascii="Verdana" w:eastAsia="Times New Roman" w:hAnsi="Verdana" w:cs="Arial"/>
          <w:color w:val="2F2F2F"/>
          <w:lang w:eastAsia="es-MX"/>
        </w:rPr>
        <w:t>El presente Acuerdo entrará en vigor el 1 de enero de 2018.</w:t>
      </w:r>
    </w:p>
    <w:p w:rsidR="003C0B3A" w:rsidRPr="003C0B3A" w:rsidRDefault="003C0B3A" w:rsidP="003C0B3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3C0B3A">
        <w:rPr>
          <w:rFonts w:ascii="Verdana" w:eastAsia="Times New Roman" w:hAnsi="Verdana" w:cs="Arial"/>
          <w:color w:val="2F2F2F"/>
          <w:lang w:eastAsia="es-MX"/>
        </w:rPr>
        <w:t>Ciudad de México, a 13 de diciembre de 2017.- </w:t>
      </w:r>
      <w:bookmarkStart w:id="0" w:name="_GoBack"/>
      <w:bookmarkEnd w:id="0"/>
      <w:r w:rsidRPr="003C0B3A">
        <w:rPr>
          <w:rFonts w:ascii="Verdana" w:eastAsia="Times New Roman" w:hAnsi="Verdana" w:cs="Arial"/>
          <w:color w:val="2F2F2F"/>
          <w:lang w:eastAsia="es-MX"/>
        </w:rPr>
        <w:t>Con fundamento en el artículo 105 del Reglamento Interior de la Secretaría de Hacienda y Crédito Público, en ausencia del C. Secretario de Hacienda y Crédito Público y del C. Subsecretario de Hacienda y Crédito Público.- El Subsecretario de Ingresos, </w:t>
      </w:r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 xml:space="preserve">Miguel </w:t>
      </w:r>
      <w:proofErr w:type="spellStart"/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Messmacher</w:t>
      </w:r>
      <w:proofErr w:type="spellEnd"/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 </w:t>
      </w:r>
      <w:proofErr w:type="spellStart"/>
      <w:r w:rsidRPr="003C0B3A">
        <w:rPr>
          <w:rFonts w:ascii="Verdana" w:eastAsia="Times New Roman" w:hAnsi="Verdana" w:cs="Arial"/>
          <w:b/>
          <w:bCs/>
          <w:color w:val="2F2F2F"/>
          <w:lang w:eastAsia="es-MX"/>
        </w:rPr>
        <w:t>Linartas</w:t>
      </w:r>
      <w:proofErr w:type="spellEnd"/>
      <w:r w:rsidRPr="003C0B3A">
        <w:rPr>
          <w:rFonts w:ascii="Verdana" w:eastAsia="Times New Roman" w:hAnsi="Verdana" w:cs="Arial"/>
          <w:color w:val="2F2F2F"/>
          <w:lang w:eastAsia="es-MX"/>
        </w:rPr>
        <w:t>.- Rúbrica.</w:t>
      </w:r>
    </w:p>
    <w:p w:rsidR="001E7649" w:rsidRPr="003C0B3A" w:rsidRDefault="001E7649">
      <w:pPr>
        <w:rPr>
          <w:rFonts w:ascii="Verdana" w:hAnsi="Verdana"/>
        </w:rPr>
      </w:pPr>
    </w:p>
    <w:sectPr w:rsidR="001E7649" w:rsidRPr="003C0B3A" w:rsidSect="001E7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B3A"/>
    <w:rsid w:val="001E7649"/>
    <w:rsid w:val="003C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49"/>
  </w:style>
  <w:style w:type="paragraph" w:styleId="Ttulo1">
    <w:name w:val="heading 1"/>
    <w:basedOn w:val="Normal"/>
    <w:link w:val="Ttulo1Car"/>
    <w:uiPriority w:val="9"/>
    <w:qFormat/>
    <w:rsid w:val="003C0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3C0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B3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C0B3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6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7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45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8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74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0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8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5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1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5105</Characters>
  <Application>Microsoft Office Word</Application>
  <DocSecurity>0</DocSecurity>
  <Lines>42</Lines>
  <Paragraphs>12</Paragraphs>
  <ScaleCrop>false</ScaleCrop>
  <Company>Toshiba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Ottmsr Morgan</dc:creator>
  <cp:lastModifiedBy>Ottmsr Morgan</cp:lastModifiedBy>
  <cp:revision>1</cp:revision>
  <dcterms:created xsi:type="dcterms:W3CDTF">2017-12-29T14:45:00Z</dcterms:created>
  <dcterms:modified xsi:type="dcterms:W3CDTF">2017-12-29T14:47:00Z</dcterms:modified>
</cp:coreProperties>
</file>