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z5gb8innomk8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  <w:br w:type="textWrapping"/>
        <w:t xml:space="preserve">(DOF 2 de febrero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ysyuexiwhs0o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16/2024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03 al 09 de febrero de 2024,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03 al 09 de febrero de 2024,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7.56%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16.11%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03 al 09 de febrero de 2024,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$0.4667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$1.0936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03 al 09 de febrero de 2024,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$5.7085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$5.6929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03 al 09 de febrero de 2024,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B">
            <w:pPr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01 de febrero de 2024.-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