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rollos de acero laminados en caliente originarias de la República Federal de Alemania, de la República Popular China y de la República Francesa,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ROLLOS DE ACERO LAMINADOS EN CALIENTE ORIGINARIAS DE LA REPÚBLICA FEDERAL DE ALEMANIA, DE LA REPÚBLICA POPULAR CHINA Y DE LA REPÚBLICA FRANCESA,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35/20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22 de diciembre de 2015 se publicó en el Diario Oficial de la Federación (DOF) la Resolución final de la investigación antidumping sobre las importaciones de rollos de acero laminados en caliente, originarias de la República Federal de Alemania, de la República Popular China y de la República Francesa ("Alemania", "China" y "Francia", respectivamente) independientemente del país de procedencia. Mediante esta Resolución, la Secretaría determinó las cuotas compensatorias definitivas siguientes:</w:t>
      </w:r>
    </w:p>
    <w:p w:rsidR="00000000" w:rsidDel="00000000" w:rsidP="00000000" w:rsidRDefault="00000000" w:rsidRPr="00000000" w14:paraId="0000000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Alemania, de 137 dólares de los Estados Unidos ("dólares") por tonelada métrica para las provenientes de ArcelorMittal Bremen GmbH y de 166.01 dólares por tonelada métrica para las demás empresas exportadoras;</w:t>
      </w:r>
    </w:p>
    <w:p w:rsidR="00000000" w:rsidDel="00000000" w:rsidP="00000000" w:rsidRDefault="00000000" w:rsidRPr="00000000" w14:paraId="0000000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China, de 335.60 dólares por tonelada métrica para las provenientes de Tangshan Iron and Steel Group, Co. Ltd. y de 354.92 dólares por tonelada métrica para las demás empresas exportadoras, y</w:t>
      </w:r>
    </w:p>
    <w:p w:rsidR="00000000" w:rsidDel="00000000" w:rsidP="00000000" w:rsidRDefault="00000000" w:rsidRPr="00000000" w14:paraId="0000000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importaciones originarias de Francia, de 67.54 dólares por tonelada métrica para las provenientes de ArcelorMittal Mediterranée, S.A.S. y de 75.59 dólares por tonelada métrica para las demás empresas exportadoras.</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rollos de acero laminados en caliente originarios de Alemania, China y Francia,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11 y 12 de noviembre de 2020 Ternium México, S.A. de C.V. ("Ternium") y Altos Hornos de México, S.A.B. de C.V. (AHMSA), respectivamente, manifestaron su interés en que la Secretaría inicie el examen de vigencia de las cuotas compensatorias definitivas impuestas a las importaciones de rollos de acero laminados en caliente originarias de Alemania, China y Francia. AHMSA y Ternium propusieron como periodo de examen el comprendido del 1 de octubre de 2019 al 30 de septiembre de 2020.</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Ternium y AHMSA son empresas constituidas conforme a las leyes mexicanas. Su principal actividad consiste en la fabricación del producto objeto de examen. Para acreditar su calidad de productores nacionales de rollos de acero laminados en caliente, presentaron cartas de la Cámara Nacional de la Industria del Hierro y del Acero del 6 y 11 de noviembre de 2020, respectivamente.</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Producto objeto de examen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Descripción del producto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son los productos planos de hierro o de acero al carbono o aleados laminados en caliente, sin decapar, chapar ni revestir; de cualquier espesor, y ancho igual o mayor a 600 mm. Esta mercancía incluye la lámina rolada en caliente que presenta un espesor inferior o igual a 4.75 mm y la placa de acero en rollo rolada en caliente que tiene un espesor superior a 4.75 mm. Se les conoce como rollos de acero laminados en caliente, bobinas en caliente, "Hot Rolled Coils", "Hot Rolled Plate Coil", "Hot Rolled Steel", "Sheet Coil" O "Hot Rolled Band".</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Tratamiento arancelario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examen ingresa al mercado nacional a través de las fracciones arancelarias 7208.36.01, 7208.37.01, 7208.38.01, 7208.39.01, 7225.30.02, 7225.30.03 y 7225.30.99 de la TIGIE, cuya descripción es la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7930417745852"/>
        <w:gridCol w:w="8004.718769249039"/>
        <w:tblGridChange w:id="0">
          <w:tblGrid>
            <w:gridCol w:w="1020.7930417745852"/>
            <w:gridCol w:w="8004.718769249039"/>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8">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jc w:val="both"/>
              <w:rPr>
                <w:sz w:val="18"/>
                <w:szCs w:val="18"/>
              </w:rPr>
            </w:pPr>
            <w:r w:rsidDel="00000000" w:rsidR="00000000" w:rsidRPr="00000000">
              <w:rPr>
                <w:sz w:val="18"/>
                <w:szCs w:val="18"/>
                <w:rtl w:val="0"/>
              </w:rPr>
              <w:t xml:space="preserve">Fundición, hierro y acero</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sz w:val="18"/>
                <w:szCs w:val="18"/>
              </w:rPr>
            </w:pPr>
            <w:r w:rsidDel="00000000" w:rsidR="00000000" w:rsidRPr="00000000">
              <w:rPr>
                <w:sz w:val="18"/>
                <w:szCs w:val="18"/>
                <w:rtl w:val="0"/>
              </w:rPr>
              <w:t xml:space="preserve">Partida 7208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both"/>
              <w:rPr>
                <w:sz w:val="18"/>
                <w:szCs w:val="18"/>
              </w:rPr>
            </w:pPr>
            <w:r w:rsidDel="00000000" w:rsidR="00000000" w:rsidRPr="00000000">
              <w:rPr>
                <w:sz w:val="18"/>
                <w:szCs w:val="18"/>
                <w:rtl w:val="0"/>
              </w:rPr>
              <w:t xml:space="preserve">Productos laminados planos de hierro o acero sin alear, de anchura superior o igual a 600 mm, laminados en caliente, sin chapar ni revestir.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both"/>
              <w:rPr>
                <w:sz w:val="18"/>
                <w:szCs w:val="18"/>
              </w:rPr>
            </w:pPr>
            <w:r w:rsidDel="00000000" w:rsidR="00000000" w:rsidRPr="00000000">
              <w:rPr>
                <w:sz w:val="18"/>
                <w:szCs w:val="18"/>
                <w:rtl w:val="0"/>
              </w:rPr>
              <w:t xml:space="preserve">-Los demás, enrollados, simplemente laminados en caliente: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Subpartida 7208.36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both"/>
              <w:rPr>
                <w:sz w:val="18"/>
                <w:szCs w:val="18"/>
              </w:rPr>
            </w:pPr>
            <w:r w:rsidDel="00000000" w:rsidR="00000000" w:rsidRPr="00000000">
              <w:rPr>
                <w:sz w:val="18"/>
                <w:szCs w:val="18"/>
                <w:rtl w:val="0"/>
              </w:rPr>
              <w:t xml:space="preserve">--De espesor superior a 10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Fracción 7208.36.01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sz w:val="18"/>
                <w:szCs w:val="18"/>
              </w:rPr>
            </w:pPr>
            <w:r w:rsidDel="00000000" w:rsidR="00000000" w:rsidRPr="00000000">
              <w:rPr>
                <w:sz w:val="18"/>
                <w:szCs w:val="18"/>
                <w:rtl w:val="0"/>
              </w:rPr>
              <w:t xml:space="preserve">De espesor superior a 10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sz w:val="18"/>
                <w:szCs w:val="18"/>
              </w:rPr>
            </w:pPr>
            <w:r w:rsidDel="00000000" w:rsidR="00000000" w:rsidRPr="00000000">
              <w:rPr>
                <w:sz w:val="18"/>
                <w:szCs w:val="18"/>
                <w:rtl w:val="0"/>
              </w:rPr>
              <w:t xml:space="preserve">Subpartida 7208.37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both"/>
              <w:rPr>
                <w:sz w:val="18"/>
                <w:szCs w:val="18"/>
              </w:rPr>
            </w:pPr>
            <w:r w:rsidDel="00000000" w:rsidR="00000000" w:rsidRPr="00000000">
              <w:rPr>
                <w:sz w:val="18"/>
                <w:szCs w:val="18"/>
                <w:rtl w:val="0"/>
              </w:rPr>
              <w:t xml:space="preserve">--De espesor superior o igual a 4.75 mm pero inferior o igual a 10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Fracción 7208.37.01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both"/>
              <w:rPr>
                <w:sz w:val="18"/>
                <w:szCs w:val="18"/>
              </w:rPr>
            </w:pPr>
            <w:r w:rsidDel="00000000" w:rsidR="00000000" w:rsidRPr="00000000">
              <w:rPr>
                <w:sz w:val="18"/>
                <w:szCs w:val="18"/>
                <w:rtl w:val="0"/>
              </w:rPr>
              <w:t xml:space="preserve">De espesor superior o igual a 4.75 mm pero inferior o igual a 10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jc w:val="both"/>
              <w:rPr>
                <w:sz w:val="18"/>
                <w:szCs w:val="18"/>
              </w:rPr>
            </w:pPr>
            <w:r w:rsidDel="00000000" w:rsidR="00000000" w:rsidRPr="00000000">
              <w:rPr>
                <w:sz w:val="18"/>
                <w:szCs w:val="18"/>
                <w:rtl w:val="0"/>
              </w:rPr>
              <w:t xml:space="preserve">Subpartida 7208.38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jc w:val="both"/>
              <w:rPr>
                <w:sz w:val="18"/>
                <w:szCs w:val="18"/>
              </w:rPr>
            </w:pPr>
            <w:r w:rsidDel="00000000" w:rsidR="00000000" w:rsidRPr="00000000">
              <w:rPr>
                <w:sz w:val="18"/>
                <w:szCs w:val="18"/>
                <w:rtl w:val="0"/>
              </w:rPr>
              <w:t xml:space="preserve">--De espesor superior o igual a 3 mm pero inferior a 4.75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jc w:val="both"/>
              <w:rPr>
                <w:sz w:val="18"/>
                <w:szCs w:val="18"/>
              </w:rPr>
            </w:pPr>
            <w:r w:rsidDel="00000000" w:rsidR="00000000" w:rsidRPr="00000000">
              <w:rPr>
                <w:sz w:val="18"/>
                <w:szCs w:val="18"/>
                <w:rtl w:val="0"/>
              </w:rPr>
              <w:t xml:space="preserve">Fracción 7208.38.01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jc w:val="both"/>
              <w:rPr>
                <w:sz w:val="18"/>
                <w:szCs w:val="18"/>
              </w:rPr>
            </w:pPr>
            <w:r w:rsidDel="00000000" w:rsidR="00000000" w:rsidRPr="00000000">
              <w:rPr>
                <w:sz w:val="18"/>
                <w:szCs w:val="18"/>
                <w:rtl w:val="0"/>
              </w:rPr>
              <w:t xml:space="preserve">De espesor superior o igual a 3 mm pero inferior a 4.75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jc w:val="both"/>
              <w:rPr>
                <w:sz w:val="18"/>
                <w:szCs w:val="18"/>
              </w:rPr>
            </w:pPr>
            <w:r w:rsidDel="00000000" w:rsidR="00000000" w:rsidRPr="00000000">
              <w:rPr>
                <w:sz w:val="18"/>
                <w:szCs w:val="18"/>
                <w:rtl w:val="0"/>
              </w:rPr>
              <w:t xml:space="preserve">Subpartida 7208.39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jc w:val="both"/>
              <w:rPr>
                <w:sz w:val="18"/>
                <w:szCs w:val="18"/>
              </w:rPr>
            </w:pPr>
            <w:r w:rsidDel="00000000" w:rsidR="00000000" w:rsidRPr="00000000">
              <w:rPr>
                <w:sz w:val="18"/>
                <w:szCs w:val="18"/>
                <w:rtl w:val="0"/>
              </w:rPr>
              <w:t xml:space="preserve">--De espesor inferior a 3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sz w:val="18"/>
                <w:szCs w:val="18"/>
              </w:rPr>
            </w:pPr>
            <w:r w:rsidDel="00000000" w:rsidR="00000000" w:rsidRPr="00000000">
              <w:rPr>
                <w:sz w:val="18"/>
                <w:szCs w:val="18"/>
                <w:rtl w:val="0"/>
              </w:rPr>
              <w:t xml:space="preserve">Fracción 7208.39.01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sz w:val="18"/>
                <w:szCs w:val="18"/>
              </w:rPr>
            </w:pPr>
            <w:r w:rsidDel="00000000" w:rsidR="00000000" w:rsidRPr="00000000">
              <w:rPr>
                <w:sz w:val="18"/>
                <w:szCs w:val="18"/>
                <w:rtl w:val="0"/>
              </w:rPr>
              <w:t xml:space="preserve">De espesor inferior a 3 mm.</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jc w:val="both"/>
              <w:rPr>
                <w:sz w:val="18"/>
                <w:szCs w:val="18"/>
              </w:rPr>
            </w:pPr>
            <w:r w:rsidDel="00000000" w:rsidR="00000000" w:rsidRPr="00000000">
              <w:rPr>
                <w:sz w:val="18"/>
                <w:szCs w:val="18"/>
                <w:rtl w:val="0"/>
              </w:rPr>
              <w:t xml:space="preserve">Subpartida 7225.30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jc w:val="both"/>
              <w:rPr>
                <w:sz w:val="18"/>
                <w:szCs w:val="18"/>
              </w:rPr>
            </w:pPr>
            <w:r w:rsidDel="00000000" w:rsidR="00000000" w:rsidRPr="00000000">
              <w:rPr>
                <w:sz w:val="18"/>
                <w:szCs w:val="18"/>
                <w:rtl w:val="0"/>
              </w:rPr>
              <w:t xml:space="preserve">-Los demás, simplemente laminados en caliente, enrollados.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jc w:val="both"/>
              <w:rPr>
                <w:sz w:val="18"/>
                <w:szCs w:val="18"/>
              </w:rPr>
            </w:pPr>
            <w:r w:rsidDel="00000000" w:rsidR="00000000" w:rsidRPr="00000000">
              <w:rPr>
                <w:sz w:val="18"/>
                <w:szCs w:val="18"/>
                <w:rtl w:val="0"/>
              </w:rPr>
              <w:t xml:space="preserve">Fracción 7225.30.02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jc w:val="both"/>
              <w:rPr>
                <w:sz w:val="18"/>
                <w:szCs w:val="18"/>
              </w:rPr>
            </w:pPr>
            <w:r w:rsidDel="00000000" w:rsidR="00000000" w:rsidRPr="00000000">
              <w:rPr>
                <w:sz w:val="18"/>
                <w:szCs w:val="18"/>
                <w:rtl w:val="0"/>
              </w:rPr>
              <w:t xml:space="preserve">Con un contenido de boro igual o superior a 0.0008%, de espesor superior a 10 mm, excepto lo comprendido en la fracción 7225.30.08.</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jc w:val="both"/>
              <w:rPr>
                <w:sz w:val="18"/>
                <w:szCs w:val="18"/>
              </w:rPr>
            </w:pPr>
            <w:r w:rsidDel="00000000" w:rsidR="00000000" w:rsidRPr="00000000">
              <w:rPr>
                <w:sz w:val="18"/>
                <w:szCs w:val="18"/>
                <w:rtl w:val="0"/>
              </w:rPr>
              <w:t xml:space="preserve">Fracción 7225.30.03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jc w:val="both"/>
              <w:rPr>
                <w:sz w:val="18"/>
                <w:szCs w:val="18"/>
              </w:rPr>
            </w:pPr>
            <w:r w:rsidDel="00000000" w:rsidR="00000000" w:rsidRPr="00000000">
              <w:rPr>
                <w:sz w:val="18"/>
                <w:szCs w:val="18"/>
                <w:rtl w:val="0"/>
              </w:rPr>
              <w:t xml:space="preserve">Con un contenido de boro igual o superior a 0.0008%, de espesor superior o igual a 4.75 mm, pero inferior o igual a 10 mm, excepto lo comprendido en la fracción 7225.30.08.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jc w:val="both"/>
              <w:rPr>
                <w:sz w:val="18"/>
                <w:szCs w:val="18"/>
              </w:rPr>
            </w:pPr>
            <w:r w:rsidDel="00000000" w:rsidR="00000000" w:rsidRPr="00000000">
              <w:rPr>
                <w:sz w:val="18"/>
                <w:szCs w:val="18"/>
                <w:rtl w:val="0"/>
              </w:rPr>
              <w:t xml:space="preserve">Fracción 7225.30.99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3A">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 unidad de medida para operaciones comerciales es la tonelada métrica; conforme a la TIGIE es el kilogramo.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De acuerdo con el SIAVI, las importaciones que ingresan al mercado nacional por las fracciones atrancelarias 7208.36.01, 7208.37.01, 7208.38.01, 7208.39.01, 7225.30.02, 7225.30.03 y 7225.30.99 de la TIGIE:</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sujetas a un arancel del 15% a partir del 22 de septiembre de 2019 al 21 de septiembre de 2021, en virtud del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y</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libres de arancel las importaciones originarias de países con los que México ha celebrado tratados de libre comercio y, de acuerdo con el Tratado Integral y Progresista de Asociación</w:t>
      </w:r>
    </w:p>
    <w:p w:rsidR="00000000" w:rsidDel="00000000" w:rsidP="00000000" w:rsidRDefault="00000000" w:rsidRPr="00000000" w14:paraId="0000003F">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Transpacífico, de Australia, Canadá, Japón, Nueva Zelanda, Singapur y Vietnam.</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5 de diciembre de 2013 se publicó en el DOF el "Acuerdo que modifica al diverso por el que la Secretaría de Economía emite Reglas y Criterios de Carácter General en Materia de Comercio Exterior", y se sujetan a la presentación de un aviso automático ante la Secretaría las mercancías que ingresan por las fracciones arancelarias 7208.36.01, 7208.37.01, 7208.38.01, 7208.39.01, 7225.30.02, 7225.30.03 y 7225.30.99 de la TIGIE, para efectos de monitoreo estadístico comercial cuando se destinen al régimen aduanero de importación definitiva.</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Características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Los rollos de acero laminados en caliente objeto de examen se fabrican con aceros al carbono y aceros aleados, que son los que normalmente utiliza la industria automotriz, de estructuras y de tubería, y constituyen la mayoría de la producción siderúrgica del mundo. La composición química de estos aceros, es principalmente mineral de hierro, carbono y otros elementos como manganeso, azufre y fósforo; en el caso de los aceros aleados, éstos incluyen, además de los elementos señalados, ferroaleaciones como el boro, entre otras.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Los rollos de acero laminados en caliente objeto de examen presentan un ancho igual o mayor a 600 mm y diversos espesores, que van desde 0.76 mm hasta 19.2 mm.</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La fabricación de productos de acero se efectúa mediante tres etapas: extracción y beneficio de materias primas (fundamentalmente carbón, mineral de fierro, chatarra, gas y energía eléctrica), obtención de acero líquido y laminación; en esta última etapa se le da forma al producto.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Los procesos de extracción y beneficio de las materias primas y laminación son similares en el mundo, pues sólo difieren en el grado de automatización; sin embargo, existen diferentes tecnologías para obtener el acero líquido: i) alto horno (blast furnace) y aceración al oxígeno en hornos denominados BOF (por las siglas en inglés de basic oxigen furnace), y ii) horno eléctrico EF (por las siglas en inglés de electric furnace). No obstante, independientemente de la tecnología que se utilice, el resultado final es la obtención de un acero con características similares.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proceso de producción de los rollos de acero laminados en caliente se efectúa mediante las etapas de obtención del acero líquido en hornos BF-BOF o bien en EF, metalurgia secundaria, colada continua y laminación, las cuales se describen a continuación:</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Obtención del acero en BF-BOF: el coque, fundentes y mineral de hierro se cargan en el BF, en donde se funden para obtener el arrabio o hierro de primera fusión; este material se transporta en carros termos al horno BOF (olla llamada convertidor), donde se inyecta oxígeno para acelerar la reacción química que permite reducir el contenido de carbono en el arrabio líquido, hasta los niveles que requiere el acero que se programó producir. Obtención del acero en EF: la chatarra y/o fierro esponja (producido en un reactor) se funden para obtener el acero líquido.</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Metalurgia secundaria: el acero líquido que se obtiene por cualquiera de los procesos de fundición, se vacía en una olla (olla de vaciado) donde se desoxida con aluminio hasta quedar con un contenido mínimo de 0.020%; luego se agregan las ferroaleaciones como el ferromanganeso, ferrosilicio y/o ferroboro, entre otras, que se requieren para cumplir con las especificaciones técnicas y químicas que establecen las normas o las que el cliente solicita.</w:t>
      </w:r>
    </w:p>
    <w:p w:rsidR="00000000" w:rsidDel="00000000" w:rsidP="00000000" w:rsidRDefault="00000000" w:rsidRPr="00000000" w14:paraId="0000004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Colada continua: el acero líquido, al carbono o aleado, se vacía en la máquina de colada continua y se obtienen planchones.</w:t>
      </w:r>
    </w:p>
    <w:p w:rsidR="00000000" w:rsidDel="00000000" w:rsidP="00000000" w:rsidRDefault="00000000" w:rsidRPr="00000000" w14:paraId="0000004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Laminación: los planchones se reducen en molinos continuos o "Tándem", que tienen un número variable de castillos y rodillos, hasta obtener una cinta laminada en caliente con los espesores que el cliente solicita. A la salida del molino continuo o "Tándem" la cinta se enfría para posteriormente enrollarse.</w:t>
      </w:r>
    </w:p>
    <w:p w:rsidR="00000000" w:rsidDel="00000000" w:rsidP="00000000" w:rsidRDefault="00000000" w:rsidRPr="00000000" w14:paraId="000000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A nivel mundial los productos de acero se producen conforme a especificaciones de normas de la Sociedad Americana para Pruebas y Materiales (ASTM, por las siglas en inglés de American Society for Testing Materials), la Sociedad de Ingenieros Automotrices (SAE, por las siglas en inglés de Society of Automotive Engineers), el Instituto Alemán de Normas y la Norma Europea, entre otras, que se utilizan en sistemas de calidad, comprobación y aceptación de productos y transacciones comerciales en el mercado internacional.</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Los rollos de acero laminados en caliente se fabrican fundamentalmente bajo especificaciones de las normas ASTM A36, ASTM A786, ASTM A572 GR50, ASTM A1011, SAE J403, en calidades 1008 y 1010, así como bajo la norma del Instituto Americano del Petróleo (API, por sus siglas en inglés de American Petroleum Institute) 5L X 42 PSL 1. No obstante, estos productos pueden fabricarse bajo especificaciones de otras normas.</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Usos y funciones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Los rollos de acero laminados en caliente son un insumo que utilizan diversas industrias manufactureras para fabricar bienes intermedios y de capital, por ejemplo: piezas automotrices, perfiles, estructuras, recipientes a presión y tubería, entre otros. Adicionalmente, la propia industria siderúrgica utiliza la lámina en caliente como insumo para producir lámina rolada en frío.</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Posibles partes interesadas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Las partes de que la Secretaría tiene conocimiento y que podrían tener interés en comparecer al presente procedimiento, son las siguientes:</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Productoras nacionales</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Avenida Campos Elíseos No. 29, piso 4</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Col. Rincón del Bosque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Avenida Múnich No. 101</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66450, San Nicolás de los Garza, Nuevo León</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Exportadoras</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ArcelorMittal, S.A.</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Boulevard d'Avranches 24</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L-1160 Luxembourg, Luxemburgo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ArcelorMittal Atlantique et Lorraine, S.A.S.</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6, rue André Campra</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Immeuble Le Cézanne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93212, La Plaine Saint Denis, France</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ArcelorMittal Bremen GmbH</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Carl-Benz-Strasse 30</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28237, Bremen, Germany</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ArcelorMittal Flat Carbon Europe, S.A.</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Boulevard d'Avranches 26</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L-1160, Luxembourg, Luxembourg</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ArcelorMittal International America, LLC</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Dearborn Street 1 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60603, Chicago, Illinois, USA</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ArcelorMittal Mediterranee, S.A.S.</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Usine De Fos Sur Mer</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13776, Fos Sur Mer, Cedex, France</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Duferco, S.A.</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Via Giuseppe Bagutti 9</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6900, Lugano, Switzerland</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Samsung C and T Corporation</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Bldg 1321-20, Seocho 2-Dong</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Seocho-Gu</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137956, Seoul, Korea</w:t>
      </w:r>
    </w:p>
    <w:p w:rsidR="00000000" w:rsidDel="00000000" w:rsidP="00000000" w:rsidRDefault="00000000" w:rsidRPr="00000000" w14:paraId="00000078">
      <w:pPr>
        <w:shd w:fill="ffffff" w:val="clear"/>
        <w:ind w:firstLine="280"/>
        <w:jc w:val="both"/>
        <w:rPr>
          <w:color w:val="2f2f2f"/>
          <w:sz w:val="18"/>
          <w:szCs w:val="18"/>
        </w:rPr>
      </w:pPr>
      <w:r w:rsidDel="00000000" w:rsidR="00000000" w:rsidRPr="00000000">
        <w:rPr>
          <w:color w:val="2f2f2f"/>
          <w:sz w:val="18"/>
          <w:szCs w:val="18"/>
          <w:rtl w:val="0"/>
        </w:rPr>
        <w:t xml:space="preserve">Tangshan Iron and Steel Group, Co. Ltd.</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No. 9 Binhe Road,</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Tangshan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063000, Hebei, China</w:t>
      </w:r>
    </w:p>
    <w:p w:rsidR="00000000" w:rsidDel="00000000" w:rsidP="00000000" w:rsidRDefault="00000000" w:rsidRPr="00000000" w14:paraId="0000007C">
      <w:pPr>
        <w:shd w:fill="ffffff" w:val="clear"/>
        <w:ind w:firstLine="280"/>
        <w:jc w:val="both"/>
        <w:rPr>
          <w:color w:val="2f2f2f"/>
          <w:sz w:val="18"/>
          <w:szCs w:val="18"/>
        </w:rPr>
      </w:pPr>
      <w:r w:rsidDel="00000000" w:rsidR="00000000" w:rsidRPr="00000000">
        <w:rPr>
          <w:color w:val="2f2f2f"/>
          <w:sz w:val="18"/>
          <w:szCs w:val="18"/>
          <w:rtl w:val="0"/>
        </w:rPr>
        <w:t xml:space="preserve">ThyssenKrupp Steel Europe AG</w:t>
      </w:r>
    </w:p>
    <w:p w:rsidR="00000000" w:rsidDel="00000000" w:rsidP="00000000" w:rsidRDefault="00000000" w:rsidRPr="00000000" w14:paraId="0000007D">
      <w:pPr>
        <w:shd w:fill="ffffff" w:val="clear"/>
        <w:ind w:firstLine="280"/>
        <w:jc w:val="both"/>
        <w:rPr>
          <w:color w:val="2f2f2f"/>
          <w:sz w:val="18"/>
          <w:szCs w:val="18"/>
        </w:rPr>
      </w:pPr>
      <w:r w:rsidDel="00000000" w:rsidR="00000000" w:rsidRPr="00000000">
        <w:rPr>
          <w:color w:val="2f2f2f"/>
          <w:sz w:val="18"/>
          <w:szCs w:val="18"/>
          <w:rtl w:val="0"/>
        </w:rPr>
        <w:t xml:space="preserve">Kaiser-Wilhelm-Strasse 100</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47166, Duisburg, Germany</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Gobierno</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Delegación de la Comisión Europea en México</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Embajada de Alemania en México</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Horacio No. 1506</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Col. Los Morales, Sección Alameda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11530, Ciudad de México</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89">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8A">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Embajada de Francia en México</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Campos Elíseos No. 339</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9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w:t>
      </w:r>
      <w:r w:rsidDel="00000000" w:rsidR="00000000" w:rsidRPr="00000000">
        <w:rPr>
          <w:sz w:val="18"/>
          <w:szCs w:val="18"/>
          <w:rtl w:val="0"/>
        </w:rPr>
        <w:t xml:space="preserve">del Reglamento de la Ley de Comercio Exterior (RLCE)</w:t>
      </w:r>
      <w:r w:rsidDel="00000000" w:rsidR="00000000" w:rsidRPr="00000000">
        <w:rPr>
          <w:color w:val="2f2f2f"/>
          <w:sz w:val="18"/>
          <w:szCs w:val="18"/>
          <w:rtl w:val="0"/>
        </w:rPr>
        <w:t xml:space="preserve">.</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En el presente caso, Ternium y AHMSA, en su calidad de productoras nacionales del producto objeto de examen, manifestaron en tiempo y forma, su interés en que se inicie el examen de vigencia de las cuotas compensatorias definitivas impuestas a las importaciones de rollos de acero laminados en caliente originarias de Alemania, China y Francia, por lo que se actualizan los supuestos previstos en la legislación de la materia y, en consecuencia, procede iniciarlo.</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La Secretaría determina fijar como periodo de examen el propuesto por Ternium y AHMSA, comprendido del 1 de octubre de 2019 al 30 de septiembre de 2020 y como periodo de análisis el comprendido del 1 de octubre de 2015 al 30 de septiembre de 2020, toda vez que éste se apega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9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Se declara el inicio del </w:t>
      </w:r>
      <w:r w:rsidDel="00000000" w:rsidR="00000000" w:rsidRPr="00000000">
        <w:rPr>
          <w:sz w:val="18"/>
          <w:szCs w:val="18"/>
          <w:rtl w:val="0"/>
        </w:rPr>
        <w:t xml:space="preserve">procedimiento administrativo de </w:t>
      </w:r>
      <w:r w:rsidDel="00000000" w:rsidR="00000000" w:rsidRPr="00000000">
        <w:rPr>
          <w:color w:val="2f2f2f"/>
          <w:sz w:val="18"/>
          <w:szCs w:val="18"/>
          <w:rtl w:val="0"/>
        </w:rPr>
        <w:t xml:space="preserve">examen de vigencia de las cuotas compensatorias definitivas </w:t>
      </w:r>
      <w:r w:rsidDel="00000000" w:rsidR="00000000" w:rsidRPr="00000000">
        <w:rPr>
          <w:sz w:val="18"/>
          <w:szCs w:val="18"/>
          <w:rtl w:val="0"/>
        </w:rPr>
        <w:t xml:space="preserve">impuestas </w:t>
      </w:r>
      <w:r w:rsidDel="00000000" w:rsidR="00000000" w:rsidRPr="00000000">
        <w:rPr>
          <w:color w:val="2f2f2f"/>
          <w:sz w:val="18"/>
          <w:szCs w:val="18"/>
          <w:rtl w:val="0"/>
        </w:rPr>
        <w:t xml:space="preserve">a las importaciones de rollos de acero laminados en caliente originarias de Alemania, China y Francia, independientemente del país de procedencia, que ingresan a través de las fracciones arancelarias 7208.36.01, 7208.37.01, 7208.38.01, 7208.39.01, 7225.30.02, 7225.30.03 y 7225.30.99 de la TIGIE, o por cualquier otra.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Se fija como periodo de examen el comprendido del 1 de octubre de 2019 al 30 de septiembre de 2020 y como periodo de análisis el comprendido del 1 de octubre de 2015 al 30 de septiembre de 2020.</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Conforme a lo establecido en los artículos 11.3 del Acuerdo Antidumping, 70 fracción II y 89 F de la LCE y 94 del RLCE, las cuotas compensatorias definitivas a que se refieren el punto 1 de la presente Resolución, continuarán vigentes mientras se tramita el presente procedimiento de examen de vigencia.</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 o mediante diverso que la Secretaría publique con posterioridad.</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Notifíquese la presente Resolución a las partes de que se tenga conocimiento.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9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A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A9">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AA">
      <w:pPr>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