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single" w:color="000000" w:sz="12" w:space="0"/>
        </w:pBdr>
        <w:shd w:val="clear" w:fill="FFFFFF"/>
        <w:spacing w:before="120" w:beforeAutospacing="0" w:after="0" w:afterAutospacing="0"/>
        <w:ind w:left="0" w:firstLine="0"/>
        <w:jc w:val="center"/>
        <w:rPr>
          <w:rFonts w:hint="default" w:ascii="Verdana Regular" w:hAnsi="Verdana Regular" w:eastAsia="Times-Roman" w:cs="Verdana Regular"/>
          <w:b/>
          <w:bCs/>
          <w:i w:val="0"/>
          <w:iCs w:val="0"/>
          <w:caps w:val="0"/>
          <w:color w:val="5B9BD5" w:themeColor="accent1"/>
          <w:spacing w:val="0"/>
          <w:sz w:val="20"/>
          <w:szCs w:val="20"/>
          <w14:textFill>
            <w14:solidFill>
              <w14:schemeClr w14:val="accent1"/>
            </w14:solidFill>
          </w14:textFill>
        </w:rPr>
      </w:pP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OFICIO</w:t>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 500-05-2023-4144 mediante el cual se comunica listado global de presunción de contribuyentes que se ubicaron en el supuesto previsto en el artículo 69-B, párrafo primero del Código Fiscal de la Federación</w:t>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br w:type="textWrapping"/>
      </w:r>
      <w:r>
        <w:rPr>
          <w:rFonts w:hint="default" w:ascii="Verdana Regular" w:hAnsi="Verdana Regular" w:eastAsia="Times" w:cs="Verdana Regular"/>
          <w:b/>
          <w:bCs/>
          <w:i w:val="0"/>
          <w:iCs w:val="0"/>
          <w:caps w:val="0"/>
          <w:color w:val="5B9BD5" w:themeColor="accent1"/>
          <w:spacing w:val="0"/>
          <w:sz w:val="20"/>
          <w:szCs w:val="20"/>
          <w:shd w:val="clear" w:fill="FFFFFF"/>
          <w14:textFill>
            <w14:solidFill>
              <w14:schemeClr w14:val="accent1"/>
            </w14:solidFill>
          </w14:textFill>
        </w:rPr>
        <w:t>(DOF 7 de abril de 2023)</w:t>
      </w:r>
    </w:p>
    <w:p>
      <w:pPr>
        <w:pStyle w:val="3"/>
        <w:keepNext w:val="0"/>
        <w:keepLines w:val="0"/>
        <w:widowControl/>
        <w:suppressLineNumbers w:val="0"/>
        <w:pBdr>
          <w:top w:val="single" w:color="000000" w:sz="6" w:space="0"/>
        </w:pBdr>
        <w:shd w:val="clear" w:fill="FFFFFF"/>
        <w:spacing w:after="101" w:afterAutospacing="0"/>
        <w:ind w:left="0" w:firstLine="0"/>
        <w:jc w:val="both"/>
        <w:rPr>
          <w:rFonts w:hint="default" w:ascii="Verdana Regular" w:hAnsi="Verdana Regular" w:cs="Verdana Regular"/>
          <w:i w:val="0"/>
          <w:iCs w:val="0"/>
          <w:caps w:val="0"/>
          <w:color w:val="2F2F2F"/>
          <w:spacing w:val="0"/>
          <w:sz w:val="20"/>
          <w:szCs w:val="20"/>
        </w:rPr>
      </w:pPr>
      <w:r>
        <w:rPr>
          <w:rFonts w:hint="default" w:ascii="Verdana Regular" w:hAnsi="Verdana Regular" w:cs="Verdana Regular"/>
          <w:i w:val="0"/>
          <w:iCs w:val="0"/>
          <w:caps w:val="0"/>
          <w:color w:val="2F2F2F"/>
          <w:spacing w:val="0"/>
          <w:sz w:val="20"/>
          <w:szCs w:val="20"/>
          <w:shd w:val="clear" w:fill="FFFFFF"/>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Oficio: 500-05-2023-4144</w:t>
      </w:r>
    </w:p>
    <w:p>
      <w:pPr>
        <w:keepNext w:val="0"/>
        <w:keepLines w:val="0"/>
        <w:widowControl/>
        <w:suppressLineNumbers w:val="0"/>
        <w:shd w:val="clear" w:fill="FFFFFF"/>
        <w:spacing w:after="101" w:afterAutospacing="0"/>
        <w:ind w:left="1080" w:right="3712" w:hanging="792"/>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Asunto: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xml:space="preserve">Se comunica listado global de presunción de contribuyentes que se ubicaron en el </w:t>
      </w:r>
      <w:bookmarkStart w:id="0" w:name="_GoBack"/>
      <w:bookmarkEnd w:id="0"/>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supuesto previsto en el artículo 69-B, párrafo primero del Código Fiscal de la Federación.</w:t>
      </w:r>
    </w:p>
    <w:p>
      <w:pPr>
        <w:keepNext w:val="0"/>
        <w:keepLines w:val="0"/>
        <w:widowControl/>
        <w:suppressLineNumbers w:val="0"/>
        <w:shd w:val="clear" w:fill="FFFFFF"/>
        <w:spacing w:after="10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Pr>
          <w:rFonts w:hint="default" w:ascii="Verdana Regular" w:hAnsi="Verdana Regular" w:eastAsia="SimSun" w:cs="Verdana Regular"/>
          <w:i/>
          <w:iCs/>
          <w:caps w:val="0"/>
          <w:color w:val="00FFFF"/>
          <w:spacing w:val="0"/>
          <w:kern w:val="0"/>
          <w:sz w:val="20"/>
          <w:szCs w:val="20"/>
          <w:shd w:val="clear" w:fill="FFFFFF"/>
          <w:lang w:val="en-US" w:eastAsia="zh-CN" w:bidi="ar"/>
        </w:rPr>
        <w:t> </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22 párrafos primero, fracción VIII, y</w:t>
      </w:r>
      <w:r>
        <w:rPr>
          <w:rFonts w:hint="default" w:ascii="Verdana Regular" w:hAnsi="Verdana Regular" w:eastAsia="SimSun" w:cs="Verdana Regular"/>
          <w:i/>
          <w:iCs/>
          <w:caps w:val="0"/>
          <w:color w:val="00FFFF"/>
          <w:spacing w:val="0"/>
          <w:kern w:val="0"/>
          <w:sz w:val="20"/>
          <w:szCs w:val="20"/>
          <w:shd w:val="clear" w:fill="FFFFFF"/>
          <w:lang w:val="en-US" w:eastAsia="zh-CN" w:bidi="ar"/>
        </w:rPr>
        <w:t> </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último,</w:t>
      </w:r>
      <w:r>
        <w:rPr>
          <w:rFonts w:hint="default" w:ascii="Verdana Regular" w:hAnsi="Verdana Regular" w:eastAsia="SimSun" w:cs="Verdana Regular"/>
          <w:i/>
          <w:iCs/>
          <w:caps w:val="0"/>
          <w:color w:val="00FFFF"/>
          <w:spacing w:val="0"/>
          <w:kern w:val="0"/>
          <w:sz w:val="20"/>
          <w:szCs w:val="20"/>
          <w:shd w:val="clear" w:fill="FFFFFF"/>
          <w:lang w:val="en-US" w:eastAsia="zh-CN" w:bidi="ar"/>
        </w:rPr>
        <w:t> </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y reformado mediante 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 publicado en el mismo órgano oficial el 21 de diciembre de 2021, vigente a partir del 01 de enero de 2022, de conformidad con lo dispuesto en el Artículo Primero Transitorio de dicho Decreto; Artículo Tercero, fracción I, inciso a), del Acuerdo mediante el cual se delegan diversas atribuciones a los</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 </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pPr>
        <w:keepNext w:val="0"/>
        <w:keepLines w:val="0"/>
        <w:widowControl/>
        <w:suppressLineNumbers w:val="0"/>
        <w:shd w:val="clear" w:fill="FFFFFF"/>
        <w:spacing w:after="10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pPr>
        <w:keepNext w:val="0"/>
        <w:keepLines w:val="0"/>
        <w:widowControl/>
        <w:suppressLineNumbers w:val="0"/>
        <w:shd w:val="clear" w:fill="FFFFFF"/>
        <w:spacing w:after="10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pPr>
        <w:keepNext w:val="0"/>
        <w:keepLines w:val="0"/>
        <w:widowControl/>
        <w:suppressLineNumbers w:val="0"/>
        <w:shd w:val="clear" w:fill="FFFFFF"/>
        <w:spacing w:after="10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que consideren pertinentes para desvirtuar los hechos que llevaron a la autoridad a notificarlos.</w:t>
      </w:r>
    </w:p>
    <w:p>
      <w:pPr>
        <w:keepNext w:val="0"/>
        <w:keepLines w:val="0"/>
        <w:widowControl/>
        <w:suppressLineNumbers w:val="0"/>
        <w:shd w:val="clear" w:fill="FFFFFF"/>
        <w:spacing w:after="10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en correlación al artículo 135 del Código Fiscal de la Federación, a fin de que presenten directamente ante las oficinas de las autoridades emisoras del oficio individual señaladas en el Anexo 1 del presente oficio, escrito libre en original y dos copias,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La documentación e información que presenten a través del citado escrito deberá de cumplir con los requisitos establecidos en los artículos 18, 18-A y 19 del Código Fiscal de la Federación.</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listado que para tal efecto se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aquellos contribuyentes que llevan a cabo este tipo de operaciones.</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Atentamente</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Ciudad de México, a 01 de marzo de 2023.- Administrador Central de Fiscalización Estratégica.- C.P.</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 José Alfredo Pérez Astorga</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Rúbrica.</w:t>
      </w:r>
    </w:p>
    <w:p>
      <w:pPr>
        <w:keepNext w:val="0"/>
        <w:keepLines w:val="0"/>
        <w:widowControl/>
        <w:suppressLineNumbers w:val="0"/>
        <w:shd w:val="clear" w:fill="FFFFFF"/>
        <w:spacing w:after="80" w:afterAutospacing="0"/>
        <w:ind w:left="1152" w:hanging="864"/>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Asunto: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Anexo 1</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del oficio número</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 500-05-2023-4144 de fecha 01 de marzo de 2023</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emitido por el C.P. José Alfredo Pérez Astorga en su carácter de Administrador Central de Fiscalización Estratégica, de la Administración General de Auditoria Fiscal Federal, en el que en cumplimiento a lo dispuesto en el artículo 69-B, párrafo segundo del Código Fiscal de la Federación, se notifica a los contribuyentes mencionados en el presente anexo que se ubican en el supuesto de presunción previsto en el párrafo primero del citado artículo 69-B del Código Fiscal de la Federación.</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A continuación, en la siguiente tabla se enlistan los contribuyentes a los que hace referencia el oficio número </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500-05-2023-4144 de fecha 01 de marzo de 2023</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indicando la fecha en que fue notificado el oficio individual de presunción.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54"/>
        <w:gridCol w:w="934"/>
        <w:gridCol w:w="1629"/>
        <w:gridCol w:w="668"/>
        <w:gridCol w:w="942"/>
        <w:gridCol w:w="604"/>
        <w:gridCol w:w="692"/>
        <w:gridCol w:w="692"/>
        <w:gridCol w:w="692"/>
        <w:gridCol w:w="692"/>
        <w:gridCol w:w="693"/>
      </w:tblGrid>
      <w:tr>
        <w:trPr>
          <w:trHeight w:val="180" w:hRule="atLeast"/>
        </w:trPr>
        <w:tc>
          <w:tcPr>
            <w:tcW w:w="267" w:type="dxa"/>
            <w:vMerge w:val="restart"/>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923" w:type="dxa"/>
            <w:vMerge w:val="restart"/>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R.F.C.</w:t>
            </w:r>
          </w:p>
        </w:tc>
        <w:tc>
          <w:tcPr>
            <w:tcW w:w="1291" w:type="dxa"/>
            <w:vMerge w:val="restart"/>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Nombre, denominación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o razón social del</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Contribuyente</w:t>
            </w:r>
          </w:p>
        </w:tc>
        <w:tc>
          <w:tcPr>
            <w:tcW w:w="862" w:type="dxa"/>
            <w:vMerge w:val="restart"/>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Número y fecha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de oficio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individual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presunción</w:t>
            </w:r>
          </w:p>
        </w:tc>
        <w:tc>
          <w:tcPr>
            <w:tcW w:w="966" w:type="dxa"/>
            <w:vMerge w:val="restart"/>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Autoridad</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emisora del oficio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individual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presunción</w:t>
            </w:r>
          </w:p>
        </w:tc>
        <w:tc>
          <w:tcPr>
            <w:tcW w:w="4619" w:type="dxa"/>
            <w:gridSpan w:val="6"/>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Medio de notificación al contribuyente</w:t>
            </w:r>
          </w:p>
        </w:tc>
      </w:tr>
      <w:tr>
        <w:trPr>
          <w:trHeight w:val="290" w:hRule="atLeast"/>
        </w:trPr>
        <w:tc>
          <w:tcPr>
            <w:tcW w:w="267"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923"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1291"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862"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966"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1518" w:type="dxa"/>
            <w:gridSpan w:val="2"/>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Estrados de la autoridad</w:t>
            </w:r>
          </w:p>
        </w:tc>
        <w:tc>
          <w:tcPr>
            <w:tcW w:w="1621" w:type="dxa"/>
            <w:gridSpan w:val="2"/>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Notificación personal</w:t>
            </w:r>
          </w:p>
        </w:tc>
        <w:tc>
          <w:tcPr>
            <w:tcW w:w="1480" w:type="dxa"/>
            <w:gridSpan w:val="2"/>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Notificación por Buzón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Tributario</w:t>
            </w:r>
          </w:p>
        </w:tc>
      </w:tr>
      <w:tr>
        <w:trPr>
          <w:trHeight w:val="760" w:hRule="atLeast"/>
        </w:trPr>
        <w:tc>
          <w:tcPr>
            <w:tcW w:w="267"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923"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1291"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862"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966" w:type="dxa"/>
            <w:vMerge w:val="continue"/>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jc w:val="both"/>
              <w:rPr>
                <w:rFonts w:hint="default" w:ascii="Verdana Regular" w:hAnsi="Verdana Regular" w:cs="Verdana Regular"/>
                <w:i w:val="0"/>
                <w:iCs w:val="0"/>
                <w:caps w:val="0"/>
                <w:color w:val="2F2F2F"/>
                <w:spacing w:val="0"/>
                <w:sz w:val="20"/>
                <w:szCs w:val="20"/>
              </w:rPr>
            </w:pPr>
          </w:p>
        </w:tc>
        <w:tc>
          <w:tcPr>
            <w:tcW w:w="759" w:type="dxa"/>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Fecha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fijación en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los estrados</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de la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Autoridad</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Fiscal</w:t>
            </w:r>
          </w:p>
        </w:tc>
        <w:tc>
          <w:tcPr>
            <w:tcW w:w="759" w:type="dxa"/>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Fecha en que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surtió efectos</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la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notificación</w:t>
            </w:r>
          </w:p>
        </w:tc>
        <w:tc>
          <w:tcPr>
            <w:tcW w:w="759" w:type="dxa"/>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Fecha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notificación</w:t>
            </w:r>
          </w:p>
        </w:tc>
        <w:tc>
          <w:tcPr>
            <w:tcW w:w="862" w:type="dxa"/>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Fecha en que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surtió efectos</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la notificación</w:t>
            </w:r>
          </w:p>
        </w:tc>
        <w:tc>
          <w:tcPr>
            <w:tcW w:w="759" w:type="dxa"/>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Fecha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notificación</w:t>
            </w:r>
          </w:p>
        </w:tc>
        <w:tc>
          <w:tcPr>
            <w:tcW w:w="721" w:type="dxa"/>
            <w:tcBorders>
              <w:top w:val="single" w:color="000000" w:sz="6" w:space="0"/>
              <w:left w:val="single" w:color="000000" w:sz="6" w:space="0"/>
              <w:bottom w:val="single" w:color="000000" w:sz="6" w:space="0"/>
              <w:right w:val="single" w:color="000000" w:sz="6" w:space="0"/>
            </w:tcBorders>
            <w:shd w:val="clear" w:color="auto" w:fill="D9D9D9"/>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Fecha en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que surtió</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efectos la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notificación</w:t>
            </w:r>
          </w:p>
        </w:tc>
      </w:tr>
      <w:tr>
        <w:trPr>
          <w:trHeight w:val="1465" w:hRule="atLeast"/>
        </w:trPr>
        <w:tc>
          <w:tcPr>
            <w:tcW w:w="267"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1</w:t>
            </w:r>
          </w:p>
        </w:tc>
        <w:tc>
          <w:tcPr>
            <w:tcW w:w="923"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SDA091110DY5</w:t>
            </w:r>
          </w:p>
        </w:tc>
        <w:tc>
          <w:tcPr>
            <w:tcW w:w="1291"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SERVICIOS Y DESARROLLOS EN ARMONÍA, S.A. DE C.V. // En cumplimiento a la sentencia de fecha 05 de octubre de 2021, dictada por la Tercera Sala Regional Metropolitana del Tribunal Federal de Justicia Administrativa, dentro del Juicio de Nulidad 3430/19-17-03-4</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left"/>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500-36-06-03-</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02-2022-1959</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fecha 14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febrero de 2022</w:t>
            </w:r>
          </w:p>
        </w:tc>
        <w:tc>
          <w:tcPr>
            <w:tcW w:w="966"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Administración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Desconcentrada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Auditoría Fiscal</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México "2"</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21 de febrero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2022</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09 de marzo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2022</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721"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r>
      <w:tr>
        <w:trPr>
          <w:trHeight w:val="1590" w:hRule="atLeast"/>
        </w:trPr>
        <w:tc>
          <w:tcPr>
            <w:tcW w:w="267"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2</w:t>
            </w:r>
          </w:p>
        </w:tc>
        <w:tc>
          <w:tcPr>
            <w:tcW w:w="923"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SEO141204T41</w:t>
            </w:r>
          </w:p>
        </w:tc>
        <w:tc>
          <w:tcPr>
            <w:tcW w:w="1291"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SERVICIOS EMPRESARIALES OG, S.A. DE C.V. // En cumplimiento a la sentencia de fecha 01 de septiembre de 2022, dictada por la Primera Sala Regional del Noroeste I, del Tribunal Federal de Justicia Administrativa, dentro del Juicio de Nulidad 1896/21-01-01-3</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left"/>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500-05-2023-</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4043 de fecha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21 de febrero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2023</w:t>
            </w:r>
          </w:p>
        </w:tc>
        <w:tc>
          <w:tcPr>
            <w:tcW w:w="966"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Administración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Central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Fiscalización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Estratégica</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both"/>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759"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22 de febrero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2023</w:t>
            </w:r>
          </w:p>
        </w:tc>
        <w:tc>
          <w:tcPr>
            <w:tcW w:w="721" w:type="dxa"/>
            <w:tcBorders>
              <w:top w:val="single" w:color="000000" w:sz="6" w:space="0"/>
              <w:left w:val="single" w:color="000000" w:sz="6" w:space="0"/>
              <w:bottom w:val="single" w:color="000000" w:sz="6" w:space="0"/>
              <w:right w:val="single" w:color="000000" w:sz="6" w:space="0"/>
            </w:tcBorders>
            <w:shd w:val="clear" w:color="auto" w:fill="FFFFFF"/>
            <w:tcMar>
              <w:left w:w="43" w:type="dxa"/>
              <w:right w:w="43" w:type="dxa"/>
            </w:tcMar>
            <w:vAlign w:val="center"/>
          </w:tcPr>
          <w:p>
            <w:pPr>
              <w:keepNext w:val="0"/>
              <w:keepLines w:val="0"/>
              <w:widowControl/>
              <w:suppressLineNumbers w:val="0"/>
              <w:pBdr>
                <w:left w:val="none" w:color="auto" w:sz="0" w:space="0"/>
                <w:right w:val="none" w:color="auto" w:sz="0" w:space="0"/>
              </w:pBdr>
              <w:spacing w:before="20" w:beforeAutospacing="0" w:after="2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23 de febrero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 2023</w:t>
            </w:r>
          </w:p>
        </w:tc>
      </w:tr>
    </w:tbl>
    <w:p>
      <w:pPr>
        <w:keepNext w:val="0"/>
        <w:keepLines w:val="0"/>
        <w:widowControl/>
        <w:suppressLineNumbers w:val="0"/>
        <w:shd w:val="clear" w:fill="FFFFFF"/>
        <w:spacing w:after="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w:t>
      </w:r>
    </w:p>
    <w:p>
      <w:pPr>
        <w:keepNext w:val="0"/>
        <w:keepLines w:val="0"/>
        <w:widowControl/>
        <w:suppressLineNumbers w:val="0"/>
        <w:shd w:val="clear" w:fill="FFFFFF"/>
        <w:spacing w:after="80"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Datos adicionales de los contribuyentes.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8"/>
        <w:gridCol w:w="1739"/>
        <w:gridCol w:w="1834"/>
        <w:gridCol w:w="1174"/>
        <w:gridCol w:w="1682"/>
        <w:gridCol w:w="1743"/>
      </w:tblGrid>
      <w:tr>
        <w:trPr>
          <w:trHeight w:val="465" w:hRule="atLeast"/>
        </w:trPr>
        <w:tc>
          <w:tcPr>
            <w:tcW w:w="365"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 </w:t>
            </w:r>
          </w:p>
        </w:tc>
        <w:tc>
          <w:tcPr>
            <w:tcW w:w="1096"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R.F.C.</w:t>
            </w:r>
          </w:p>
        </w:tc>
        <w:tc>
          <w:tcPr>
            <w:tcW w:w="1621"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Nombre, denominación 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razón social del</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b/>
                <w:bCs/>
                <w:i w:val="0"/>
                <w:iCs w:val="0"/>
                <w:caps w:val="0"/>
                <w:color w:val="000000"/>
                <w:spacing w:val="0"/>
                <w:kern w:val="0"/>
                <w:sz w:val="20"/>
                <w:szCs w:val="20"/>
                <w:lang w:val="en-US" w:eastAsia="zh-CN" w:bidi="ar"/>
              </w:rPr>
              <w:t>Contribuyente</w:t>
            </w:r>
          </w:p>
        </w:tc>
        <w:tc>
          <w:tcPr>
            <w:tcW w:w="1307"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Domicilio Fiscal</w:t>
            </w:r>
          </w:p>
        </w:tc>
        <w:tc>
          <w:tcPr>
            <w:tcW w:w="2563"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Actividad preponderante</w:t>
            </w:r>
          </w:p>
        </w:tc>
        <w:tc>
          <w:tcPr>
            <w:tcW w:w="2034" w:type="dxa"/>
            <w:tcBorders>
              <w:top w:val="single" w:color="000000" w:sz="6" w:space="0"/>
              <w:left w:val="single" w:color="000000" w:sz="6" w:space="0"/>
              <w:bottom w:val="single" w:color="000000" w:sz="6" w:space="0"/>
              <w:right w:val="single" w:color="000000" w:sz="6" w:space="0"/>
            </w:tcBorders>
            <w:shd w:val="clear" w:color="auto" w:fill="D9D9D9"/>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b/>
                <w:bCs/>
                <w:i w:val="0"/>
                <w:iCs w:val="0"/>
                <w:caps w:val="0"/>
                <w:color w:val="000000"/>
                <w:spacing w:val="0"/>
                <w:kern w:val="0"/>
                <w:sz w:val="20"/>
                <w:szCs w:val="20"/>
                <w:lang w:val="en-US" w:eastAsia="zh-CN" w:bidi="ar"/>
              </w:rPr>
              <w:t>Motivo del Procedimiento</w:t>
            </w:r>
          </w:p>
        </w:tc>
      </w:tr>
      <w:tr>
        <w:trPr>
          <w:trHeight w:val="458" w:hRule="atLeast"/>
        </w:trPr>
        <w:tc>
          <w:tcPr>
            <w:tcW w:w="3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1</w:t>
            </w:r>
          </w:p>
        </w:tc>
        <w:tc>
          <w:tcPr>
            <w:tcW w:w="109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SDA091110DY5</w:t>
            </w:r>
          </w:p>
        </w:tc>
        <w:tc>
          <w:tcPr>
            <w:tcW w:w="1621"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SERVICIOS Y</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DESARROLLOS EN</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ARMONÍA, S.A. DE C.V.</w:t>
            </w:r>
          </w:p>
        </w:tc>
        <w:tc>
          <w:tcPr>
            <w:tcW w:w="130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Miguel Hidalgo,</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Ciudad de México</w:t>
            </w:r>
          </w:p>
        </w:tc>
        <w:tc>
          <w:tcPr>
            <w:tcW w:w="256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Servicios de Limpieza de ventanas y oficinas</w:t>
            </w:r>
          </w:p>
        </w:tc>
        <w:tc>
          <w:tcPr>
            <w:tcW w:w="203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Ausencia de activos, Ausencia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Personal, Sin capacidad material</w:t>
            </w:r>
          </w:p>
        </w:tc>
      </w:tr>
      <w:tr>
        <w:trPr>
          <w:trHeight w:val="465" w:hRule="atLeast"/>
        </w:trPr>
        <w:tc>
          <w:tcPr>
            <w:tcW w:w="3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2</w:t>
            </w:r>
          </w:p>
        </w:tc>
        <w:tc>
          <w:tcPr>
            <w:tcW w:w="109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SEO141204T41</w:t>
            </w:r>
          </w:p>
        </w:tc>
        <w:tc>
          <w:tcPr>
            <w:tcW w:w="1621"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SERVICIOS</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EMPRESARIALES OG,</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S.A. DE C.V.</w:t>
            </w:r>
          </w:p>
        </w:tc>
        <w:tc>
          <w:tcPr>
            <w:tcW w:w="130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Mexicali, Baja</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California.</w:t>
            </w:r>
          </w:p>
        </w:tc>
        <w:tc>
          <w:tcPr>
            <w:tcW w:w="256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Servicios de contabilidad y auditoría</w:t>
            </w:r>
          </w:p>
        </w:tc>
        <w:tc>
          <w:tcPr>
            <w:tcW w:w="203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pPr>
              <w:keepNext w:val="0"/>
              <w:keepLines w:val="0"/>
              <w:widowControl/>
              <w:suppressLineNumbers w:val="0"/>
              <w:pBdr>
                <w:left w:val="none" w:color="auto" w:sz="0" w:space="0"/>
                <w:right w:val="none" w:color="auto" w:sz="0" w:space="0"/>
              </w:pBdr>
              <w:spacing w:before="10" w:beforeAutospacing="0" w:after="10" w:afterAutospacing="0"/>
              <w:ind w:left="0" w:firstLine="0"/>
              <w:jc w:val="center"/>
              <w:textAlignment w:val="center"/>
              <w:rPr>
                <w:rFonts w:hint="default" w:ascii="Verdana Regular" w:hAnsi="Verdana Regular" w:cs="Verdana Regular"/>
                <w:i w:val="0"/>
                <w:iCs w:val="0"/>
                <w:caps w:val="0"/>
                <w:color w:val="000000"/>
                <w:spacing w:val="0"/>
                <w:sz w:val="20"/>
                <w:szCs w:val="20"/>
              </w:rPr>
            </w:pPr>
            <w:r>
              <w:rPr>
                <w:rFonts w:hint="default" w:ascii="Verdana Regular" w:hAnsi="Verdana Regular" w:eastAsia="SimSun" w:cs="Verdana Regular"/>
                <w:i w:val="0"/>
                <w:iCs w:val="0"/>
                <w:caps w:val="0"/>
                <w:color w:val="000000"/>
                <w:spacing w:val="0"/>
                <w:kern w:val="0"/>
                <w:sz w:val="20"/>
                <w:szCs w:val="20"/>
                <w:lang w:val="en-US" w:eastAsia="zh-CN" w:bidi="ar"/>
              </w:rPr>
              <w:t>Ausencia de Activo Ausencia de</w:t>
            </w:r>
            <w:r>
              <w:rPr>
                <w:rFonts w:hint="default" w:ascii="Verdana Regular" w:hAnsi="Verdana Regular" w:eastAsia="SimSun" w:cs="Verdana Regular"/>
                <w:i w:val="0"/>
                <w:iCs w:val="0"/>
                <w:caps w:val="0"/>
                <w:color w:val="000000"/>
                <w:spacing w:val="0"/>
                <w:kern w:val="0"/>
                <w:sz w:val="20"/>
                <w:szCs w:val="20"/>
                <w:lang w:val="en-US" w:eastAsia="zh-CN" w:bidi="ar"/>
              </w:rPr>
              <w:br w:type="textWrapping"/>
            </w:r>
            <w:r>
              <w:rPr>
                <w:rFonts w:hint="default" w:ascii="Verdana Regular" w:hAnsi="Verdana Regular" w:eastAsia="SimSun" w:cs="Verdana Regular"/>
                <w:i w:val="0"/>
                <w:iCs w:val="0"/>
                <w:caps w:val="0"/>
                <w:color w:val="000000"/>
                <w:spacing w:val="0"/>
                <w:kern w:val="0"/>
                <w:sz w:val="20"/>
                <w:szCs w:val="20"/>
                <w:lang w:val="en-US" w:eastAsia="zh-CN" w:bidi="ar"/>
              </w:rPr>
              <w:t>Personal</w:t>
            </w:r>
          </w:p>
        </w:tc>
      </w:tr>
    </w:tbl>
    <w:p>
      <w:pPr>
        <w:keepNext w:val="0"/>
        <w:keepLines w:val="0"/>
        <w:widowControl/>
        <w:suppressLineNumbers w:val="0"/>
        <w:shd w:val="clear" w:fill="FFFFFF"/>
        <w:spacing w:after="101" w:afterAutospacing="0"/>
        <w:ind w:left="0" w:firstLine="288"/>
        <w:jc w:val="center"/>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_______________________________</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w:t>
      </w:r>
    </w:p>
    <w:p>
      <w:pPr>
        <w:rPr>
          <w:rFonts w:hint="default" w:ascii="Verdana Regular" w:hAnsi="Verdana Regular" w:cs="Verdana Regula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黑体">
    <w:altName w:val="黑体-简"/>
    <w:panose1 w:val="02010609060101010101"/>
    <w:charset w:val="00"/>
    <w:family w:val="modern"/>
    <w:pitch w:val="default"/>
    <w:sig w:usb0="800002BF" w:usb1="38CF7CFA" w:usb2="00000016" w:usb3="00000000" w:csb0="00040001" w:csb1="00000000"/>
  </w:font>
  <w:font w:name="黑体-简">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Roman">
    <w:altName w:val="Helvetica Neue"/>
    <w:panose1 w:val="00000000000000000000"/>
    <w:charset w:val="00"/>
    <w:family w:val="auto"/>
    <w:pitch w:val="default"/>
    <w:sig w:usb0="00000000" w:usb1="00000000" w:usb2="00000000" w:usb3="00000000" w:csb0="00000000" w:csb1="00000000"/>
  </w:font>
  <w:font w:name="Times">
    <w:altName w:val="Helvetica Neue"/>
    <w:panose1 w:val="00000000000000000000"/>
    <w:charset w:val="00"/>
    <w:family w:val="auto"/>
    <w:pitch w:val="default"/>
    <w:sig w:usb0="00000000" w:usb1="00000000" w:usb2="00000000" w:usb3="00000000" w:csb0="00000000" w:csb1="00000000"/>
  </w:font>
  <w:font w:name="Verdana Regular">
    <w:panose1 w:val="020B060403050404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B2366"/>
    <w:rsid w:val="7D2B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Office_4.4.1.7618_F1E327BC-269C-435d-A152-05C5408002CA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2023-04-07T10:30:00Z</dcterms:created>
  <dc:creator>morgan</dc:creator>
  <cp:lastModifiedBy>Allan Morgan Hernández</cp:lastModifiedBy>
  <dcterms:modified xsi:type="dcterms:W3CDTF">2023-04-07T10:32:20Z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3082-4.4.1.7618</vt:lpwstr>
  </property>
</Properties>
</file>