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A5" w:rsidRPr="004450A0" w:rsidRDefault="00E767A5" w:rsidP="00E767A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767A5">
        <w:rPr>
          <w:rFonts w:ascii="Verdana" w:eastAsia="Verdana" w:hAnsi="Verdana" w:cs="Verdana"/>
          <w:b/>
          <w:bCs/>
          <w:color w:val="0000FF"/>
          <w:sz w:val="24"/>
          <w:szCs w:val="24"/>
        </w:rPr>
        <w:t>DECRETO por el que se reforman los artículos 169, 171, 172, 173, 174 y 175 y, se adiciona un artículo 172 Bis de la Ley Federal de Sanidad Animal.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C613F" w:rsidRDefault="00E767A5" w:rsidP="00E767A5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E767A5" w:rsidRPr="00E767A5" w:rsidRDefault="00E767A5" w:rsidP="00E767A5">
      <w:pPr>
        <w:shd w:val="clear" w:color="auto" w:fill="FFFFFF"/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67A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E767A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EL CONGRESO GENERAL DE LOS ESTADOS UNIDOS MEXICANOS, D E C R E T </w:t>
      </w:r>
      <w:proofErr w:type="gramStart"/>
      <w:r w:rsidRPr="00E767A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 :</w:t>
      </w:r>
      <w:proofErr w:type="gramEnd"/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LOS ARTÍCULOS 169, 171, 172, 173, 174 Y 175 Y, SE ADICIONA UN ARTÍCULO 172 BIS DE LA LEY FEDERAL DE SANIDAD ANIMAL.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Artículo Único.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reforman los artículos 169, apartados A, B, C, D y segundo párrafo; 171, 172, 173, primer párrafo, 174 y 175, primer párrafo y se adiciona un artículo 172 Bis de la Ley Federal de Sanidad Animal, para quedar como sigue</w:t>
      </w:r>
      <w:r w:rsidRPr="00E767A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Artículo 169.</w:t>
      </w:r>
      <w:proofErr w:type="gramStart"/>
      <w:r w:rsidRPr="00E767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- ...</w:t>
      </w:r>
      <w:proofErr w:type="gram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20 a 1000 veces el valor diario de la Unidad de Medida y Actualización.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1000 a 10,000 veces el valor diario de la Unidad de Medida y Actualización.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10,000 a 50,000 veces el valor diario de la Unidad de Medida y Actualización.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50,000 a 100,000 veces el valor diario de la Unidad de Medida y Actualización.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los efectos de esta Ley, se entenderá por el valor diario de la Unidad de Medida y Actualización vigente al momento de cometerse la conducta sancionada.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171.-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 que ingrese al territorio nacional animales, bienes de origen animal, así como productos para uso o consumo animal y por cualquier medio evada un punto de inspección en materia zoosanitaria y puso en peligro o en riesgo la situación zoosanitaria del país incumpliendo el carácter normativo respectivo, se le impondrá la pena de dos a diez años de prisión y multa de hasta mil veces el valor diario de la Unidad de Medida y Actualización.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172.-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 que introduzca al territorio nacional o dentro de éste, transporte o comercie con animales vivos, sus productos o subproductos, que hayan sido alimentados con una sustancia cuyo uso esté prohibido conforme a los artículos 93 y 172 Bis de esta Ley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 de buenas prácticas pecuarias emitidas por la Secretaría, teniendo conocimiento de cualquiera de esos hechos, se le impondrá una pena de cuatro a ocho años de prisión y multa de quinientas hasta tres mil veces el valor diario de la Unidad de Medida y Actualización y en caso de reincidencia se duplicará la pena y la multa.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172 Bis.-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consideran sustancias o productos prohibidos para uso o consumo en animales destinados al abasto, las siguientes: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Carbadox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(QCA)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Cloranfenicol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Clorhidrato de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Clenbuterol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Clorhidrato de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Clembuterol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Clenbuterol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Clembuterol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Clorhidrato de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Fenilefrina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Cristal violeta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Cumarina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saborizantes artificiales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Dienoestrol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Dietilestilbestrol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(DES)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Dimetridazol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Feniltiouracilo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Furaltadona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(AMOZ)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XII.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Furazolidona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(AOZ)</w:t>
      </w:r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Hexoestrol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XIV.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Lindano</w:t>
      </w:r>
      <w:proofErr w:type="spellEnd"/>
    </w:p>
    <w:p w:rsidR="00E767A5" w:rsidRPr="00E767A5" w:rsidRDefault="00E767A5" w:rsidP="00E767A5">
      <w:pPr>
        <w:shd w:val="clear" w:color="auto" w:fill="FFFFFF"/>
        <w:spacing w:after="74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XV.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Metiltiouracilo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XVI.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Metronidazol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XVII.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Nifupirazina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XVIII.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Nifuraldezona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XIX.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Nitrofurantoina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(AHD)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Nitrofurazona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Nitrovin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Nitrovina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Olaquindox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(MQCA)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XXIII.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Orciprenaline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XXIV.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Oxazolidona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XXV.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Pigmentantes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sintéticos del grupo de los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sudanes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XXVI.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Propiltiouracilo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XXVII.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Rodinazol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Ronidazol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XXVIII.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Roxarsona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(3-Nitro)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XXIX.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Salbutamol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Tapazol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Tinidazol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XXXII.</w:t>
      </w:r>
      <w:r w:rsidRPr="00E767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Tiouracil</w:t>
      </w:r>
      <w:proofErr w:type="spellEnd"/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Carbadox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(QCA) está prohibido para todos los porcinos adultos y además para todas las edades de las demás especies de animales destinadas para el abasto.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entenderán como animales para abasto a aquellos animales cuyo destino final sea el consumo humano.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 listado de sustancias y productos y sus sales, precursores, metabolitos y derivados químicos,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previstos en este artículo, se entenderán incorporados los que dé a conocer la Secretaría en términos de lo dispuesto en el artículo 93 de esta Ley.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173.-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 que sin autorización de las autoridades zoosanitarias competentes o contraviniendo los términos en que ésta haya sido concedida, importe, posea, transporte, almacene, comercialice o en general realice actos con cualquier sustancia cuyo uso esté prohibido conforme a los artículos 93 y 172 Bis de esta Ley para alimentación de animales en las disposiciones de sanidad animal o de buenas prácticas pecuarias emitidas por la Secretaría, se le impondrá una pena de cuatro a ocho años de prisión y multa de quinientas hasta tres mil veces el valor diario de la Unidad de Medida y Actualización y en caso de reincidencia se duplicará la pena y la multa, siempre y cuando esos actos sean con la finalidad de adicionarlas a los alimentos o bebidas de animales cuyos productos o subproductos estén destinados al consumo humano.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174.-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 que distribuya, ordene el suministro o suministre a animales destinados al abasto alguna sustancia o alimento prohibidos conforme a los artículos 93 y 172 Bis de esta Ley, y demás disposiciones de salud animal, será sancionado con tres a siete años de prisión y de diez mil a cincuenta mil veces el valor diario de la Unidad de Medida y Actualización.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175.-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sancionará con penalidad de uno a cinco años de prisión y multa de hasta mil veces el valor diario de la Unidad de Medida y Actualización, sin perjuicio de las sanciones administrativas que pudieran generarse.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E767A5" w:rsidRPr="00E767A5" w:rsidRDefault="00E767A5" w:rsidP="00E767A5">
      <w:pPr>
        <w:shd w:val="clear" w:color="auto" w:fill="FFFFFF"/>
        <w:spacing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67A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 xml:space="preserve">Ciudad de México, a 3 de abril de 2024.-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 Lilia Rivera </w:t>
      </w:r>
      <w:proofErr w:type="spellStart"/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Marcela Guerra Castillo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 Camino </w:t>
      </w:r>
      <w:proofErr w:type="spellStart"/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Pedro Vázquez González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Secretario.- Rúbricas.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E767A5" w:rsidRPr="00E767A5" w:rsidRDefault="00E767A5" w:rsidP="00E767A5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21 de mayo de 2024.- 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 Secretaria de Gobernación, </w:t>
      </w:r>
      <w:r w:rsidRPr="00E767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E767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767A5" w:rsidRPr="00E767A5" w:rsidRDefault="00E767A5" w:rsidP="00E767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E767A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E767A5" w:rsidRDefault="00E767A5" w:rsidP="00E767A5">
      <w:pPr>
        <w:jc w:val="both"/>
      </w:pPr>
    </w:p>
    <w:sectPr w:rsidR="00E76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A5"/>
    <w:rsid w:val="006C613F"/>
    <w:rsid w:val="00E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2">
    <w:name w:val="font_style12"/>
    <w:basedOn w:val="Fuentedeprrafopredeter"/>
    <w:rsid w:val="00E767A5"/>
  </w:style>
  <w:style w:type="character" w:customStyle="1" w:styleId="fontstyle13">
    <w:name w:val="font_style13"/>
    <w:basedOn w:val="Fuentedeprrafopredeter"/>
    <w:rsid w:val="00E76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2">
    <w:name w:val="font_style12"/>
    <w:basedOn w:val="Fuentedeprrafopredeter"/>
    <w:rsid w:val="00E767A5"/>
  </w:style>
  <w:style w:type="character" w:customStyle="1" w:styleId="fontstyle13">
    <w:name w:val="font_style13"/>
    <w:basedOn w:val="Fuentedeprrafopredeter"/>
    <w:rsid w:val="00E7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82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33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26">
          <w:marLeft w:val="0"/>
          <w:marRight w:val="0"/>
          <w:marTop w:val="101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34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73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14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083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697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22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63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96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34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59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52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100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906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890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822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214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44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626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844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805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45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122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04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774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766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101">
          <w:marLeft w:val="129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611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893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210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953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144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95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534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705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826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30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394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754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431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52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858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824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315">
          <w:marLeft w:val="129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8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1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5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7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81">
          <w:marLeft w:val="0"/>
          <w:marRight w:val="0"/>
          <w:marTop w:val="101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4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2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2024-05-23T15:26:00Z</dcterms:created>
  <dcterms:modified xsi:type="dcterms:W3CDTF">2024-05-23T15:27:00Z</dcterms:modified>
</cp:coreProperties>
</file>