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ACDO.AS3.HCT.281123/311.P.DF dictado por el H. Consejo Técnico, en sesión ordinaria del 28 de noviembre de 2023, relativo a la aprobación de los Costos Unitarios por Nivel de Atención Médica actualizados al año 2024 y sus anexos 1 y 2.</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GOBIERNO DE MÉXICO.- Instituto Mexicano del Seguro Social.- Secretaría del H. Consejo Técnico.- Of N°09/9001/030000/2096.</w:t>
      </w:r>
    </w:p>
    <w:p>
      <w:pPr>
        <w:keepNext w:val="0"/>
        <w:keepLines w:val="0"/>
        <w:widowControl/>
        <w:suppressLineNumbers w:val="0"/>
        <w:shd w:val="clear" w:fill="FFFFFF"/>
        <w:spacing w:after="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Mtro. Marco Aurelio Ramírez Corzo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Director de Finanzas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H. Consejo Técnico, en la sesión ordinaria celebrada el día 28 de noviembre del presente año, dictó el Acuerdo </w:t>
      </w:r>
      <w:r>
        <w:rPr>
          <w:rFonts w:hint="default" w:ascii="Arial" w:hAnsi="Arial" w:eastAsia="SimSun" w:cs="Arial"/>
          <w:b/>
          <w:bCs/>
          <w:i w:val="0"/>
          <w:iCs w:val="0"/>
          <w:caps w:val="0"/>
          <w:color w:val="2F2F2F"/>
          <w:spacing w:val="0"/>
          <w:kern w:val="0"/>
          <w:sz w:val="18"/>
          <w:szCs w:val="18"/>
          <w:shd w:val="clear" w:fill="FFFFFF"/>
          <w:lang w:val="en-US" w:eastAsia="zh-CN" w:bidi="ar"/>
        </w:rPr>
        <w:t>ACDO.AS3.HCT.281123/311.P.DF</w:t>
      </w:r>
      <w:r>
        <w:rPr>
          <w:rFonts w:hint="default" w:ascii="Arial" w:hAnsi="Arial" w:eastAsia="SimSun" w:cs="Arial"/>
          <w:i w:val="0"/>
          <w:iCs w:val="0"/>
          <w:caps w:val="0"/>
          <w:color w:val="2F2F2F"/>
          <w:spacing w:val="0"/>
          <w:kern w:val="0"/>
          <w:sz w:val="18"/>
          <w:szCs w:val="18"/>
          <w:shd w:val="clear" w:fill="FFFFFF"/>
          <w:lang w:val="en-US" w:eastAsia="zh-CN" w:bidi="ar"/>
        </w:rPr>
        <w:t>, en los siguientes términos: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"Este H. Consejo Técnico, con fundamento en lo dispuesto por los artículos 251, fracciones IV, VIII, XIV, XVII, XXXVI y XXXVII, 263, 264, fracciones III, XIV y XVII, 270, 272 y 277 E, de la Ley del Seguro Social; 5, 57 y 58, fracción III, de la Ley Federal de las Entidades Paraestatales; 112 y 119, del Reglamento de la Ley del Seguro Social en Materia de Afiliación, Clasificación de Empresas, Recaudación y Fiscalización, y 31, fracciones II y XX, del Reglamento Interior del Instituto Mexicano del Seguro Social; de conformidad con el planteamiento presentado por el Director General, por conducto de la persona Titular de la Dirección de Finanzas, en términos del oficio número 323 de fecha 17 de noviembre de 2023, así como del dictamen de la Comisión de Riesgos Financieros y Actuariales del propio Órgano de Gobierno, emitido en reunión ordinaria celebrada el día 27 del mes y año citados, </w:t>
      </w:r>
      <w:r>
        <w:rPr>
          <w:rFonts w:hint="default" w:ascii="Arial" w:hAnsi="Arial" w:eastAsia="SimSun" w:cs="Arial"/>
          <w:b/>
          <w:bCs/>
          <w:i w:val="0"/>
          <w:iCs w:val="0"/>
          <w:caps w:val="0"/>
          <w:color w:val="2F2F2F"/>
          <w:spacing w:val="0"/>
          <w:kern w:val="0"/>
          <w:sz w:val="18"/>
          <w:szCs w:val="18"/>
          <w:shd w:val="clear" w:fill="FFFFFF"/>
          <w:lang w:val="en-US" w:eastAsia="zh-CN" w:bidi="ar"/>
        </w:rPr>
        <w:t>Acuerda: Primero.</w:t>
      </w:r>
      <w:r>
        <w:rPr>
          <w:rFonts w:hint="default" w:ascii="Arial" w:hAnsi="Arial" w:eastAsia="SimSun" w:cs="Arial"/>
          <w:i w:val="0"/>
          <w:iCs w:val="0"/>
          <w:caps w:val="0"/>
          <w:color w:val="2F2F2F"/>
          <w:spacing w:val="0"/>
          <w:kern w:val="0"/>
          <w:sz w:val="18"/>
          <w:szCs w:val="18"/>
          <w:shd w:val="clear" w:fill="FFFFFF"/>
          <w:lang w:val="en-US" w:eastAsia="zh-CN" w:bidi="ar"/>
        </w:rPr>
        <w:t>- Aprobar los Costos Unitarios por Nivel de Atención Médica actualizados al año 2024, contenidos en el Anexo 1 de este Acuerdo, cuya actualización se realizó con base en el promedio ponderado de los costos observados durante los años 2019, 2020, 2021 y 2022, actualizados a pesos de diciembre de 2023, tal como se aprecia en el Anexo 2 del presente Acuerdo.</w:t>
      </w:r>
      <w:r>
        <w:rPr>
          <w:rFonts w:hint="default" w:ascii="Arial" w:hAnsi="Arial" w:eastAsia="SimSun" w:cs="Arial"/>
          <w:b/>
          <w:bCs/>
          <w:i w:val="0"/>
          <w:iCs w:val="0"/>
          <w:caps w:val="0"/>
          <w:color w:val="2F2F2F"/>
          <w:spacing w:val="0"/>
          <w:kern w:val="0"/>
          <w:sz w:val="18"/>
          <w:szCs w:val="18"/>
          <w:shd w:val="clear" w:fill="FFFFFF"/>
          <w:lang w:val="en-US" w:eastAsia="zh-CN" w:bidi="ar"/>
        </w:rPr>
        <w:t> Segundo.-</w:t>
      </w:r>
      <w:r>
        <w:rPr>
          <w:rFonts w:hint="default" w:ascii="Arial" w:hAnsi="Arial" w:eastAsia="SimSun" w:cs="Arial"/>
          <w:i w:val="0"/>
          <w:iCs w:val="0"/>
          <w:caps w:val="0"/>
          <w:color w:val="2F2F2F"/>
          <w:spacing w:val="0"/>
          <w:kern w:val="0"/>
          <w:sz w:val="18"/>
          <w:szCs w:val="18"/>
          <w:shd w:val="clear" w:fill="FFFFFF"/>
          <w:lang w:val="en-US" w:eastAsia="zh-CN" w:bidi="ar"/>
        </w:rPr>
        <w:t> Instruir a la Dirección Jurídica, para que realice los trámites necesarios ante las instancias competentes, a efecto de publicar este Acuerdo y sus Anexos en el Diario Oficial de la Federación. </w:t>
      </w: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así como los Costos Unitarios a que se refiere el punto Primero del mismo, entrarán en vigor a partir del 1° de enero de 2024 o, en caso de publicarse con posterioridad a esa fecha, al día siguiente de su publicación en el referido órgano de difusión".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que comunico a usted para su conocimiento.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28 de noviembre de 2023.- Secretario del H. Consejo Técnico, Lic. </w:t>
      </w:r>
      <w:r>
        <w:rPr>
          <w:rFonts w:hint="default" w:ascii="Arial" w:hAnsi="Arial" w:eastAsia="SimSun" w:cs="Arial"/>
          <w:b/>
          <w:bCs/>
          <w:i w:val="0"/>
          <w:iCs w:val="0"/>
          <w:caps w:val="0"/>
          <w:color w:val="2F2F2F"/>
          <w:spacing w:val="0"/>
          <w:kern w:val="0"/>
          <w:sz w:val="18"/>
          <w:szCs w:val="18"/>
          <w:shd w:val="clear" w:fill="FFFFFF"/>
          <w:lang w:val="en-US" w:eastAsia="zh-CN" w:bidi="ar"/>
        </w:rPr>
        <w:t>Marcos Bucio Mújica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1</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Tabla que contiene los Costos Unitarios por Nivel de Atención Médica actualizados al año 2024, para la determinación de créditos fiscales derivados de capitales constitutivos, inscripciones improcedentes y atención a no derechohabientes.</w:t>
      </w:r>
    </w:p>
    <w:p>
      <w:pPr>
        <w:keepNext w:val="0"/>
        <w:keepLines w:val="0"/>
        <w:widowControl/>
        <w:suppressLineNumbers w:val="0"/>
        <w:shd w:val="clear" w:fill="FFFFFF"/>
        <w:spacing w:after="80" w:afterAutospacing="0"/>
        <w:ind w:left="0" w:firstLine="289"/>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46"/>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0" w:hRule="atLeast"/>
        </w:trPr>
        <w:tc>
          <w:tcPr>
            <w:tcW w:w="6700" w:type="dxa"/>
            <w:tcBorders>
              <w:top w:val="single" w:color="000000" w:sz="12" w:space="0"/>
              <w:left w:val="single" w:color="000000" w:sz="12" w:space="0"/>
              <w:bottom w:val="single" w:color="000000" w:sz="12" w:space="0"/>
              <w:right w:val="single" w:color="000000" w:sz="12"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TIPO DE SERVICIO</w:t>
            </w:r>
          </w:p>
        </w:tc>
        <w:tc>
          <w:tcPr>
            <w:tcW w:w="2284" w:type="dxa"/>
            <w:tcBorders>
              <w:top w:val="single" w:color="000000" w:sz="12" w:space="0"/>
              <w:left w:val="single" w:color="000000" w:sz="12" w:space="0"/>
              <w:bottom w:val="single" w:color="000000" w:sz="12" w:space="0"/>
              <w:right w:val="single" w:color="000000" w:sz="12" w:space="0"/>
            </w:tcBorders>
            <w:shd w:val="clear" w:color="auto" w:fill="E0E0E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COSTO UNITARIO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ACTUALIZADO AL 2024</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8984" w:type="dxa"/>
            <w:gridSpan w:val="2"/>
            <w:tcBorders>
              <w:top w:val="single" w:color="000000" w:sz="6" w:space="0"/>
              <w:left w:val="single" w:color="000000" w:sz="12"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ATENCIÓN EN UNIDADES DE PRIMER NIVEL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 Medicina Familiar1</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Dental (Estomatología)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Atención de Urgencias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Curaciones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Laboratorio Clínico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Radiodiagnóstico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Ultrasonografía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Traslado en Ambulancia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Hemodiálisis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Quimioterapia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de Tococirugía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Hospitalización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Quirúrgica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Consulta/Sesión de Medicina Física y Rehabilitación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Terapia Psicológica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6"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Estudio/Procedimiento de Endoscopía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rápida de detección de antígenos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0"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RT-PCR de detección de material genético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8984" w:type="dxa"/>
            <w:gridSpan w:val="2"/>
            <w:tcBorders>
              <w:top w:val="single" w:color="000000" w:sz="6" w:space="0"/>
              <w:left w:val="single" w:color="000000" w:sz="12"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8984" w:type="dxa"/>
            <w:gridSpan w:val="2"/>
            <w:tcBorders>
              <w:top w:val="single" w:color="000000" w:sz="6" w:space="0"/>
              <w:left w:val="single" w:color="000000" w:sz="12"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ATENCIÓN EN UNIDADES DE SEGUNDO NIVEL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 Medicina Familiar1</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Dental (Estomatología)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 Especialidades2</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Atención de Urgencias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Hospitalización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Incubadora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Terapia Intensiva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Curaciones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Laboratorio Clínico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Citología Exfoliativa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Medicina Nuclear</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Electrodiagnóstico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Radiodiagnóstico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Ultrasonografía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Tomografía Axial</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Resonancia Magnética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Estudio/Procedimiento de Endoscopía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Consulta/Sesión de Medicina Física y Rehabilitación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Radioterapia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Anatomía Patológica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Quirúrgica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de Tococirugía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Traslado en Ambulancia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Quimioterapia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Hemodiálisis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Estudio/Procedimiento de Hemodinámica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Terapia Psicológica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Estudio/Sesión de Gabinete de Tratamiento3</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Terapia/Reeducación Ocupacional</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Servicio de Banco de Sangre</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a Donadores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Servicio de Litotripsia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rápida de detección de antígenos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0"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RT-PCR de detección de material genético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5"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con ventilación mecánica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8984" w:type="dxa"/>
            <w:gridSpan w:val="2"/>
            <w:tcBorders>
              <w:top w:val="single" w:color="000000" w:sz="6" w:space="0"/>
              <w:left w:val="single" w:color="000000" w:sz="12"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984" w:type="dxa"/>
            <w:gridSpan w:val="2"/>
            <w:tcBorders>
              <w:top w:val="single" w:color="000000" w:sz="6" w:space="0"/>
              <w:left w:val="single" w:color="000000" w:sz="12"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ATENCIÓN EN UNIDADES DE TERCER NIVEL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de Especialidades2</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Atención de Urgencias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Hospitalización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Incubadora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en Terapia Intensiva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Laboratorio Clínico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Citología Exfoliativa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Medicina Nuclear</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Electrodiagnóstico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Radiodiagnóstico</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Ultrasonografía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Estudios de Tomografía Axial</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Estudios de Resonancia Magnética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Procedimiento de Cardiología Intervencionista _ Hemodinámica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Estudio/Procedimiento de Endoscopía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Consulta/Sesión de Medicina Física y Rehabilitación</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Radioterapia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Quimioterapia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 de Anatomía Patológica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Quirúrgica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Intervención de Tococirugía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Traslado en Ambulancia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8,589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Hemodiálisis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Terapia Psicológica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Estudio/Sesión de Gabinete de Tratamiento3</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Terapia/Reeducación Ocupacional</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Servicio de Banco de Sangre</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Consulta a Donadores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Sesión de Diálisis</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Servicio de Litotripsia</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rápida de detección de antígenos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6700" w:type="dxa"/>
            <w:tcBorders>
              <w:top w:val="single" w:color="000000" w:sz="6" w:space="0"/>
              <w:left w:val="single" w:color="000000" w:sz="12"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Prueba RT-PCR de detección de material genético del virus SARS-CoV-2 (COVID-19)</w:t>
            </w:r>
          </w:p>
        </w:tc>
        <w:tc>
          <w:tcPr>
            <w:tcW w:w="2284" w:type="dxa"/>
            <w:tcBorders>
              <w:top w:val="single" w:color="000000" w:sz="6" w:space="0"/>
              <w:left w:val="single" w:color="000000" w:sz="6" w:space="0"/>
              <w:bottom w:val="single" w:color="000000" w:sz="6"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6" w:hRule="atLeast"/>
        </w:trPr>
        <w:tc>
          <w:tcPr>
            <w:tcW w:w="6700" w:type="dxa"/>
            <w:tcBorders>
              <w:top w:val="single" w:color="000000" w:sz="6" w:space="0"/>
              <w:left w:val="single" w:color="000000" w:sz="12" w:space="0"/>
              <w:bottom w:val="single" w:color="000000" w:sz="12"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Día paciente con ventilación mecánica</w:t>
            </w:r>
          </w:p>
        </w:tc>
        <w:tc>
          <w:tcPr>
            <w:tcW w:w="2284" w:type="dxa"/>
            <w:tcBorders>
              <w:top w:val="single" w:color="000000" w:sz="6" w:space="0"/>
              <w:left w:val="single" w:color="000000" w:sz="6" w:space="0"/>
              <w:bottom w:val="single" w:color="000000" w:sz="12" w:space="0"/>
              <w:right w:val="single" w:color="000000" w:sz="12"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47,066</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2"/>
          <w:szCs w:val="12"/>
        </w:rPr>
      </w:pPr>
      <w:r>
        <w:rPr>
          <w:rFonts w:hint="default" w:ascii="Arial" w:hAnsi="Arial" w:eastAsia="SimSun" w:cs="Arial"/>
          <w:i w:val="0"/>
          <w:iCs w:val="0"/>
          <w:caps w:val="0"/>
          <w:color w:val="2F2F2F"/>
          <w:spacing w:val="0"/>
          <w:kern w:val="0"/>
          <w:sz w:val="12"/>
          <w:szCs w:val="12"/>
          <w:shd w:val="clear" w:fill="FFFFFF"/>
          <w:lang w:val="en-US" w:eastAsia="zh-CN" w:bidi="ar"/>
        </w:rPr>
        <w:t>1</w:t>
      </w:r>
      <w:r>
        <w:rPr>
          <w:rFonts w:hint="default" w:ascii="Arial" w:hAnsi="Arial" w:eastAsia="SimSun" w:cs="Arial"/>
          <w:i w:val="0"/>
          <w:iCs w:val="0"/>
          <w:caps w:val="0"/>
          <w:color w:val="2F2F2F"/>
          <w:spacing w:val="0"/>
          <w:kern w:val="0"/>
          <w:sz w:val="12"/>
          <w:szCs w:val="12"/>
          <w:shd w:val="clear" w:fill="FFFFFF"/>
          <w:vertAlign w:val="superscript"/>
          <w:lang w:val="en-US" w:eastAsia="zh-CN" w:bidi="ar"/>
        </w:rPr>
        <w:t>.</w:t>
      </w:r>
      <w:r>
        <w:rPr>
          <w:rFonts w:hint="default" w:ascii="Arial" w:hAnsi="Arial" w:eastAsia="SimSun" w:cs="Arial"/>
          <w:i w:val="0"/>
          <w:iCs w:val="0"/>
          <w:caps w:val="0"/>
          <w:color w:val="2F2F2F"/>
          <w:spacing w:val="0"/>
          <w:kern w:val="0"/>
          <w:sz w:val="12"/>
          <w:szCs w:val="12"/>
          <w:shd w:val="clear" w:fill="FFFFFF"/>
          <w:lang w:val="en-US" w:eastAsia="zh-CN" w:bidi="ar"/>
        </w:rPr>
        <w:t>Incluye las Consultas de Salud en el Trabajo en el Primer Nivel de Atención.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2"/>
          <w:szCs w:val="12"/>
        </w:rPr>
      </w:pPr>
      <w:r>
        <w:rPr>
          <w:rFonts w:hint="default" w:ascii="Arial" w:hAnsi="Arial" w:eastAsia="SimSun" w:cs="Arial"/>
          <w:i w:val="0"/>
          <w:iCs w:val="0"/>
          <w:caps w:val="0"/>
          <w:color w:val="2F2F2F"/>
          <w:spacing w:val="0"/>
          <w:kern w:val="0"/>
          <w:sz w:val="12"/>
          <w:szCs w:val="12"/>
          <w:shd w:val="clear" w:fill="FFFFFF"/>
          <w:lang w:val="en-US" w:eastAsia="zh-CN" w:bidi="ar"/>
        </w:rPr>
        <w:t>2</w:t>
      </w:r>
      <w:r>
        <w:rPr>
          <w:rFonts w:hint="default" w:ascii="Arial" w:hAnsi="Arial" w:eastAsia="SimSun" w:cs="Arial"/>
          <w:i w:val="0"/>
          <w:iCs w:val="0"/>
          <w:caps w:val="0"/>
          <w:color w:val="2F2F2F"/>
          <w:spacing w:val="0"/>
          <w:kern w:val="0"/>
          <w:sz w:val="12"/>
          <w:szCs w:val="12"/>
          <w:shd w:val="clear" w:fill="FFFFFF"/>
          <w:vertAlign w:val="superscript"/>
          <w:lang w:val="en-US" w:eastAsia="zh-CN" w:bidi="ar"/>
        </w:rPr>
        <w:t>.</w:t>
      </w:r>
      <w:r>
        <w:rPr>
          <w:rFonts w:hint="default" w:ascii="Arial" w:hAnsi="Arial" w:eastAsia="SimSun" w:cs="Arial"/>
          <w:i w:val="0"/>
          <w:iCs w:val="0"/>
          <w:caps w:val="0"/>
          <w:color w:val="2F2F2F"/>
          <w:spacing w:val="0"/>
          <w:kern w:val="0"/>
          <w:sz w:val="12"/>
          <w:szCs w:val="12"/>
          <w:shd w:val="clear" w:fill="FFFFFF"/>
          <w:lang w:val="en-US" w:eastAsia="zh-CN" w:bidi="ar"/>
        </w:rPr>
        <w:t>Incluye las Consultas de Salud en el Trabajo en el Segundo y Tercer Nivel de Atención.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2"/>
          <w:szCs w:val="12"/>
        </w:rPr>
      </w:pPr>
      <w:r>
        <w:rPr>
          <w:rFonts w:hint="default" w:ascii="Arial" w:hAnsi="Arial" w:eastAsia="SimSun" w:cs="Arial"/>
          <w:i w:val="0"/>
          <w:iCs w:val="0"/>
          <w:caps w:val="0"/>
          <w:color w:val="2F2F2F"/>
          <w:spacing w:val="0"/>
          <w:kern w:val="0"/>
          <w:sz w:val="12"/>
          <w:szCs w:val="12"/>
          <w:shd w:val="clear" w:fill="FFFFFF"/>
          <w:lang w:val="en-US" w:eastAsia="zh-CN" w:bidi="ar"/>
        </w:rPr>
        <w:t>3</w:t>
      </w:r>
      <w:r>
        <w:rPr>
          <w:rFonts w:hint="default" w:ascii="Arial" w:hAnsi="Arial" w:eastAsia="SimSun" w:cs="Arial"/>
          <w:i w:val="0"/>
          <w:iCs w:val="0"/>
          <w:caps w:val="0"/>
          <w:color w:val="2F2F2F"/>
          <w:spacing w:val="0"/>
          <w:kern w:val="0"/>
          <w:sz w:val="12"/>
          <w:szCs w:val="12"/>
          <w:shd w:val="clear" w:fill="FFFFFF"/>
          <w:vertAlign w:val="superscript"/>
          <w:lang w:val="en-US" w:eastAsia="zh-CN" w:bidi="ar"/>
        </w:rPr>
        <w:t>.</w:t>
      </w:r>
      <w:r>
        <w:rPr>
          <w:rFonts w:hint="default" w:ascii="Arial" w:hAnsi="Arial" w:eastAsia="SimSun" w:cs="Arial"/>
          <w:i w:val="0"/>
          <w:iCs w:val="0"/>
          <w:caps w:val="0"/>
          <w:color w:val="2F2F2F"/>
          <w:spacing w:val="0"/>
          <w:kern w:val="0"/>
          <w:sz w:val="12"/>
          <w:szCs w:val="12"/>
          <w:shd w:val="clear" w:fill="FFFFFF"/>
          <w:lang w:val="en-US" w:eastAsia="zh-CN" w:bidi="ar"/>
        </w:rPr>
        <w:t>Gabinete de Tratamiento incluye terapias de lenguaje, respiratoria, recreativa, fisiología pulmonar, entre otros tratamientos de gabinete.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28 de noviembre de 2023.- El Director de Finanzas del Instituto Mexicano del Seguro Social, </w:t>
      </w:r>
      <w:r>
        <w:rPr>
          <w:rFonts w:hint="default" w:ascii="Arial" w:hAnsi="Arial" w:eastAsia="SimSun" w:cs="Arial"/>
          <w:b/>
          <w:bCs/>
          <w:i w:val="0"/>
          <w:iCs w:val="0"/>
          <w:caps w:val="0"/>
          <w:color w:val="2F2F2F"/>
          <w:spacing w:val="0"/>
          <w:kern w:val="0"/>
          <w:sz w:val="18"/>
          <w:szCs w:val="18"/>
          <w:shd w:val="clear" w:fill="FFFFFF"/>
          <w:lang w:val="en-US" w:eastAsia="zh-CN" w:bidi="ar"/>
        </w:rPr>
        <w:t>Marco Aurelio Ramírez Corzo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2</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Base de cálculo para la estimación de los Costos Unitarios por</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Nivel de Atención Médica actualizados al año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Costos Unitarios por Nivel de Atención Médica actualizados al año 2024 se calcularon aplicando la metodología de Costo Basado en Actividades (ABC, por sus siglas en inglés). Estos incorporan los conceptos de personal, medicamentos, material médico, materiales diversos, mantenimiento, depreciaciones, servicios generales, entre otros, empleados para el otorgamiento de los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costo unitario aplicable en 2024 para cada tipo de servicio se determinó a partir del costo promedio ponderado por los servicios prestados en 2019, 2020, 2021 y 2022, actualizados a pesos del mes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factor de actualización se obtuvo del Índice Nacional de Precios al Consumidor (INPC) publicado por el Instituto Nacional de Estadística y Geografía (INEGI) correspondiente a los meses de diciembre de 2019, 2020, 2021 y 2022, así como de la inflación estimada para el año 2023 incluida en la "Encuesta sobre las Expectativas de los Especialistas en Economía del Sector Privado: septiembre de 2023", publicada por el Banco de México el 2 de octubre de 2023. A continuación, se detalla el cálculo realizado: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18"/>
        <w:gridCol w:w="1608"/>
        <w:gridCol w:w="1608"/>
        <w:gridCol w:w="1608"/>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5" w:hRule="atLeast"/>
        </w:trPr>
        <w:tc>
          <w:tcPr>
            <w:tcW w:w="21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Encuesta sobre las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Expectativas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Especialistas en</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Economía del Sector</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Privado: septiembre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2023. Banxico.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("Expectativa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inflación anual de dic.</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2022 a dic. 2023")</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Índice Nacional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Precios al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Consumidor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2022,</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publicado en 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Diario Oficial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Federación el 10</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de enero de 2023</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("INPC dic. 2022")</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Índice Nacional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Precios al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Consumidor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2021,</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publicado en 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Diario Oficial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Federación el 10</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de enero de 2022</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("INPC dic. 2021")</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Índice Nacional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Precios al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Consumidor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2020,</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publicado en 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Diario Oficial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Federación del 08</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de enero de 2021</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("INPC dic. 2020")</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Índice Nacional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Precios al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Consumidor de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2019,</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publicado en 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Diario Oficial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Federación del 10</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de enero de 2020</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("INPC dic.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5" w:hRule="atLeast"/>
        </w:trPr>
        <w:tc>
          <w:tcPr>
            <w:tcW w:w="21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4.7%</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126.478</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117.308</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109.271</w:t>
            </w:r>
          </w:p>
        </w:tc>
        <w:tc>
          <w:tcPr>
            <w:tcW w:w="17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105.934</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Fórmulas: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61"/>
        <w:gridCol w:w="2195"/>
        <w:gridCol w:w="2195"/>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 expectativa de inflación anual de dic. 2022 a dic. 2023)</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(INPC dic. 2022 / INPC dic. 2021) x (1 + expectativa de inflación anual de dic. 2022 a dic. 2023)</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(INPC dic. 2022 / INPC dic. 2020) x (1 + expectativa de inflación anual de dic. 2022 a dic. 2023)</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(INPC dic. 2022 / INPC dic. 2019) x (1 + expectativa de inflación anual de dic. 2022 a dic. 2023)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8"/>
        <w:gridCol w:w="2226"/>
        <w:gridCol w:w="2226"/>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 + 4.70%)</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(126.478/117.308) x (1 +</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4.70%)</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(126.478/109.271) x (1 +</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4.70%)</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(126.478/105.934) x (1 +</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4.70%)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Resultados: Factor de actualización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50"/>
        <w:gridCol w:w="2203"/>
        <w:gridCol w:w="2203"/>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5" w:hRule="atLeast"/>
        </w:trPr>
        <w:tc>
          <w:tcPr>
            <w:tcW w:w="19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1.047</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1.1288</w:t>
            </w:r>
          </w:p>
        </w:tc>
        <w:tc>
          <w:tcPr>
            <w:tcW w:w="23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1.2119</w:t>
            </w:r>
          </w:p>
        </w:tc>
        <w:tc>
          <w:tcPr>
            <w:tcW w:w="234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1.25</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actualización del costo para cada tipo de servicio, se multiplicó el costo total de los servicios prestados en cada año (2019, 2020, 2021 y 2022) por el factor de actualización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Actualización del costo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693"/>
        <w:gridCol w:w="1820"/>
        <w:gridCol w:w="588"/>
        <w:gridCol w:w="3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2022</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Factor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Actualización</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Resultado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X</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1.047</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2022 del servicio,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actualizado a diciembre 2023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693"/>
        <w:gridCol w:w="1820"/>
        <w:gridCol w:w="588"/>
        <w:gridCol w:w="3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2021</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Factor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Actualización</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Resultado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X</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1.1288</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2021 del servicio,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actualizado a diciembre 2023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693"/>
        <w:gridCol w:w="1820"/>
        <w:gridCol w:w="588"/>
        <w:gridCol w:w="3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2020</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Factor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Actualización</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Resultado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X</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1.2119</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2020 del servicio,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actualizado a diciembre 2023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693"/>
        <w:gridCol w:w="1820"/>
        <w:gridCol w:w="588"/>
        <w:gridCol w:w="3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2019</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Factor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Actualización</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Resultado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1"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w:t>
            </w:r>
          </w:p>
        </w:tc>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X</w:t>
            </w:r>
          </w:p>
        </w:tc>
        <w:tc>
          <w:tcPr>
            <w:tcW w:w="18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1.25</w:t>
            </w:r>
          </w:p>
        </w:tc>
        <w:tc>
          <w:tcPr>
            <w:tcW w:w="61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338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2019 del servicio,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actualizado a diciembre 2023</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Finalmente, la estimación del costo promedio ponderado para cada tipo de servicio puede obtenerse al dividir la suma del costo total de los servicios prestados en 2019, 2020, 2021 y 2022, actualizados a diciembre de 2023 entre la cantidad de servicios prestados durante esos mismos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Cálculo del costo promedio ponderado (base de cálculo para la estimación de los Costos Unitarios por Nivel de Atención Médica)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37"/>
        <w:gridCol w:w="690"/>
        <w:gridCol w:w="1797"/>
        <w:gridCol w:w="584"/>
        <w:gridCol w:w="3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Costo total</w:t>
            </w:r>
          </w:p>
        </w:tc>
        <w:tc>
          <w:tcPr>
            <w:tcW w:w="7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8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Cantidad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servicios</w:t>
            </w:r>
          </w:p>
        </w:tc>
        <w:tc>
          <w:tcPr>
            <w:tcW w:w="6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3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Resultado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13" w:hRule="atLeast"/>
        </w:trPr>
        <w:tc>
          <w:tcPr>
            <w:tcW w:w="23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2022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 actualizado 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2023</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2021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 actualizado 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2023</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2020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 actualizado 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2023</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total anual 2019 del</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servicio, actualizado a</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diciembre 2023</w:t>
            </w:r>
          </w:p>
        </w:tc>
        <w:tc>
          <w:tcPr>
            <w:tcW w:w="7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18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Cantidad de servicios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prestados durante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2022</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Cantidad de servicios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prestados durante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2021</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Cantidad de servicios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prestados durante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2020</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Cantidad de servicios</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prestados durante</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2019</w:t>
            </w:r>
          </w:p>
        </w:tc>
        <w:tc>
          <w:tcPr>
            <w:tcW w:w="6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w:t>
            </w:r>
          </w:p>
        </w:tc>
        <w:tc>
          <w:tcPr>
            <w:tcW w:w="337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Costo unitario promedio ponderado</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actualizado al 2024</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28 de noviembre de 2023.- El Director de Finanzas del Instituto Mexicano del Seguro Social, </w:t>
      </w:r>
      <w:r>
        <w:rPr>
          <w:rFonts w:hint="default" w:ascii="Arial" w:hAnsi="Arial" w:eastAsia="SimSun" w:cs="Arial"/>
          <w:b/>
          <w:bCs/>
          <w:i w:val="0"/>
          <w:iCs w:val="0"/>
          <w:caps w:val="0"/>
          <w:color w:val="2F2F2F"/>
          <w:spacing w:val="0"/>
          <w:kern w:val="0"/>
          <w:sz w:val="18"/>
          <w:szCs w:val="18"/>
          <w:shd w:val="clear" w:fill="FFFFFF"/>
          <w:lang w:val="en-US" w:eastAsia="zh-CN" w:bidi="ar"/>
        </w:rPr>
        <w:t>Marco Aurelio Ramírez Corzo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65460"/>
    <w:rsid w:val="5D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2023-12-14T14:58:00Z</dcterms:created>
  <dc:creator>Nancy.escutia</dc:creator>
  <cp:lastModifiedBy>Nancy.escutia</cp:lastModifiedBy>
  <dcterms:modified xsi:type="dcterms:W3CDTF">2023-12-14T15:00:58Z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7199409659D24BBF8481FF6B9884AB3A_11</vt:lpwstr>
  </property>
</Properties>
</file>