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AA26C">
      <w:pPr>
        <w:jc w:val="center"/>
        <w:rPr>
          <w:rFonts w:hint="default" w:ascii="Verdana" w:hAnsi="Verdana"/>
          <w:b/>
          <w:color w:val="0000FF"/>
          <w:sz w:val="24"/>
          <w:szCs w:val="24"/>
          <w:rtl w:val="0"/>
        </w:rPr>
      </w:pPr>
      <w:r>
        <w:rPr>
          <w:rFonts w:hint="default" w:ascii="Verdana" w:hAnsi="Verdana"/>
          <w:b/>
          <w:color w:val="0000FF"/>
          <w:sz w:val="24"/>
          <w:szCs w:val="24"/>
          <w:rtl w:val="0"/>
        </w:rPr>
        <w:t>CONVENIO de Coordinación para el otorgamiento del subsidio para la creación, fortalecimiento y/o mejora de los Tribunales Laborales, que celebran la Secretaría del Trabajo y Previsión Social y el Estado de Tamaulipas.</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02</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229EDE3B">
      <w:pPr>
        <w:jc w:val="both"/>
        <w:rPr>
          <w:rFonts w:hint="default"/>
          <w:b/>
          <w:bCs w:val="0"/>
          <w:color w:val="2F2F2F"/>
          <w:sz w:val="18"/>
          <w:szCs w:val="18"/>
          <w:rtl w:val="0"/>
        </w:rPr>
      </w:pPr>
      <w:r>
        <w:rPr>
          <w:rFonts w:hint="default"/>
          <w:b/>
          <w:bCs w:val="0"/>
          <w:color w:val="2F2F2F"/>
          <w:sz w:val="18"/>
          <w:szCs w:val="18"/>
          <w:rtl w:val="0"/>
        </w:rPr>
        <w:t>Al margen un sello con el Escudo Nacional, que dice: Estados Unidos Mexicanos.- TRABAJO.- Secretaría del Trabajo y Previsión Social.</w:t>
      </w:r>
    </w:p>
    <w:p w14:paraId="22A77841"/>
    <w:p w14:paraId="507D5859">
      <w:pPr>
        <w:keepNext w:val="0"/>
        <w:keepLines w:val="0"/>
        <w:widowControl/>
        <w:suppressLineNumbers w:val="0"/>
        <w:shd w:val="clear" w:fill="FFFFFF"/>
        <w:spacing w:after="84"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CONVENIO DE COORDINACIÓN PARA EL OTORGAMIENTO DEL SUBSIDIO PARA LA "CREACIÓN, FORTALECIMIENTO Y/O MEJORA DE LOS TRIBUNALES LABORALES"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TAMAULIPAS, EN ADELANTE "EL GOBIERNO DEL ESTADO", REPRESENTADO POR LA TITULAR DE LA SECRETARIA DE FINANZAS, C. ADRIANA LOZANO RODRIGUEZ, Y EL C. DAVID CERDA ZUÑIGA, REPRESENTANTE DEL PODER JUDICIAL DEL ESTADO DE TAMAULIPAS, MAGISTRADO PRESIDENTE DEL SUPREMO TRIBUNAL DE JUSTICIA DEL ESTADO DE TAMAULIPAS; A QUIENES CUANDO ACTÚEN CONJUNTAMENTE SE LES DESIGNARÁ COMO "LAS PARTES", AL TENOR DE LOS SIGUIENTES ANTECEDENTES, DECLARACIONES Y CLÁUSULAS:</w:t>
      </w:r>
    </w:p>
    <w:p w14:paraId="04462B01">
      <w:pPr>
        <w:keepNext w:val="0"/>
        <w:keepLines w:val="0"/>
        <w:widowControl/>
        <w:suppressLineNumbers w:val="0"/>
        <w:shd w:val="clear" w:fill="FFFFFF"/>
        <w:spacing w:before="101" w:beforeAutospacing="0" w:after="84"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14:paraId="1FCDE30D">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000000"/>
          <w:spacing w:val="0"/>
          <w:kern w:val="0"/>
          <w:sz w:val="18"/>
          <w:szCs w:val="18"/>
          <w:shd w:val="clear" w:fill="FFFFFF"/>
          <w:lang w:val="en-US" w:eastAsia="zh-CN" w:bidi="ar"/>
        </w:rPr>
        <w:t>Con fecha 24 de febrero de 2017, se publicó en el Diario Oficial de la Federación (DOF) el "</w:t>
      </w:r>
      <w:r>
        <w:rPr>
          <w:rFonts w:hint="default" w:ascii="Arial" w:hAnsi="Arial" w:eastAsia="SimSun" w:cs="Arial"/>
          <w:i/>
          <w:iCs/>
          <w:caps w:val="0"/>
          <w:color w:val="000000"/>
          <w:spacing w:val="0"/>
          <w:kern w:val="0"/>
          <w:sz w:val="18"/>
          <w:szCs w:val="18"/>
          <w:shd w:val="clear" w:fill="FFFFFF"/>
          <w:lang w:val="en-US" w:eastAsia="zh-CN" w:bidi="ar"/>
        </w:rPr>
        <w:t>Decreto por el que se declaran reformadas y adicionadas diversas disposiciones de los artículos 107 y 123 de la Constitución Política de los Estados Unidos Mexicanos, en materia de Justicia Laboral"</w:t>
      </w:r>
      <w:r>
        <w:rPr>
          <w:rFonts w:hint="default" w:ascii="Arial" w:hAnsi="Arial" w:eastAsia="SimSun" w:cs="Arial"/>
          <w:i w:val="0"/>
          <w:iCs w:val="0"/>
          <w:caps w:val="0"/>
          <w:color w:val="000000"/>
          <w:spacing w:val="0"/>
          <w:kern w:val="0"/>
          <w:sz w:val="18"/>
          <w:szCs w:val="18"/>
          <w:shd w:val="clear" w:fill="FFFFFF"/>
          <w:lang w:val="en-US" w:eastAsia="zh-CN" w:bidi="ar"/>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14:paraId="4E5F2918">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14:paraId="54FB9D98">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i w:val="0"/>
          <w:iCs w:val="0"/>
          <w:caps w:val="0"/>
          <w:color w:val="000000"/>
          <w:spacing w:val="0"/>
          <w:kern w:val="0"/>
          <w:sz w:val="18"/>
          <w:szCs w:val="18"/>
          <w:shd w:val="clear" w:fill="FFFFFF"/>
          <w:lang w:val="en-US" w:eastAsia="zh-CN" w:bidi="ar"/>
        </w:rPr>
        <w:t>Con fecha 1° de mayo de 2019, se publicó en el DOF </w:t>
      </w:r>
      <w:r>
        <w:rPr>
          <w:rFonts w:hint="default" w:ascii="Arial" w:hAnsi="Arial" w:eastAsia="SimSun" w:cs="Arial"/>
          <w:i/>
          <w:iCs/>
          <w:caps w:val="0"/>
          <w:color w:val="000000"/>
          <w:spacing w:val="0"/>
          <w:kern w:val="0"/>
          <w:sz w:val="18"/>
          <w:szCs w:val="18"/>
          <w:shd w:val="clear" w:fill="FFFFFF"/>
          <w:lang w:val="en-US" w:eastAsia="zh-CN" w:bidi="ar"/>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Pr>
          <w:rFonts w:hint="default" w:ascii="Arial" w:hAnsi="Arial" w:eastAsia="SimSun" w:cs="Arial"/>
          <w:i w:val="0"/>
          <w:iCs w:val="0"/>
          <w:caps w:val="0"/>
          <w:color w:val="000000"/>
          <w:spacing w:val="0"/>
          <w:kern w:val="0"/>
          <w:sz w:val="18"/>
          <w:szCs w:val="18"/>
          <w:shd w:val="clear" w:fill="FFFFFF"/>
          <w:lang w:val="en-US" w:eastAsia="zh-CN" w:bidi="ar"/>
        </w:rPr>
        <w:t>, con el cual se establecen las reglas relativas al procedimiento de conciliación prejudicial obligatoria para la resolución de problemas de orden laboral.</w:t>
      </w:r>
    </w:p>
    <w:p w14:paraId="4FC63348">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i w:val="0"/>
          <w:iCs w:val="0"/>
          <w:caps w:val="0"/>
          <w:color w:val="000000"/>
          <w:spacing w:val="0"/>
          <w:kern w:val="0"/>
          <w:sz w:val="18"/>
          <w:szCs w:val="18"/>
          <w:shd w:val="clear" w:fill="FFFFFF"/>
          <w:lang w:val="en-US" w:eastAsia="zh-CN" w:bidi="ar"/>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14:paraId="10B84C33">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14:paraId="690A90DB">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 </w:t>
      </w:r>
      <w:r>
        <w:rPr>
          <w:rFonts w:hint="default" w:ascii="Arial" w:hAnsi="Arial" w:eastAsia="SimSun" w:cs="Arial"/>
          <w:i w:val="0"/>
          <w:iCs w:val="0"/>
          <w:caps w:val="0"/>
          <w:color w:val="000000"/>
          <w:spacing w:val="0"/>
          <w:kern w:val="0"/>
          <w:sz w:val="18"/>
          <w:szCs w:val="18"/>
          <w:shd w:val="clear" w:fill="FFFFFF"/>
          <w:lang w:val="en-US" w:eastAsia="zh-CN" w:bidi="ar"/>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14:paraId="421F4779">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Entre sus atribuciones, el Consejo de Coordinación coadyuvará con las Legislaturas de las entidades federativas, en el seguimiento y evaluación de los recursos presupuestales ejercidos en la implementación y operación del Sistema de Justicia Laboral.</w:t>
      </w:r>
    </w:p>
    <w:p w14:paraId="0A1F0C80">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w:t>
      </w:r>
      <w:r>
        <w:rPr>
          <w:rFonts w:hint="default" w:ascii="Arial" w:hAnsi="Arial" w:eastAsia="SimSun" w:cs="Arial"/>
          <w:i w:val="0"/>
          <w:iCs w:val="0"/>
          <w:caps w:val="0"/>
          <w:color w:val="000000"/>
          <w:spacing w:val="0"/>
          <w:kern w:val="0"/>
          <w:sz w:val="18"/>
          <w:szCs w:val="18"/>
          <w:shd w:val="clear" w:fill="FFFFFF"/>
          <w:lang w:val="en-US" w:eastAsia="zh-CN" w:bidi="ar"/>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14:paraId="3618AA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w:t>
      </w:r>
      <w:r>
        <w:rPr>
          <w:rFonts w:hint="default" w:ascii="Arial" w:hAnsi="Arial" w:eastAsia="SimSun" w:cs="Arial"/>
          <w:i w:val="0"/>
          <w:iCs w:val="0"/>
          <w:caps w:val="0"/>
          <w:color w:val="000000"/>
          <w:spacing w:val="0"/>
          <w:kern w:val="0"/>
          <w:sz w:val="18"/>
          <w:szCs w:val="18"/>
          <w:shd w:val="clear" w:fill="FFFFFF"/>
          <w:lang w:val="en-US" w:eastAsia="zh-CN" w:bidi="ar"/>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14:paraId="0F5B6E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 </w:t>
      </w:r>
      <w:r>
        <w:rPr>
          <w:rFonts w:hint="default" w:ascii="Arial" w:hAnsi="Arial" w:eastAsia="SimSun" w:cs="Arial"/>
          <w:i w:val="0"/>
          <w:iCs w:val="0"/>
          <w:caps w:val="0"/>
          <w:color w:val="000000"/>
          <w:spacing w:val="0"/>
          <w:kern w:val="0"/>
          <w:sz w:val="18"/>
          <w:szCs w:val="18"/>
          <w:shd w:val="clear" w:fill="FFFFFF"/>
          <w:lang w:val="en-US" w:eastAsia="zh-CN" w:bidi="ar"/>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14:paraId="3C9FF2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VIII. </w:t>
      </w:r>
      <w:r>
        <w:rPr>
          <w:rFonts w:hint="default" w:ascii="Arial" w:hAnsi="Arial" w:eastAsia="SimSun" w:cs="Arial"/>
          <w:i w:val="0"/>
          <w:iCs w:val="0"/>
          <w:caps w:val="0"/>
          <w:color w:val="000000"/>
          <w:spacing w:val="0"/>
          <w:kern w:val="0"/>
          <w:sz w:val="18"/>
          <w:szCs w:val="18"/>
          <w:shd w:val="clear" w:fill="FFFFFF"/>
          <w:lang w:val="en-US" w:eastAsia="zh-CN" w:bidi="ar"/>
        </w:rPr>
        <w:t>El 17 de octubre de 2023, de conformidad con los artículos Quinto y Décimo Séptimo Transitorios del citado Decreto del 1° de mayo de 2019, el Consejo de Coordinación para la Implementación de la Reforma al Sistema de Justicia Laboral aprobó el </w:t>
      </w:r>
      <w:r>
        <w:rPr>
          <w:rFonts w:hint="default" w:ascii="Arial" w:hAnsi="Arial" w:eastAsia="SimSun" w:cs="Arial"/>
          <w:i/>
          <w:iCs/>
          <w:caps w:val="0"/>
          <w:color w:val="000000"/>
          <w:spacing w:val="0"/>
          <w:kern w:val="0"/>
          <w:sz w:val="18"/>
          <w:szCs w:val="18"/>
          <w:shd w:val="clear" w:fill="FFFFFF"/>
          <w:lang w:val="en-US" w:eastAsia="zh-CN" w:bidi="ar"/>
        </w:rPr>
        <w:t>Acuerdo CCIRSJL17-17/10/2023, por el que se exhorta a la Secretaría del Trabajo y Previsión Social a realizar las acciones necesarias para gestionar ante las instancias competentes un programa de subsidios para el ejercicio fiscal 2024, dirigido a las entidades federativas, con el fin de consolidar la Reforma al Sistema de Justicia Laboral, atendiendo a la disponibilidad presupuestal y obedeciendo los principios de eficiencia, eficacia, economía, transparencia y honradez.</w:t>
      </w:r>
    </w:p>
    <w:p w14:paraId="4BB27D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IX. </w:t>
      </w:r>
      <w:r>
        <w:rPr>
          <w:rFonts w:hint="default" w:ascii="Arial" w:hAnsi="Arial" w:eastAsia="SimSun" w:cs="Arial"/>
          <w:i w:val="0"/>
          <w:iCs w:val="0"/>
          <w:caps w:val="0"/>
          <w:color w:val="000000"/>
          <w:spacing w:val="0"/>
          <w:kern w:val="0"/>
          <w:sz w:val="18"/>
          <w:szCs w:val="18"/>
          <w:shd w:val="clear" w:fill="FFFFFF"/>
          <w:lang w:val="en-US" w:eastAsia="zh-CN" w:bidi="ar"/>
        </w:rPr>
        <w:t>Con fecha 25 de noviembre de 2023, se publicó en el Diario Oficial de la Federación el Presupuesto de Egresos de la Federación para el Ejercicio Fiscal 2024; en el cual se asignaron a la Secretaría del Trabajo y Previsión Social los recursos suficientes para atender su estructura programática, entre las que se encuentra el </w:t>
      </w:r>
      <w:r>
        <w:rPr>
          <w:rFonts w:hint="default" w:ascii="Arial" w:hAnsi="Arial" w:eastAsia="SimSun" w:cs="Arial"/>
          <w:i/>
          <w:iCs/>
          <w:caps w:val="0"/>
          <w:color w:val="000000"/>
          <w:spacing w:val="0"/>
          <w:kern w:val="0"/>
          <w:sz w:val="18"/>
          <w:szCs w:val="18"/>
          <w:shd w:val="clear" w:fill="FFFFFF"/>
          <w:lang w:val="en-US" w:eastAsia="zh-CN" w:bidi="ar"/>
        </w:rPr>
        <w:t>Programa Presupuestario U 100 "Subsidios a las entidades federativas para la implementación de la Reforma al Sistema de Justicia Laboral"</w:t>
      </w:r>
      <w:r>
        <w:rPr>
          <w:rFonts w:hint="default" w:ascii="Arial" w:hAnsi="Arial" w:eastAsia="SimSun" w:cs="Arial"/>
          <w:i w:val="0"/>
          <w:iCs w:val="0"/>
          <w:caps w:val="0"/>
          <w:color w:val="000000"/>
          <w:spacing w:val="0"/>
          <w:kern w:val="0"/>
          <w:sz w:val="18"/>
          <w:szCs w:val="18"/>
          <w:shd w:val="clear" w:fill="FFFFFF"/>
          <w:lang w:val="en-US" w:eastAsia="zh-CN" w:bidi="ar"/>
        </w:rPr>
        <w:t>, que considera la asignación de un monto para coadyuvar con las entidades federativas en la implementación de la Reforma al Sistema de Justicia Laboral.</w:t>
      </w:r>
    </w:p>
    <w:p w14:paraId="39D6BC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w:t>
      </w:r>
      <w:r>
        <w:rPr>
          <w:rFonts w:hint="default" w:ascii="Arial" w:hAnsi="Arial" w:eastAsia="SimSun" w:cs="Arial"/>
          <w:i w:val="0"/>
          <w:iCs w:val="0"/>
          <w:caps w:val="0"/>
          <w:color w:val="000000"/>
          <w:spacing w:val="0"/>
          <w:kern w:val="0"/>
          <w:sz w:val="18"/>
          <w:szCs w:val="18"/>
          <w:shd w:val="clear" w:fill="FFFFFF"/>
          <w:lang w:val="en-US" w:eastAsia="zh-CN" w:bidi="ar"/>
        </w:rPr>
        <w:t> Derivado de la fracción anterior, el 30 de enero de 2024 se publicaron en el DOF los Lineamientos por los que se establecen las bases y requisitos que deberán cumplir las entidades federativas para acceder al subsidio para la creación, fortalecimiento y/o mejora de los Centros de Conciliación y Tribunales Laborales.</w:t>
      </w:r>
    </w:p>
    <w:p w14:paraId="3D6FDF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w:t>
      </w:r>
      <w:r>
        <w:rPr>
          <w:rFonts w:hint="default" w:ascii="Arial" w:hAnsi="Arial" w:eastAsia="SimSun" w:cs="Arial"/>
          <w:i w:val="0"/>
          <w:iCs w:val="0"/>
          <w:caps w:val="0"/>
          <w:color w:val="000000"/>
          <w:spacing w:val="0"/>
          <w:kern w:val="0"/>
          <w:sz w:val="18"/>
          <w:szCs w:val="18"/>
          <w:shd w:val="clear" w:fill="FFFFFF"/>
          <w:lang w:val="en-US" w:eastAsia="zh-CN" w:bidi="ar"/>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w:t>
      </w:r>
    </w:p>
    <w:p w14:paraId="026E34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000000"/>
          <w:spacing w:val="0"/>
          <w:kern w:val="0"/>
          <w:sz w:val="18"/>
          <w:szCs w:val="18"/>
          <w:shd w:val="clear" w:fill="FFFFFF"/>
          <w:lang w:val="en-US" w:eastAsia="zh-CN" w:bidi="ar"/>
        </w:rPr>
        <w:t> Identificar con precisión la población objetivo; b) Incorporar mecanismos periódicos de seguimiento, supervisión y evaluación; c) Prever la temporalidad en su otorgamiento y d) Reportar su ejercicio.</w:t>
      </w:r>
    </w:p>
    <w:p w14:paraId="1C386F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w:t>
      </w:r>
      <w:r>
        <w:rPr>
          <w:rFonts w:hint="default" w:ascii="Arial" w:hAnsi="Arial" w:eastAsia="SimSun" w:cs="Arial"/>
          <w:i w:val="0"/>
          <w:iCs w:val="0"/>
          <w:caps w:val="0"/>
          <w:color w:val="000000"/>
          <w:spacing w:val="0"/>
          <w:kern w:val="0"/>
          <w:sz w:val="18"/>
          <w:szCs w:val="18"/>
          <w:shd w:val="clear" w:fill="FFFFFF"/>
          <w:lang w:val="en-US" w:eastAsia="zh-CN" w:bidi="ar"/>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14:paraId="6BEE877D">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XIII. </w:t>
      </w:r>
      <w:r>
        <w:rPr>
          <w:rFonts w:hint="default" w:ascii="Arial" w:hAnsi="Arial" w:eastAsia="SimSun" w:cs="Arial"/>
          <w:i w:val="0"/>
          <w:iCs w:val="0"/>
          <w:caps w:val="0"/>
          <w:color w:val="000000"/>
          <w:spacing w:val="0"/>
          <w:kern w:val="0"/>
          <w:sz w:val="18"/>
          <w:szCs w:val="18"/>
          <w:shd w:val="clear" w:fill="FFFFFF"/>
          <w:lang w:val="en-US" w:eastAsia="zh-CN" w:bidi="ar"/>
        </w:rPr>
        <w:t>Que, del cumplimiento en tiempo y forma de los requisitos señalados en los Lineamientos, el Comité de Evaluación de Proyectos determinó aprobar el Proyecto presentado por el Estado de Tamaulipas, por lo que autorizó la cantidad de $2,458,828.88 (Dos millones cuatrocientos cincuenta y ocho mil ochocientos veintiocho pesos 88/100 M.N.) para el fortalecimiento y/o mejora de los Tribunales Laborales Locales.</w:t>
      </w:r>
    </w:p>
    <w:p w14:paraId="17A8311A">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XIV. </w:t>
      </w:r>
      <w:r>
        <w:rPr>
          <w:rFonts w:hint="default" w:ascii="Arial" w:hAnsi="Arial" w:eastAsia="SimSun" w:cs="Arial"/>
          <w:i w:val="0"/>
          <w:iCs w:val="0"/>
          <w:caps w:val="0"/>
          <w:color w:val="000000"/>
          <w:spacing w:val="0"/>
          <w:kern w:val="0"/>
          <w:sz w:val="18"/>
          <w:szCs w:val="18"/>
          <w:shd w:val="clear" w:fill="FFFFFF"/>
          <w:lang w:val="en-US" w:eastAsia="zh-CN" w:bidi="ar"/>
        </w:rPr>
        <w:t>Dicha situación se notificó a la entidad federativa mediante resolución del Comité de Evaluación de Proyectos el 31 de mayo de 2024, por lo que, en cumplimiento con lo establecido en el numeral Décimo noveno, Vigésimo tercero y Vigésimo cuarto de los Lineamientos, se celebra el presente instrumento para la transferencia de los recursos referidos en la fracción anterior.</w:t>
      </w:r>
    </w:p>
    <w:p w14:paraId="517A5BF5">
      <w:pPr>
        <w:keepNext w:val="0"/>
        <w:keepLines w:val="0"/>
        <w:widowControl/>
        <w:suppressLineNumbers w:val="0"/>
        <w:shd w:val="clear" w:fill="FFFFFF"/>
        <w:spacing w:before="101" w:beforeAutospacing="0" w:after="84"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14:paraId="3A2990A2">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"LA SECRETARÍA" declara que:</w:t>
      </w:r>
    </w:p>
    <w:p w14:paraId="0B73EBF7">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I.1. </w:t>
      </w:r>
      <w:r>
        <w:rPr>
          <w:rFonts w:hint="default" w:ascii="Arial" w:hAnsi="Arial" w:eastAsia="SimSun" w:cs="Arial"/>
          <w:i w:val="0"/>
          <w:iCs w:val="0"/>
          <w:caps w:val="0"/>
          <w:color w:val="000000"/>
          <w:spacing w:val="0"/>
          <w:kern w:val="0"/>
          <w:sz w:val="18"/>
          <w:szCs w:val="18"/>
          <w:shd w:val="clear" w:fill="FFFFFF"/>
          <w:lang w:val="en-US" w:eastAsia="zh-CN" w:bidi="ar"/>
        </w:rPr>
        <w:t>Es una dependencia de la Administración Pública Federal Centralizada, de conformidad con lo previsto</w:t>
      </w:r>
    </w:p>
    <w:p w14:paraId="49678CF3">
      <w:pPr>
        <w:keepNext w:val="0"/>
        <w:keepLines w:val="0"/>
        <w:widowControl/>
        <w:suppressLineNumbers w:val="0"/>
        <w:shd w:val="clear" w:fill="FFFFFF"/>
        <w:spacing w:after="84"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los artículos 90 de la Constitución Política de los Estados Unidos Mexicanos; 1°, 2° fracción I, 26, párrafo diecisiete y 40 de la Ley Orgánica de la Administración Pública Federal.</w:t>
      </w:r>
    </w:p>
    <w:p w14:paraId="4E9A86D0">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I.2. </w:t>
      </w:r>
      <w:r>
        <w:rPr>
          <w:rFonts w:hint="default" w:ascii="Arial" w:hAnsi="Arial" w:eastAsia="SimSun" w:cs="Arial"/>
          <w:i w:val="0"/>
          <w:iCs w:val="0"/>
          <w:caps w:val="0"/>
          <w:color w:val="000000"/>
          <w:spacing w:val="0"/>
          <w:kern w:val="0"/>
          <w:sz w:val="18"/>
          <w:szCs w:val="18"/>
          <w:shd w:val="clear" w:fill="FFFFFF"/>
          <w:lang w:val="en-US" w:eastAsia="zh-CN" w:bidi="ar"/>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14:paraId="42374124">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I.3. </w:t>
      </w:r>
      <w:r>
        <w:rPr>
          <w:rFonts w:hint="default" w:ascii="Arial" w:hAnsi="Arial" w:eastAsia="SimSun" w:cs="Arial"/>
          <w:i w:val="0"/>
          <w:iCs w:val="0"/>
          <w:caps w:val="0"/>
          <w:color w:val="000000"/>
          <w:spacing w:val="0"/>
          <w:kern w:val="0"/>
          <w:sz w:val="18"/>
          <w:szCs w:val="18"/>
          <w:shd w:val="clear" w:fill="FFFFFF"/>
          <w:lang w:val="en-US" w:eastAsia="zh-CN" w:bidi="ar"/>
        </w:rPr>
        <w:t>Tey Wendolyne Retana Alarcón, en su carácter de Titular de la Unidad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14:paraId="0C5F2B46">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I.4. </w:t>
      </w:r>
      <w:r>
        <w:rPr>
          <w:rFonts w:hint="default" w:ascii="Arial" w:hAnsi="Arial" w:eastAsia="SimSun" w:cs="Arial"/>
          <w:i w:val="0"/>
          <w:iCs w:val="0"/>
          <w:caps w:val="0"/>
          <w:color w:val="000000"/>
          <w:spacing w:val="0"/>
          <w:kern w:val="0"/>
          <w:sz w:val="18"/>
          <w:szCs w:val="18"/>
          <w:shd w:val="clear" w:fill="FFFFFF"/>
          <w:lang w:val="en-US" w:eastAsia="zh-CN" w:bidi="ar"/>
        </w:rPr>
        <w:t>Hanzel Homero Alvizar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14:paraId="7B1B3ACF">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I.5. </w:t>
      </w:r>
      <w:r>
        <w:rPr>
          <w:rFonts w:hint="default" w:ascii="Arial" w:hAnsi="Arial" w:eastAsia="SimSun" w:cs="Arial"/>
          <w:i w:val="0"/>
          <w:iCs w:val="0"/>
          <w:caps w:val="0"/>
          <w:color w:val="000000"/>
          <w:spacing w:val="0"/>
          <w:kern w:val="0"/>
          <w:sz w:val="18"/>
          <w:szCs w:val="18"/>
          <w:shd w:val="clear" w:fill="FFFFFF"/>
          <w:lang w:val="en-US" w:eastAsia="zh-CN" w:bidi="ar"/>
        </w:rPr>
        <w:t>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14:paraId="69137EDC">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I.6. </w:t>
      </w:r>
      <w:r>
        <w:rPr>
          <w:rFonts w:hint="default" w:ascii="Arial" w:hAnsi="Arial" w:eastAsia="SimSun" w:cs="Arial"/>
          <w:i w:val="0"/>
          <w:iCs w:val="0"/>
          <w:caps w:val="0"/>
          <w:color w:val="000000"/>
          <w:spacing w:val="0"/>
          <w:kern w:val="0"/>
          <w:sz w:val="18"/>
          <w:szCs w:val="18"/>
          <w:shd w:val="clear" w:fill="FFFFFF"/>
          <w:lang w:val="en-US" w:eastAsia="zh-CN" w:bidi="ar"/>
        </w:rPr>
        <w:t>Para efectos derivados del presente Convenio, señala como su domicilio el ubicado en Boulevard Adolfo López Mateos 1968, Colonia Los Alpes, Alcaldía Álvaro Obregón, Código Postal 01010, en la Ciudad de México.</w:t>
      </w:r>
    </w:p>
    <w:p w14:paraId="7FA7F7F0">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"EL GOBIERNO DEL ESTADO" declara que:</w:t>
      </w:r>
    </w:p>
    <w:p w14:paraId="25860385">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II.1.</w:t>
      </w:r>
      <w:r>
        <w:rPr>
          <w:rFonts w:hint="default" w:ascii="Arial" w:hAnsi="Arial" w:eastAsia="SimSun" w:cs="Arial"/>
          <w:i w:val="0"/>
          <w:iCs w:val="0"/>
          <w:caps w:val="0"/>
          <w:color w:val="000000"/>
          <w:spacing w:val="0"/>
          <w:kern w:val="0"/>
          <w:sz w:val="18"/>
          <w:szCs w:val="18"/>
          <w:shd w:val="clear" w:fill="FFFFFF"/>
          <w:lang w:val="en-US" w:eastAsia="zh-CN" w:bidi="ar"/>
        </w:rPr>
        <w:t> Con fundamento en los artículos 40, 41 primer párrafo, 42, fracción I, 43 y 116 de la Constitución Política de los Estados Unidos Mexicanos; así como el artículo 1 de la Constitución Política del Estado Tamaulipas, es un Estado libre y soberano en todo lo concerniente a su régimen interior y forma parte integrante de la Federación.</w:t>
      </w:r>
    </w:p>
    <w:p w14:paraId="62FAE9CD">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II.2.</w:t>
      </w:r>
      <w:r>
        <w:rPr>
          <w:rFonts w:hint="default" w:ascii="Arial" w:hAnsi="Arial" w:eastAsia="SimSun" w:cs="Arial"/>
          <w:i w:val="0"/>
          <w:iCs w:val="0"/>
          <w:caps w:val="0"/>
          <w:color w:val="000000"/>
          <w:spacing w:val="0"/>
          <w:kern w:val="0"/>
          <w:sz w:val="18"/>
          <w:szCs w:val="18"/>
          <w:shd w:val="clear" w:fill="FFFFFF"/>
          <w:lang w:val="en-US" w:eastAsia="zh-CN" w:bidi="ar"/>
        </w:rPr>
        <w:t> La C. Adriana Lozano Rodríguez, por disposición del Dr. Américo Villareal Anaya, Gobernador del Estado de Tamaulipas, fue designada el día 01 de octubre de 2022, como Secretaria de Finanzas del Poder Ejecutivo del Estado, por lo que cuenta con las atribuciones necesarias para participar, en el ámbito de su competencia, en la suscripción del presente instrumento jurídico, de conformidad con lo establecido por los artículos 93 de la Constitución Política del Estado de Tamaulipas, 13, 14, 21, 22 y 24 numeral 1 fracción III y 27 fracción XXVI de la Ley Orgánica de la Administración Pública del Estado de Tamaulipas, 10 fracción VI del Reglamento Interior de la Secretaría de Finanzas y 69 de la Ley General de Contabilidad Gubernamental.</w:t>
      </w:r>
    </w:p>
    <w:p w14:paraId="292E01D5">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II.3.</w:t>
      </w:r>
      <w:r>
        <w:rPr>
          <w:rFonts w:hint="default" w:ascii="Arial" w:hAnsi="Arial" w:eastAsia="SimSun" w:cs="Arial"/>
          <w:i w:val="0"/>
          <w:iCs w:val="0"/>
          <w:caps w:val="0"/>
          <w:color w:val="2F2F2F"/>
          <w:spacing w:val="0"/>
          <w:kern w:val="0"/>
          <w:sz w:val="18"/>
          <w:szCs w:val="18"/>
          <w:shd w:val="clear" w:fill="FFFFFF"/>
          <w:lang w:val="en-US" w:eastAsia="zh-CN" w:bidi="ar"/>
        </w:rPr>
        <w:t> David Cerda Zuñiga, Magistrado Presidente del Poder Judicial del Estado de Tamaulipas, cuenta con facultades para suscribir el presente instrumento jurídico en términos de lo dispuesto en los artículos 108 y 114 inciso A, fracción X de la Constitución Política del Estado Tamaulipas y 20 fracción X, 21 y 22, de la Ley Orgánica del Poder Judicial del Estado de Tamaulipas.</w:t>
      </w:r>
    </w:p>
    <w:p w14:paraId="7559A4D3">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II.4.</w:t>
      </w:r>
      <w:r>
        <w:rPr>
          <w:rFonts w:hint="default" w:ascii="Arial" w:hAnsi="Arial" w:eastAsia="SimSun" w:cs="Arial"/>
          <w:i w:val="0"/>
          <w:iCs w:val="0"/>
          <w:caps w:val="0"/>
          <w:color w:val="000000"/>
          <w:spacing w:val="0"/>
          <w:kern w:val="0"/>
          <w:sz w:val="18"/>
          <w:szCs w:val="18"/>
          <w:shd w:val="clear" w:fill="FFFFFF"/>
          <w:lang w:val="en-US" w:eastAsia="zh-CN" w:bidi="ar"/>
        </w:rPr>
        <w:t> Para los efectos del presente instrumento, tiene como domicilio legal el ubicado en Boulevard Praxedis Balboa, número 2207, en la Colonia Miguel Hidalgo, Ciudad Victoria en Tamaulipas, C.P.87090.</w:t>
      </w:r>
    </w:p>
    <w:p w14:paraId="39CF8EB4">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"LAS PARTES" declaran que:</w:t>
      </w:r>
    </w:p>
    <w:p w14:paraId="1A8D9837">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III.1. </w:t>
      </w:r>
      <w:r>
        <w:rPr>
          <w:rFonts w:hint="default" w:ascii="Arial" w:hAnsi="Arial" w:eastAsia="SimSun" w:cs="Arial"/>
          <w:i w:val="0"/>
          <w:iCs w:val="0"/>
          <w:caps w:val="0"/>
          <w:color w:val="000000"/>
          <w:spacing w:val="0"/>
          <w:kern w:val="0"/>
          <w:sz w:val="18"/>
          <w:szCs w:val="18"/>
          <w:shd w:val="clear" w:fill="FFFFFF"/>
          <w:lang w:val="en-US" w:eastAsia="zh-CN" w:bidi="ar"/>
        </w:rPr>
        <w:t>Reconocen en forma recíproca la personalidad con la que se ostentan y comparecen a la suscripción de este Convenio.</w:t>
      </w:r>
    </w:p>
    <w:p w14:paraId="4E45FB0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III.2. </w:t>
      </w:r>
      <w:r>
        <w:rPr>
          <w:rFonts w:hint="default" w:ascii="Arial" w:hAnsi="Arial" w:eastAsia="SimSun" w:cs="Arial"/>
          <w:i w:val="0"/>
          <w:iCs w:val="0"/>
          <w:caps w:val="0"/>
          <w:color w:val="000000"/>
          <w:spacing w:val="0"/>
          <w:kern w:val="0"/>
          <w:sz w:val="18"/>
          <w:szCs w:val="18"/>
          <w:shd w:val="clear" w:fill="FFFFFF"/>
          <w:lang w:val="en-US" w:eastAsia="zh-CN" w:bidi="ar"/>
        </w:rPr>
        <w:t>Es su voluntad conjuntar esfuerzos en sus respectivos ámbitos de gobierno, para impulsar y ejecutar acciones que tengan como eje central la consolidación de la reforma al sistema de justicia laboral.</w:t>
      </w:r>
    </w:p>
    <w:p w14:paraId="6AEFEFA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III.3. </w:t>
      </w:r>
      <w:r>
        <w:rPr>
          <w:rFonts w:hint="default" w:ascii="Arial" w:hAnsi="Arial" w:eastAsia="SimSun" w:cs="Arial"/>
          <w:i w:val="0"/>
          <w:iCs w:val="0"/>
          <w:caps w:val="0"/>
          <w:color w:val="000000"/>
          <w:spacing w:val="0"/>
          <w:kern w:val="0"/>
          <w:sz w:val="18"/>
          <w:szCs w:val="18"/>
          <w:shd w:val="clear" w:fill="FFFFFF"/>
          <w:lang w:val="en-US" w:eastAsia="zh-CN" w:bidi="ar"/>
        </w:rPr>
        <w:t>Están convencidas de la importancia de instrumentar, con prioridad, los mecanismos necesarios para la creación y fortalecimiento de los Tribunales Laborales de la entidad federativa, a fin de otorgar el servicio público de conciliación e impartición de justicia laboral, tal y como lo refiere el artículo 123, apartado A, fracción XX de la Constitución Federal.</w:t>
      </w:r>
    </w:p>
    <w:p w14:paraId="231CAE0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III.4. </w:t>
      </w:r>
      <w:r>
        <w:rPr>
          <w:rFonts w:hint="default" w:ascii="Arial" w:hAnsi="Arial" w:eastAsia="SimSun" w:cs="Arial"/>
          <w:i w:val="0"/>
          <w:iCs w:val="0"/>
          <w:caps w:val="0"/>
          <w:color w:val="000000"/>
          <w:spacing w:val="0"/>
          <w:kern w:val="0"/>
          <w:sz w:val="18"/>
          <w:szCs w:val="18"/>
          <w:shd w:val="clear" w:fill="FFFFFF"/>
          <w:lang w:val="en-US" w:eastAsia="zh-CN" w:bidi="ar"/>
        </w:rPr>
        <w:t>Consideran como acciones prioritarias para la consolidación de la reforma al sistema de justicia laboral dar seguimiento a los acuerdos que tome el CCIRSJL, así como atender los criterios que emita el Comité de Evaluación y transparentar todos los recursos devengados que se requieran para la adecuación o adaptación de inmuebles destinados a los Tribunales Laborales Locales.</w:t>
      </w:r>
    </w:p>
    <w:p w14:paraId="7F65074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III.5. </w:t>
      </w:r>
      <w:r>
        <w:rPr>
          <w:rFonts w:hint="default" w:ascii="Arial" w:hAnsi="Arial" w:eastAsia="SimSun" w:cs="Arial"/>
          <w:i w:val="0"/>
          <w:iCs w:val="0"/>
          <w:caps w:val="0"/>
          <w:color w:val="000000"/>
          <w:spacing w:val="0"/>
          <w:kern w:val="0"/>
          <w:sz w:val="18"/>
          <w:szCs w:val="18"/>
          <w:shd w:val="clear" w:fill="FFFFFF"/>
          <w:lang w:val="en-US" w:eastAsia="zh-CN" w:bidi="ar"/>
        </w:rPr>
        <w:t>Se obligan al cumplimiento de los preceptos establecidos en los Lineamientos y las leyes aplicables en la materia.</w:t>
      </w:r>
    </w:p>
    <w:p w14:paraId="5A803BE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Expuesto lo anterior, "LAS PARTES" sujetan su compromiso a la forma y términos que se establecen en las siguientes:</w:t>
      </w:r>
    </w:p>
    <w:p w14:paraId="7E93830B">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14:paraId="125439F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PRIMERA. </w:t>
      </w:r>
      <w:r>
        <w:rPr>
          <w:rFonts w:hint="default" w:ascii="Arial" w:hAnsi="Arial" w:eastAsia="SimSun" w:cs="Arial"/>
          <w:i w:val="0"/>
          <w:iCs w:val="0"/>
          <w:caps w:val="0"/>
          <w:color w:val="000000"/>
          <w:spacing w:val="0"/>
          <w:kern w:val="0"/>
          <w:sz w:val="18"/>
          <w:szCs w:val="18"/>
          <w:shd w:val="clear" w:fill="FFFFFF"/>
          <w:lang w:val="en-US" w:eastAsia="zh-CN" w:bidi="ar"/>
        </w:rPr>
        <w:t>OBJETO. El presente Convenio de Coordinación tiene por objeto el otorgamiento de los recursos autorizados al Estado de Tamaulipas para la creación, fortalecimiento y/o mejora, a través de la creación de Tribunales Laborales a cargo del Poder Judicial de la entidad federativa para la resolución de los conflictos entre trabajadores y patrones.</w:t>
      </w:r>
    </w:p>
    <w:p w14:paraId="6C0D817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SEGUNDA. </w:t>
      </w:r>
      <w:r>
        <w:rPr>
          <w:rFonts w:hint="default" w:ascii="Arial" w:hAnsi="Arial" w:eastAsia="SimSun" w:cs="Arial"/>
          <w:i w:val="0"/>
          <w:iCs w:val="0"/>
          <w:caps w:val="0"/>
          <w:color w:val="000000"/>
          <w:spacing w:val="0"/>
          <w:kern w:val="0"/>
          <w:sz w:val="18"/>
          <w:szCs w:val="18"/>
          <w:shd w:val="clear" w:fill="FFFFFF"/>
          <w:lang w:val="en-US" w:eastAsia="zh-CN" w:bidi="ar"/>
        </w:rPr>
        <w:t>ASIGNACIÓN DE LOS RECURSOS. Para el cumplimiento del objeto señalado en la cláusula anterior, "LA SECRETARÍA" asignará la cantidad de $2,458,828.88 (Dos millones cuatrocientos cincuenta y ocho mil ochocientos veintiocho pesos 88/100 M.N.) correspondientes al recurso autorizado por el Comité de Evaluación de Proyectos, los cuales serán destinados para la creación, fortalecimiento y/o mejora de los Tribunales Laborales Locales.</w:t>
      </w:r>
    </w:p>
    <w:p w14:paraId="6DB890C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ejecución del Proyecto y el ejercicio de los recursos serán responsabilidad del Poder Judicial del Estado.</w:t>
      </w:r>
    </w:p>
    <w:p w14:paraId="4F0DAD9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recursos federales se radicarán a "EL GOBIERNO DEL ESTADO", a través de su Secretaría de Finanzas,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61"/>
        <w:gridCol w:w="6205"/>
      </w:tblGrid>
      <w:tr w14:paraId="1619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6"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F47C77E">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AD6305B">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810</w:t>
            </w:r>
          </w:p>
        </w:tc>
      </w:tr>
      <w:tr w14:paraId="04A9F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3C9AAAD">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8629B9A">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BBVA México, S.A. Institución de Banca Múltiple, Grupo Financiero BBVA México</w:t>
            </w:r>
          </w:p>
        </w:tc>
      </w:tr>
      <w:tr w14:paraId="7B573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C86E661">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8A240D1">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0123279383</w:t>
            </w:r>
          </w:p>
        </w:tc>
      </w:tr>
      <w:tr w14:paraId="08E5A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F67E7C3">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C950E4B">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012810001232793838</w:t>
            </w:r>
          </w:p>
        </w:tc>
      </w:tr>
      <w:tr w14:paraId="2E66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9577F9A">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D6EB100">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SFG210216AJ9</w:t>
            </w:r>
          </w:p>
        </w:tc>
      </w:tr>
      <w:tr w14:paraId="1EE8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8"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62873FF">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E2267D1">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Palacio de Gobierno piso 1, sin número, Colonia Centro, Ciudad Victoria Tamaulipas, C.P. 87000</w:t>
            </w:r>
          </w:p>
        </w:tc>
      </w:tr>
    </w:tbl>
    <w:p w14:paraId="2AB012BD">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60F1837A">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conforme a lo que dispone el numeral Tercero de los Lineamientos, el Poder Judicial será beneficiario de los recursos otorgados. Por lo anterior, la Secretaría Finanzas del Poder Ejecutivo del Estado de Tamaulipas, se compromete a transferir en un plazo no mayor a diez días hábiles contados a partir de la ministración del recurso por parte de "LA SECRETARÍA", al Poder Judicial del estado la cantidad requerida, en la cuenta aperturada conforme a lo que establece el numeral Vigésimo segundo, inciso b, y que se identifican con los siguientes datos:</w:t>
      </w:r>
    </w:p>
    <w:p w14:paraId="4239B402">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el proyecto de los Tribunales Laborales: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59"/>
        <w:gridCol w:w="6207"/>
      </w:tblGrid>
      <w:tr w14:paraId="6CB0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62FB15B">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6A4437C">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810</w:t>
            </w:r>
          </w:p>
        </w:tc>
      </w:tr>
      <w:tr w14:paraId="321CC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3"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1C50A77">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C6EC9F6">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Banco Mercantil del Norte, S.A. Institución de Banca Múltiple, Grupo Financiero Banorte</w:t>
            </w:r>
          </w:p>
        </w:tc>
      </w:tr>
      <w:tr w14:paraId="3DBB9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7CCE3C4">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C921847">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1274455550</w:t>
            </w:r>
          </w:p>
        </w:tc>
      </w:tr>
      <w:tr w14:paraId="76A15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0CD22C8">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30E52AC">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072810012744555506</w:t>
            </w:r>
          </w:p>
        </w:tc>
      </w:tr>
      <w:tr w14:paraId="0330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765535B">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42C7663">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STJ2102162N6</w:t>
            </w:r>
          </w:p>
        </w:tc>
      </w:tr>
      <w:tr w14:paraId="3FC9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8"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667A6FB">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25400D3">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Boulevard Praxedis Balboa, número 2207, Colonia Miguel Hidalgo, Ciudad Victoria Tamaulipas C.P. 87090</w:t>
            </w:r>
          </w:p>
        </w:tc>
      </w:tr>
    </w:tbl>
    <w:p w14:paraId="68457FF4">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Es un requisito indispensable que "EL GOBIERNO DEL ESTADO" remita, a través de su Secretaría de Finanzas, a "LA SECRETARÍA" la solicitud de transferencia de recursos con los requisitos señalados en el numeral Vigésimo quinto, de los Lineamientos.</w:t>
      </w:r>
    </w:p>
    <w:p w14:paraId="61C92DE2">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Posteriormente, dentro de los diez días naturales siguientes a la transferencia de los recursos "EL GOBIERNO DEL ESTADO" deberá emitir el recibo electrónico correspondiente por el monto depositado, mismo que deberá estar validado por el Secretario de Finanzas, cumplir con los requisitos establecidos en el artículo 29-A del Código Fiscal de la Federación y enviarlo a "LA SECRETARÍA" vía correo electrónico a la dirección reforma.laboral@stps.gob.mx, así como adjuntarlo en la Plataforma.</w:t>
      </w:r>
    </w:p>
    <w:p w14:paraId="59BAFF61">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"LA SECRETARÍA", la radicación de los recursos federales genera los momentos contables del gasto devengado, ejercido y pagado, en términos del artículo 4, fracciones XIV, XV, XVI y XVII de la Ley General de Contabilidad Gubernamental.</w:t>
      </w:r>
    </w:p>
    <w:p w14:paraId="21E78FF0">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14:paraId="4FE34944">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recursos asignados a la entidad federativa se encuentran sujetos a su disponibilidad, en términos del Presupuesto de Egresos de la Federación 2024,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14:paraId="2AD3BA65">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14:paraId="545394B0">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14:paraId="49E6E942">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TERCERA. </w:t>
      </w:r>
      <w:r>
        <w:rPr>
          <w:rFonts w:hint="default" w:ascii="Arial" w:hAnsi="Arial" w:eastAsia="SimSun" w:cs="Arial"/>
          <w:i w:val="0"/>
          <w:iCs w:val="0"/>
          <w:caps w:val="0"/>
          <w:color w:val="000000"/>
          <w:spacing w:val="0"/>
          <w:kern w:val="0"/>
          <w:sz w:val="18"/>
          <w:szCs w:val="18"/>
          <w:shd w:val="clear" w:fill="FFFFFF"/>
          <w:lang w:val="en-US" w:eastAsia="zh-CN" w:bidi="ar"/>
        </w:rPr>
        <w:t>COMPROMISO DE "LAS PARTES". Además de lo previsto en los Lineamientos, para la realización del objeto del presente Convenio, "LAS PARTES" se comprometen a lo siguiente:</w:t>
      </w:r>
    </w:p>
    <w:p w14:paraId="783AE6FE">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Otorgar todas las facilidades para la rendición de cuentas, respecto a la utilización de los recursos aportados por el Gobierno Federal, así como de la planeación, asistencia técnica y, en su caso, los recursos aportados por el Gobierno Estatal.</w:t>
      </w:r>
    </w:p>
    <w:p w14:paraId="53ADEEE2">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Apegarse a lo establecido en la LFPRH, su Reglamento y demás legislación aplicable en materia de subsidios.</w:t>
      </w:r>
    </w:p>
    <w:p w14:paraId="6A09BCE9">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Atender todos los acuerdos del Consejo de Coordinación para la Implementación de la Reforma al Sistema de Justicia Laboral y los que deriven de las Reuniones de coordinación para la implementación de la reforma al Sistema de Justicia Laboral.</w:t>
      </w:r>
    </w:p>
    <w:p w14:paraId="2E01EEB9">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CUARTA. </w:t>
      </w:r>
      <w:r>
        <w:rPr>
          <w:rFonts w:hint="default" w:ascii="Arial" w:hAnsi="Arial" w:eastAsia="SimSun" w:cs="Arial"/>
          <w:i w:val="0"/>
          <w:iCs w:val="0"/>
          <w:caps w:val="0"/>
          <w:color w:val="000000"/>
          <w:spacing w:val="0"/>
          <w:kern w:val="0"/>
          <w:sz w:val="18"/>
          <w:szCs w:val="18"/>
          <w:shd w:val="clear" w:fill="FFFFFF"/>
          <w:lang w:val="en-US" w:eastAsia="zh-CN" w:bidi="ar"/>
        </w:rPr>
        <w:t>COMPROMISOS DE "LA SECRETARÍA". "LA SECRETARÍA", se obliga a:</w:t>
      </w:r>
    </w:p>
    <w:p w14:paraId="0A0B5E54">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Otorgar los recursos públicos federales por concepto de subsidios objeto del presente Convenio, para la ejecución de los Proyectos a que se refieren las CLÁUSULAS PRIMERA y SEGUNDA, conforme a lo aprobado por el Comité de Evaluación, hasta dentro de los veinte días hábiles siguientes al envío de la solicitud de transferencia de recursos, conforme a lo dispuesto en el numeral Vigésimo séptimo de los Lineamientos.</w:t>
      </w:r>
    </w:p>
    <w:p w14:paraId="3EF22599">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los registros correspondientes en la Cuenta Pública Federal y en los demás informes sobre el ejercicio del gasto público, a efecto de informar sobre la aplicación de los subsidios otorgados en el marco del presente instrumento.</w:t>
      </w:r>
    </w:p>
    <w:p w14:paraId="7C466BDB">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Informar sobre los resultados obtenidos con la aplicación de los recursos presupuestarios federales que se proporcionarán en el marco de este instrumento.</w:t>
      </w:r>
    </w:p>
    <w:p w14:paraId="4CDD898B">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Publicar en el DOF el presente Convenio, una vez firmado por "LAS PARTES", para los efectos legales conducentes.</w:t>
      </w:r>
    </w:p>
    <w:p w14:paraId="51696075">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QUINTA. </w:t>
      </w:r>
      <w:r>
        <w:rPr>
          <w:rFonts w:hint="default" w:ascii="Arial" w:hAnsi="Arial" w:eastAsia="SimSun" w:cs="Arial"/>
          <w:i w:val="0"/>
          <w:iCs w:val="0"/>
          <w:caps w:val="0"/>
          <w:color w:val="000000"/>
          <w:spacing w:val="0"/>
          <w:kern w:val="0"/>
          <w:sz w:val="18"/>
          <w:szCs w:val="18"/>
          <w:shd w:val="clear" w:fill="FFFFFF"/>
          <w:lang w:val="en-US" w:eastAsia="zh-CN" w:bidi="ar"/>
        </w:rPr>
        <w:t>COMPROMISOS DE "EL GOBIERNO DEL ESTADO". "EL GOBIERNO DEL ESTADO" se compromete a:</w:t>
      </w:r>
    </w:p>
    <w:p w14:paraId="5DFF0BF9">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Destinar por conducto del Poder Judicial del estado, los recursos asignados vía subsidio exclusivamente para los fines previstos en las CLÁUSULAS PRIMERA y SEGUNDA.</w:t>
      </w:r>
    </w:p>
    <w:p w14:paraId="396B3DAC">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Ejercer el recurso federal de conformidad con lo establecido en el Proyecto presentado, a más tardar el 30 de noviembre de 2024.</w:t>
      </w:r>
    </w:p>
    <w:p w14:paraId="067239C9">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Iniciar las acciones para dar cumplimiento a los objetivos y metas definidas en el Proyecto presentado y en el Plan calendarizado, una vez que se firme el presente Convenio.</w:t>
      </w:r>
    </w:p>
    <w:p w14:paraId="038D76A5">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por conducto del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 Asimismo, no se deberán adquirir cantidades superiores de los bienes y/o servicios autorizados por el Comité, aun cuando los precios unitarios a la adjudicación sean menores en comparación con los precios unitarios del proyecto autorizado, ni tampoco adquirir bienes o servicios no contemplados en el proyecto autorizado por el Comité, salvo por lo previsto en el segundo párrafo del numeral Cuarto de los Lineamientos.</w:t>
      </w:r>
    </w:p>
    <w:p w14:paraId="5D340231">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14:paraId="47B54003">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14:paraId="56E336A7">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Recabar, resguardar y conservar la documentación justificativa y comprobatoria de las erogaciones cubiertas con los recursos federales que le sean entregados por concepto de subsidios.</w:t>
      </w:r>
    </w:p>
    <w:p w14:paraId="28A6E1B4">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los registros correspondientes en la contabilidad y en la Cuenta Pública local, conforme sean devengados y ejercidos los recursos, y dar cumplimiento a las disposiciones federales aplicables respecto de la administración de éstos.</w:t>
      </w:r>
    </w:p>
    <w:p w14:paraId="74417CD2">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Integrar y resguardar los expedientes relacionados con la ejecución y comprobación de los Proyectos financiados con los recursos otorgados objeto del presente instrumento.</w:t>
      </w:r>
    </w:p>
    <w:p w14:paraId="494FE959">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Reportar trimestralmente por rubro, conforme al Plan calendarizado lo siguiente:</w:t>
      </w:r>
    </w:p>
    <w:p w14:paraId="2A479F30">
      <w:pPr>
        <w:keepNext w:val="0"/>
        <w:keepLines w:val="0"/>
        <w:widowControl/>
        <w:suppressLineNumbers w:val="0"/>
        <w:shd w:val="clear" w:fill="FFFFFF"/>
        <w:spacing w:after="84"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información sobre el ejercicio, destino y resultados obtenidos con los recursos del subsidio;</w:t>
      </w:r>
    </w:p>
    <w:p w14:paraId="564C344D">
      <w:pPr>
        <w:keepNext w:val="0"/>
        <w:keepLines w:val="0"/>
        <w:widowControl/>
        <w:suppressLineNumbers w:val="0"/>
        <w:shd w:val="clear" w:fill="FFFFFF"/>
        <w:spacing w:after="84"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disponibilidad financiera con la que cuente y el recurso del subsidio autorizado, comprometido, devengado, ejercido pagado y disponible el cual deberá ser validado por la Secretaría de Finanzas y soportado con la documentación inherente al Proyecto que corresponda (creación, fortalecimiento y/o mejora de los Tribunales Laborales Locales).</w:t>
      </w:r>
    </w:p>
    <w:p w14:paraId="31F82580">
      <w:pPr>
        <w:keepNext w:val="0"/>
        <w:keepLines w:val="0"/>
        <w:widowControl/>
        <w:suppressLineNumbers w:val="0"/>
        <w:shd w:val="clear" w:fill="FFFFFF"/>
        <w:spacing w:after="84"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instrumentos contractuales correspondientes a los procesos de adjudicación realizados en el periodo reportado.</w:t>
      </w:r>
    </w:p>
    <w:p w14:paraId="510F5A60">
      <w:pPr>
        <w:keepNext w:val="0"/>
        <w:keepLines w:val="0"/>
        <w:widowControl/>
        <w:suppressLineNumbers w:val="0"/>
        <w:shd w:val="clear" w:fill="FFFFFF"/>
        <w:spacing w:after="84"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comprobantes fiscales en términos de las leyes aplicables y la verificación de estos en la página de Sistema de Administración Tributaria (SAT).</w:t>
      </w:r>
    </w:p>
    <w:p w14:paraId="31990431">
      <w:pPr>
        <w:keepNext w:val="0"/>
        <w:keepLines w:val="0"/>
        <w:widowControl/>
        <w:suppressLineNumbers w:val="0"/>
        <w:shd w:val="clear" w:fill="FFFFFF"/>
        <w:spacing w:after="84"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estados de cuenta bancarios del periodo reportado.</w:t>
      </w:r>
    </w:p>
    <w:p w14:paraId="47DC5766">
      <w:pPr>
        <w:keepNext w:val="0"/>
        <w:keepLines w:val="0"/>
        <w:widowControl/>
        <w:suppressLineNumbers w:val="0"/>
        <w:shd w:val="clear" w:fill="FFFFFF"/>
        <w:spacing w:after="84"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grado de avance de los Proyectos medidos con base en las metas e indicadores que se muestren en el formato de la Plataforma que "LA SECRETARÍA" habilite para tal fin.</w:t>
      </w:r>
    </w:p>
    <w:p w14:paraId="170CF98F">
      <w:pPr>
        <w:keepNext w:val="0"/>
        <w:keepLines w:val="0"/>
        <w:widowControl/>
        <w:suppressLineNumbers w:val="0"/>
        <w:shd w:val="clear" w:fill="FFFFFF"/>
        <w:spacing w:after="84"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reportes también deberán hacer mención del avance del Proyecto con su debido soporte documental.</w:t>
      </w:r>
    </w:p>
    <w:p w14:paraId="315A3FB7">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14:paraId="0A181937">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 términos de los Lineamientos, presentar a "LA SECRETARÍA", a más tardar el 15 de diciembre de 2024, el acta de cierre del Proyecto, firmada de manera autógrafa por las autoridades responsables, la cual deberá cumplir con los requisitos que se establecen en el numeral Trigésimo octavo, inciso p, de los Lineamientos.</w:t>
      </w:r>
    </w:p>
    <w:p w14:paraId="0E35825B">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Informar a "LA SECRETARÍA" el cambio de los servidores públicos con injerencia directa en la aplicación de los Lineamientos, que se realice en la entidad federativa hasta el 15 de diciembre de 2024,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14:paraId="347916D9">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Notificar a "LA SECRETARÍA" sobre cualquier cambio de la persona designada como Enlace, así como del personal responsable del seguimiento del Subsidio, en un plazo no mayor a 5 días hábiles contados a partir del cambio correspondiente, proporcionando los datos de contacto de quien asumirá dichas funciones.</w:t>
      </w:r>
    </w:p>
    <w:p w14:paraId="58CFD24D">
      <w:pPr>
        <w:keepNext w:val="0"/>
        <w:keepLines w:val="0"/>
        <w:widowControl/>
        <w:suppressLineNumbers w:val="0"/>
        <w:shd w:val="clear" w:fill="FFFFFF"/>
        <w:spacing w:after="8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Cumplir y observar en todo momento las disposiciones de la LFPRH, el RLFPRH, el Presupuesto de Egresos de la Federación 2024, y demás legislación aplicable a la materia.</w:t>
      </w:r>
    </w:p>
    <w:p w14:paraId="5E2263FC">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SEXTA. </w:t>
      </w:r>
      <w:r>
        <w:rPr>
          <w:rFonts w:hint="default" w:ascii="Arial" w:hAnsi="Arial" w:eastAsia="SimSun" w:cs="Arial"/>
          <w:i w:val="0"/>
          <w:iCs w:val="0"/>
          <w:caps w:val="0"/>
          <w:color w:val="000000"/>
          <w:spacing w:val="0"/>
          <w:kern w:val="0"/>
          <w:sz w:val="18"/>
          <w:szCs w:val="18"/>
          <w:shd w:val="clear" w:fill="FFFFFF"/>
          <w:lang w:val="en-US" w:eastAsia="zh-CN" w:bidi="ar"/>
        </w:rPr>
        <w:t>ENLACES. Las o los servidores públicos que fungirán como enlaces entre "LAS PARTES" serán, por "EL GOBIERNO DEL ESTADO" el designado por el Presidente del Tribunal Superior de Justicia del Estado, y por "LA SECRETARÍA" la persona designada por la UERSJL.</w:t>
      </w:r>
    </w:p>
    <w:p w14:paraId="49BDEC8A">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 través de las personas designadas como enlaces se efectuarán todas las comunicaciones derivadas de la operación del presente Convenio de Coordinación, quienes serán responsables internos de las actividades encomendadas.</w:t>
      </w:r>
    </w:p>
    <w:p w14:paraId="5631B0DA">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del seguimiento y evaluación, "LAS PARTES" acuerdan que las y/o los enlaces podrán a su vez, designar a los funcionarios o personal del nivel jerárquico inmediato inferior, para que los asistan en las funciones encomendadas.</w:t>
      </w:r>
    </w:p>
    <w:p w14:paraId="526A556E">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SÉPTIMA. </w:t>
      </w:r>
      <w:r>
        <w:rPr>
          <w:rFonts w:hint="default" w:ascii="Arial" w:hAnsi="Arial" w:eastAsia="SimSun" w:cs="Arial"/>
          <w:i w:val="0"/>
          <w:iCs w:val="0"/>
          <w:caps w:val="0"/>
          <w:color w:val="000000"/>
          <w:spacing w:val="0"/>
          <w:kern w:val="0"/>
          <w:sz w:val="18"/>
          <w:szCs w:val="18"/>
          <w:shd w:val="clear" w:fill="FFFFFF"/>
          <w:lang w:val="en-US" w:eastAsia="zh-CN" w:bidi="ar"/>
        </w:rPr>
        <w:t>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14:paraId="743047C1">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reportes deberán presentarse dentro de los 10 días hábiles siguientes a la conclusión de cada trimestre, a partir de la fecha del depósito del recurso al que se refiere la CLÁUSULA SEGUNDA del presente Convenio.</w:t>
      </w:r>
    </w:p>
    <w:p w14:paraId="441FAD86">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lo anterior deberá atender lo dispuesto en el numeral Trigésimo octavo, inciso f, de los Lineamientos.</w:t>
      </w:r>
    </w:p>
    <w:p w14:paraId="7B846306">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no recibir los reportes de acuerdo con su plan calendarizado "LA SECRETARÍA", a través de la UERSJL, requerirá a la autoridad solicitante, que cumpla con esta obligación en un plazo no mayor a 3 días hábiles; de no hacerlo dicha omisión se hará del conocimiento del Comité de Evaluación para que éste determine lo conducente.</w:t>
      </w:r>
    </w:p>
    <w:p w14:paraId="4AD13E84">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OCTAVA. </w:t>
      </w:r>
      <w:r>
        <w:rPr>
          <w:rFonts w:hint="default" w:ascii="Arial" w:hAnsi="Arial" w:eastAsia="SimSun" w:cs="Arial"/>
          <w:i w:val="0"/>
          <w:iCs w:val="0"/>
          <w:caps w:val="0"/>
          <w:color w:val="000000"/>
          <w:spacing w:val="0"/>
          <w:kern w:val="0"/>
          <w:sz w:val="18"/>
          <w:szCs w:val="18"/>
          <w:shd w:val="clear" w:fill="FFFFFF"/>
          <w:lang w:val="en-US" w:eastAsia="zh-CN" w:bidi="ar"/>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2024, deberán ser reintegrados a la Tesorería de la Federación en términos de lo dispuesto en el capítulo X de los Lineamientos.</w:t>
      </w:r>
    </w:p>
    <w:p w14:paraId="43B53FA1">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NOVENA. </w:t>
      </w:r>
      <w:r>
        <w:rPr>
          <w:rFonts w:hint="default" w:ascii="Arial" w:hAnsi="Arial" w:eastAsia="SimSun" w:cs="Arial"/>
          <w:i w:val="0"/>
          <w:iCs w:val="0"/>
          <w:caps w:val="0"/>
          <w:color w:val="000000"/>
          <w:spacing w:val="0"/>
          <w:kern w:val="0"/>
          <w:sz w:val="18"/>
          <w:szCs w:val="18"/>
          <w:shd w:val="clear" w:fill="FFFFFF"/>
          <w:lang w:val="en-US" w:eastAsia="zh-CN" w:bidi="ar"/>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14:paraId="66BC38AD">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el caso de "LA SECRETARÍA", la documentación original que deberá conservar y que estará bajo su resguardo es la que señalan los numerales Quinto, Décimo cuarto, Décimo sexto, Vigésimo quinto, Trigésimo octavo, incisos f y p, de los Lineamientos.</w:t>
      </w:r>
    </w:p>
    <w:p w14:paraId="69CA2E21">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w:t>
      </w:r>
      <w:r>
        <w:rPr>
          <w:rFonts w:hint="default" w:ascii="Arial" w:hAnsi="Arial" w:eastAsia="SimSun" w:cs="Arial"/>
          <w:i w:val="0"/>
          <w:iCs w:val="0"/>
          <w:caps w:val="0"/>
          <w:color w:val="000000"/>
          <w:spacing w:val="0"/>
          <w:kern w:val="0"/>
          <w:sz w:val="18"/>
          <w:szCs w:val="18"/>
          <w:shd w:val="clear" w:fill="FFFFFF"/>
          <w:lang w:val="en-US" w:eastAsia="zh-CN" w:bidi="ar"/>
        </w:rPr>
        <w:t>REINTEGRO DE LOS RECURSOS. En caso de que "EL GOBIERNO DEL ESTADO" no erogue los recursos federales asignados, los recursos remanentes o saldos disponibles que presente al 30 de noviembre de 2024, deberá de notificarlo por escrito a la UERSJL de "LA SECRETARÍA" a más tardar el 01 de diciembre de 2024,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14:paraId="2C18FCEE">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 lo dispuesto en el párrafo anterior, "EL GOBIERNO DEL ESTADO" deberá requerir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2024, a través de los medios señalados en los Lineamientos.</w:t>
      </w:r>
    </w:p>
    <w:p w14:paraId="3F2BE04E">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"EL GOBIERNO DEL ESTADO" estará obligado a reintegrar a la Tesorería de la Federación aquellos recursos que no sean aplicados a los fines para los que le fueron autorizados.</w:t>
      </w:r>
    </w:p>
    <w:p w14:paraId="1003C74C">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reintegro de los recursos a la Tesorería de la Federación se regirá conforme a lo dispuesto en el capítulo X de los Lineamientos, la LFPRH, el RLFPRH y las demás disposiciones aplicables en la materia.</w:t>
      </w:r>
    </w:p>
    <w:p w14:paraId="171CA5F8">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PRIMERA. </w:t>
      </w:r>
      <w:r>
        <w:rPr>
          <w:rFonts w:hint="default" w:ascii="Arial" w:hAnsi="Arial" w:eastAsia="SimSun" w:cs="Arial"/>
          <w:i w:val="0"/>
          <w:iCs w:val="0"/>
          <w:caps w:val="0"/>
          <w:color w:val="000000"/>
          <w:spacing w:val="0"/>
          <w:kern w:val="0"/>
          <w:sz w:val="18"/>
          <w:szCs w:val="18"/>
          <w:shd w:val="clear" w:fill="FFFFFF"/>
          <w:lang w:val="en-US" w:eastAsia="zh-CN" w:bidi="ar"/>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14:paraId="2AFB8A4B">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SEGUNDA. </w:t>
      </w:r>
      <w:r>
        <w:rPr>
          <w:rFonts w:hint="default" w:ascii="Arial" w:hAnsi="Arial" w:eastAsia="SimSun" w:cs="Arial"/>
          <w:i w:val="0"/>
          <w:iCs w:val="0"/>
          <w:caps w:val="0"/>
          <w:color w:val="000000"/>
          <w:spacing w:val="0"/>
          <w:kern w:val="0"/>
          <w:sz w:val="18"/>
          <w:szCs w:val="18"/>
          <w:shd w:val="clear" w:fill="FFFFFF"/>
          <w:lang w:val="en-US" w:eastAsia="zh-CN" w:bidi="ar"/>
        </w:rPr>
        <w:t>SANCIONES POR EL INCUMPLIMIENTO. Cuando "LA SECRETARÍA" detecte incumplimiento en el desarrollo de los Proyectos presentados o inconsistencias en el ejercicio de los recursos, procederá conforme al numeral Trigésimo séptimo de los Lineamientos, y en su caso se dará por terminado el presente Convenio conforme a lo señalado en el capítulo IX de los Lineamientos.</w:t>
      </w:r>
    </w:p>
    <w:p w14:paraId="5752E772">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14:paraId="2ACFE468">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TERCERA. </w:t>
      </w:r>
      <w:r>
        <w:rPr>
          <w:rFonts w:hint="default" w:ascii="Arial" w:hAnsi="Arial" w:eastAsia="SimSun" w:cs="Arial"/>
          <w:i w:val="0"/>
          <w:iCs w:val="0"/>
          <w:caps w:val="0"/>
          <w:color w:val="000000"/>
          <w:spacing w:val="0"/>
          <w:kern w:val="0"/>
          <w:sz w:val="18"/>
          <w:szCs w:val="18"/>
          <w:shd w:val="clear" w:fill="FFFFFF"/>
          <w:lang w:val="en-US" w:eastAsia="zh-CN" w:bidi="ar"/>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14:paraId="299AEE1C">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14:paraId="71F3656F">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CUARTA. </w:t>
      </w:r>
      <w:r>
        <w:rPr>
          <w:rFonts w:hint="default" w:ascii="Arial" w:hAnsi="Arial" w:eastAsia="SimSun" w:cs="Arial"/>
          <w:i w:val="0"/>
          <w:iCs w:val="0"/>
          <w:caps w:val="0"/>
          <w:color w:val="000000"/>
          <w:spacing w:val="0"/>
          <w:kern w:val="0"/>
          <w:sz w:val="18"/>
          <w:szCs w:val="18"/>
          <w:shd w:val="clear" w:fill="FFFFFF"/>
          <w:lang w:val="en-US" w:eastAsia="zh-CN" w:bidi="ar"/>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14:paraId="76959CF5">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QUINTA. </w:t>
      </w:r>
      <w:r>
        <w:rPr>
          <w:rFonts w:hint="default" w:ascii="Arial" w:hAnsi="Arial" w:eastAsia="SimSun" w:cs="Arial"/>
          <w:i w:val="0"/>
          <w:iCs w:val="0"/>
          <w:caps w:val="0"/>
          <w:color w:val="000000"/>
          <w:spacing w:val="0"/>
          <w:kern w:val="0"/>
          <w:sz w:val="18"/>
          <w:szCs w:val="18"/>
          <w:shd w:val="clear" w:fill="FFFFFF"/>
          <w:lang w:val="en-US" w:eastAsia="zh-CN" w:bidi="ar"/>
        </w:rPr>
        <w:t>MODIFICACIONES O ADICIONES. Dentro de los primeros dos meses posteriores a la publicación del Convenio de Coordinación, y hasta en una ocasión "EL GOBIERNO DEL ESTADO" podrá solicitar a la UERSJL de "LA SECRETARÍA", se someta a consideración del Comité de Evaluación, la modificación del presente instrumento conforme a lo dispuesto en el numeral Vigésimo sexto de los Lineamientos.</w:t>
      </w:r>
    </w:p>
    <w:p w14:paraId="520AA792">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cambios a los Convenios de Coordinación que "EL GOBIERNO DEL ESTADO" pretenda realizar solo podrán llevarse a cabo bajo los siguientes supuestos:</w:t>
      </w:r>
    </w:p>
    <w:p w14:paraId="546C5661">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w:t>
      </w:r>
      <w:r>
        <w:rPr>
          <w:rFonts w:hint="default" w:ascii="Arial" w:hAnsi="Arial" w:eastAsia="SimSun" w:cs="Arial"/>
          <w:i w:val="0"/>
          <w:iCs w:val="0"/>
          <w:caps w:val="0"/>
          <w:color w:val="000000"/>
          <w:spacing w:val="0"/>
          <w:kern w:val="0"/>
          <w:sz w:val="18"/>
          <w:szCs w:val="18"/>
          <w:shd w:val="clear" w:fill="FFFFFF"/>
          <w:lang w:val="en-US" w:eastAsia="zh-CN" w:bidi="ar"/>
        </w:rPr>
        <w:t>La adición o eliminación de algún rubro en los Proyectos; y</w:t>
      </w:r>
    </w:p>
    <w:p w14:paraId="0B4D8C06">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w:t>
      </w:r>
      <w:r>
        <w:rPr>
          <w:rFonts w:hint="default" w:ascii="Arial" w:hAnsi="Arial" w:eastAsia="SimSun" w:cs="Arial"/>
          <w:i w:val="0"/>
          <w:iCs w:val="0"/>
          <w:caps w:val="0"/>
          <w:color w:val="000000"/>
          <w:spacing w:val="0"/>
          <w:kern w:val="0"/>
          <w:sz w:val="18"/>
          <w:szCs w:val="18"/>
          <w:shd w:val="clear" w:fill="FFFFFF"/>
          <w:lang w:val="en-US" w:eastAsia="zh-CN" w:bidi="ar"/>
        </w:rPr>
        <w:t>La modificación de los montos destinados a cada rubro de los diferentes Proyectos.</w:t>
      </w:r>
    </w:p>
    <w:p w14:paraId="6ED1EF1F">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deberán contemplar los objetivos establecidos en la Solicitud de acceso al subsidio.</w:t>
      </w:r>
    </w:p>
    <w:p w14:paraId="1FB0EBDC">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Convenios Modificatorios deberán presentarse al Comité para su evaluación y, de ser el caso, para la aprobación de los cambios correspondientes.</w:t>
      </w:r>
    </w:p>
    <w:p w14:paraId="5601BCD6">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Convenio modificatorio se publicará en el DOF en los términos del Lineamiento Vigésimo cuarto de los Lineamientos.</w:t>
      </w:r>
    </w:p>
    <w:p w14:paraId="4C9E23F8">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SEXTA. </w:t>
      </w:r>
      <w:r>
        <w:rPr>
          <w:rFonts w:hint="default" w:ascii="Arial" w:hAnsi="Arial" w:eastAsia="SimSun" w:cs="Arial"/>
          <w:i w:val="0"/>
          <w:iCs w:val="0"/>
          <w:caps w:val="0"/>
          <w:color w:val="000000"/>
          <w:spacing w:val="0"/>
          <w:kern w:val="0"/>
          <w:sz w:val="18"/>
          <w:szCs w:val="18"/>
          <w:shd w:val="clear" w:fill="FFFFFF"/>
          <w:lang w:val="en-US" w:eastAsia="zh-CN" w:bidi="ar"/>
        </w:rPr>
        <w:t>TERMINACIÓN ANTICIPADA. El presente Convenio de Coordinación podrá darse por terminado anticipadamente, cuando se presente alguno de los siguientes supuestos:</w:t>
      </w:r>
    </w:p>
    <w:p w14:paraId="7D6751E2">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w:t>
      </w:r>
      <w:r>
        <w:rPr>
          <w:rFonts w:hint="default" w:ascii="Arial" w:hAnsi="Arial" w:eastAsia="SimSun" w:cs="Arial"/>
          <w:i w:val="0"/>
          <w:iCs w:val="0"/>
          <w:caps w:val="0"/>
          <w:color w:val="000000"/>
          <w:spacing w:val="0"/>
          <w:kern w:val="0"/>
          <w:sz w:val="18"/>
          <w:szCs w:val="18"/>
          <w:shd w:val="clear" w:fill="FFFFFF"/>
          <w:lang w:val="en-US" w:eastAsia="zh-CN" w:bidi="ar"/>
        </w:rPr>
        <w:t>Por estar satisfecho el objeto para el que fue celebrado, siempre que no existan obligaciones pendientes de cumplir por "LAS PARTES" y, en su caso, se haya realizado el reintegro de los recursos y rendimientos financieros que procedan.</w:t>
      </w:r>
    </w:p>
    <w:p w14:paraId="6EE99C68">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w:t>
      </w:r>
      <w:r>
        <w:rPr>
          <w:rFonts w:hint="default" w:ascii="Arial" w:hAnsi="Arial" w:eastAsia="SimSun" w:cs="Arial"/>
          <w:i w:val="0"/>
          <w:iCs w:val="0"/>
          <w:caps w:val="0"/>
          <w:color w:val="000000"/>
          <w:spacing w:val="0"/>
          <w:kern w:val="0"/>
          <w:sz w:val="18"/>
          <w:szCs w:val="18"/>
          <w:shd w:val="clear" w:fill="FFFFFF"/>
          <w:lang w:val="en-US" w:eastAsia="zh-CN" w:bidi="ar"/>
        </w:rPr>
        <w:t>En caso de que no se subsanen las inconsistencias que haya detectado "LA SECRETARÍA" a través de la UERSJL en los reportes trimestrales que presente "EL GOBIERNO DEL ESTADO".</w:t>
      </w:r>
    </w:p>
    <w:p w14:paraId="47E1C363">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14:paraId="0AC6B5B0">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SÉPTIMA. </w:t>
      </w:r>
      <w:r>
        <w:rPr>
          <w:rFonts w:hint="default" w:ascii="Arial" w:hAnsi="Arial" w:eastAsia="SimSun" w:cs="Arial"/>
          <w:i w:val="0"/>
          <w:iCs w:val="0"/>
          <w:caps w:val="0"/>
          <w:color w:val="000000"/>
          <w:spacing w:val="0"/>
          <w:kern w:val="0"/>
          <w:sz w:val="18"/>
          <w:szCs w:val="18"/>
          <w:shd w:val="clear" w:fill="FFFFFF"/>
          <w:lang w:val="en-US" w:eastAsia="zh-CN" w:bidi="ar"/>
        </w:rPr>
        <w:t>VIGENCIA. El presente Convenio entrará en vigor a partir del día de su firma y permanecerá vigente hasta el 31 de diciembre de 2024.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14:paraId="6DFFD39D">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OCTAVA. </w:t>
      </w:r>
      <w:r>
        <w:rPr>
          <w:rFonts w:hint="default" w:ascii="Arial" w:hAnsi="Arial" w:eastAsia="SimSun" w:cs="Arial"/>
          <w:i w:val="0"/>
          <w:iCs w:val="0"/>
          <w:caps w:val="0"/>
          <w:color w:val="000000"/>
          <w:spacing w:val="0"/>
          <w:kern w:val="0"/>
          <w:sz w:val="18"/>
          <w:szCs w:val="18"/>
          <w:shd w:val="clear" w:fill="FFFFFF"/>
          <w:lang w:val="en-US" w:eastAsia="zh-CN" w:bidi="ar"/>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14:paraId="0DE7D05C">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NOVENA. </w:t>
      </w:r>
      <w:r>
        <w:rPr>
          <w:rFonts w:hint="default" w:ascii="Arial" w:hAnsi="Arial" w:eastAsia="SimSun" w:cs="Arial"/>
          <w:i w:val="0"/>
          <w:iCs w:val="0"/>
          <w:caps w:val="0"/>
          <w:color w:val="000000"/>
          <w:spacing w:val="0"/>
          <w:kern w:val="0"/>
          <w:sz w:val="18"/>
          <w:szCs w:val="18"/>
          <w:shd w:val="clear" w:fill="FFFFFF"/>
          <w:lang w:val="en-US" w:eastAsia="zh-CN" w:bidi="ar"/>
        </w:rPr>
        <w:t>TRANSPARENCIA. "LAS PARTES" se comprometen a cumplir con las disposiciones que establece la Ley General de Transparencia y Acceso a la Información Pública, la Ley Federal de Transparencia y Acceso a la Información Pública y su Reglamento.</w:t>
      </w:r>
    </w:p>
    <w:p w14:paraId="0DF99075">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14:paraId="1A209599">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acabo cualquier tipo de tratamiento sobre los mismos.</w:t>
      </w:r>
    </w:p>
    <w:p w14:paraId="70E5CF3B">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VIGÉSIMA. </w:t>
      </w:r>
      <w:r>
        <w:rPr>
          <w:rFonts w:hint="default" w:ascii="Arial" w:hAnsi="Arial" w:eastAsia="SimSun" w:cs="Arial"/>
          <w:i w:val="0"/>
          <w:iCs w:val="0"/>
          <w:caps w:val="0"/>
          <w:color w:val="000000"/>
          <w:spacing w:val="0"/>
          <w:kern w:val="0"/>
          <w:sz w:val="18"/>
          <w:szCs w:val="18"/>
          <w:shd w:val="clear" w:fill="FFFFFF"/>
          <w:lang w:val="en-US" w:eastAsia="zh-CN" w:bidi="ar"/>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y por medio de la Plataforma habilitada. Cualquier cambio de domicilio que "LAS PARTES" efectúen en lo sucesivo, lo deberán notificar por escrito y en forma indubitable a la otra Parte, por lo menos</w:t>
      </w:r>
    </w:p>
    <w:p w14:paraId="57C04DE6">
      <w:pPr>
        <w:keepNext w:val="0"/>
        <w:keepLines w:val="0"/>
        <w:widowControl/>
        <w:suppressLineNumbers w:val="0"/>
        <w:shd w:val="clear" w:fill="FFFFFF"/>
        <w:spacing w:after="84"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con 10 días hábiles de anticipación.</w:t>
      </w:r>
    </w:p>
    <w:p w14:paraId="6F7913E1">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Leído y ratificado el presente instrumento jurídico y enteradas "LAS PARTES" de su contenido, alcance y fuerza legal, lo suscriben en 6 ejemplares en la Ciudad de México, a los 31 días del mes de mayo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Por la Secretaría: Titular de la Unidad de Enlace para la Reforma al Sistema de Justicia Laboral, </w:t>
      </w:r>
      <w:r>
        <w:rPr>
          <w:rFonts w:hint="default" w:ascii="Arial" w:hAnsi="Arial" w:eastAsia="SimSun" w:cs="Arial"/>
          <w:b/>
          <w:bCs/>
          <w:i w:val="0"/>
          <w:iCs w:val="0"/>
          <w:caps w:val="0"/>
          <w:color w:val="2F2F2F"/>
          <w:spacing w:val="0"/>
          <w:kern w:val="0"/>
          <w:sz w:val="18"/>
          <w:szCs w:val="18"/>
          <w:shd w:val="clear" w:fill="FFFFFF"/>
          <w:lang w:val="en-US" w:eastAsia="zh-CN" w:bidi="ar"/>
        </w:rPr>
        <w:t>Tey Wendolyne Retana Alarcón</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Gobierno del Estado de Tamaulipas: Presidencia del Poder Judicial del Estado de Tamaulipas, </w:t>
      </w:r>
      <w:r>
        <w:rPr>
          <w:rFonts w:hint="default" w:ascii="Arial" w:hAnsi="Arial" w:eastAsia="SimSun" w:cs="Arial"/>
          <w:b/>
          <w:bCs/>
          <w:i w:val="0"/>
          <w:iCs w:val="0"/>
          <w:caps w:val="0"/>
          <w:color w:val="2F2F2F"/>
          <w:spacing w:val="0"/>
          <w:kern w:val="0"/>
          <w:sz w:val="18"/>
          <w:szCs w:val="18"/>
          <w:shd w:val="clear" w:fill="FFFFFF"/>
          <w:lang w:val="en-US" w:eastAsia="zh-CN" w:bidi="ar"/>
        </w:rPr>
        <w:t>David Cerda Zuñiga</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Secretaría de Finanzas del Gobierno del Estado de Tamaulipas, </w:t>
      </w:r>
      <w:r>
        <w:rPr>
          <w:rFonts w:hint="default" w:ascii="Arial" w:hAnsi="Arial" w:eastAsia="SimSun" w:cs="Arial"/>
          <w:b/>
          <w:bCs/>
          <w:i w:val="0"/>
          <w:iCs w:val="0"/>
          <w:caps w:val="0"/>
          <w:color w:val="2F2F2F"/>
          <w:spacing w:val="0"/>
          <w:kern w:val="0"/>
          <w:sz w:val="18"/>
          <w:szCs w:val="18"/>
          <w:shd w:val="clear" w:fill="FFFFFF"/>
          <w:lang w:val="en-US" w:eastAsia="zh-CN" w:bidi="ar"/>
        </w:rPr>
        <w:t>Adriana Lozano Rodriguez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0ECDDEB8"/>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A63B8"/>
    <w:rsid w:val="10BA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2024-07-02T15:08:00Z</dcterms:created>
  <dc:creator>Nancy.escutia</dc:creator>
  <cp:lastModifiedBy>Nancy Guadalupe Escutia Báez</cp:lastModifiedBy>
  <dcterms:modified xsi:type="dcterms:W3CDTF">2024-07-02T15:09:54Z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827C7712F5D74964A0CFF979834532D2_11</vt:lpwstr>
  </property>
</Properties>
</file>