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06B" w:rsidRDefault="007B706B" w:rsidP="007B706B">
      <w:pPr>
        <w:jc w:val="center"/>
        <w:rPr>
          <w:rFonts w:ascii="Verdana" w:eastAsia="Verdana" w:hAnsi="Verdana" w:cs="Verdana"/>
          <w:b/>
          <w:color w:val="0000FF"/>
          <w:sz w:val="24"/>
          <w:szCs w:val="24"/>
        </w:rPr>
      </w:pPr>
      <w:r w:rsidRPr="007B706B">
        <w:rPr>
          <w:rFonts w:ascii="Verdana" w:eastAsia="Verdana" w:hAnsi="Verdana" w:cs="Verdana"/>
          <w:b/>
          <w:color w:val="0000FF"/>
          <w:sz w:val="24"/>
          <w:szCs w:val="24"/>
        </w:rPr>
        <w:t>CONVENIO de Colaboración para facilitar la práctica de diligencias por medios electrónicos que celebran el Consejo de la Judicatura Federal y el Órgano Administrativo Desconcentrado de Prevención y Readaptación Social.</w:t>
      </w:r>
      <w:r>
        <w:rPr>
          <w:rFonts w:ascii="Verdana" w:eastAsia="Verdana" w:hAnsi="Verdana" w:cs="Verdana"/>
          <w:b/>
          <w:color w:val="0000FF"/>
          <w:sz w:val="24"/>
          <w:szCs w:val="24"/>
        </w:rPr>
        <w:br/>
        <w:t>(DOF del 17</w:t>
      </w:r>
      <w:r w:rsidRPr="000B0847">
        <w:rPr>
          <w:rFonts w:ascii="Verdana" w:eastAsia="Verdana" w:hAnsi="Verdana" w:cs="Verdana"/>
          <w:b/>
          <w:color w:val="0000FF"/>
          <w:sz w:val="24"/>
          <w:szCs w:val="24"/>
        </w:rPr>
        <w:t xml:space="preserve"> de septiembre de 2021)</w:t>
      </w:r>
    </w:p>
    <w:p w:rsidR="007B706B" w:rsidRDefault="007B706B" w:rsidP="007B706B">
      <w:pPr>
        <w:jc w:val="center"/>
        <w:rPr>
          <w:rFonts w:ascii="Verdana" w:eastAsia="Verdana" w:hAnsi="Verdana" w:cs="Verdana"/>
          <w:b/>
          <w:color w:val="0000FF"/>
          <w:sz w:val="24"/>
          <w:szCs w:val="24"/>
        </w:rPr>
      </w:pPr>
    </w:p>
    <w:p w:rsidR="00B32171" w:rsidRDefault="007B706B" w:rsidP="007B706B">
      <w:pPr>
        <w:jc w:val="both"/>
        <w:rPr>
          <w:b/>
          <w:color w:val="404040" w:themeColor="text1" w:themeTint="BF"/>
          <w:sz w:val="18"/>
          <w:szCs w:val="18"/>
        </w:rPr>
      </w:pPr>
      <w:r w:rsidRPr="007B706B">
        <w:rPr>
          <w:b/>
          <w:color w:val="404040" w:themeColor="text1" w:themeTint="BF"/>
          <w:sz w:val="18"/>
          <w:szCs w:val="18"/>
        </w:rPr>
        <w:t>Al margen un sello con el Escudo Nacional, que dice: Estados Unidos Mexicanos.- Consejo de la Judicatura Federal.- Dirección General de Asuntos Jurídicos.</w:t>
      </w:r>
    </w:p>
    <w:p w:rsidR="007B706B" w:rsidRPr="007B706B" w:rsidRDefault="007B706B" w:rsidP="007B706B">
      <w:pPr>
        <w:shd w:val="clear" w:color="auto" w:fill="FFFFFF"/>
        <w:spacing w:line="240" w:lineRule="auto"/>
        <w:ind w:firstLine="288"/>
        <w:jc w:val="both"/>
        <w:rPr>
          <w:rFonts w:eastAsia="Times New Roman"/>
          <w:color w:val="2F2F2F"/>
          <w:sz w:val="16"/>
          <w:szCs w:val="16"/>
          <w:lang w:val="es-MX"/>
        </w:rPr>
      </w:pPr>
      <w:r w:rsidRPr="007B706B">
        <w:rPr>
          <w:rFonts w:eastAsia="Times New Roman"/>
          <w:color w:val="2F2F2F"/>
          <w:sz w:val="16"/>
          <w:szCs w:val="16"/>
          <w:lang w:val="es-MX"/>
        </w:rPr>
        <w:t>CONVENIO DE COLABORACIÓN PARA FACILITAR LA PRÁCTICA DE DILIGENCIAS POR MEDIOS ELECTRÓNICOS QUE CELEBRAN POR UNA PARTE EL CONSEJO DE LA JUDICATURA FEDERAL Y POR LA OTRA EL ÓRGANO ADMINISTRATIVO DESCONCENTRADO DE PREVENCIÓN Y READAPTACIÓN SOCIAL.</w:t>
      </w:r>
    </w:p>
    <w:p w:rsidR="007B706B" w:rsidRPr="007B706B" w:rsidRDefault="007B706B" w:rsidP="007B706B">
      <w:pPr>
        <w:shd w:val="clear" w:color="auto" w:fill="FFFFFF"/>
        <w:spacing w:line="240" w:lineRule="auto"/>
        <w:ind w:firstLine="288"/>
        <w:jc w:val="both"/>
        <w:rPr>
          <w:rFonts w:eastAsia="Times New Roman"/>
          <w:color w:val="2F2F2F"/>
          <w:sz w:val="16"/>
          <w:szCs w:val="16"/>
          <w:lang w:val="es-MX"/>
        </w:rPr>
      </w:pPr>
      <w:r w:rsidRPr="007B706B">
        <w:rPr>
          <w:rFonts w:eastAsia="Times New Roman"/>
          <w:color w:val="2F2F2F"/>
          <w:sz w:val="16"/>
          <w:szCs w:val="16"/>
          <w:lang w:val="es-MX"/>
        </w:rPr>
        <w:t>SE HACE DEL CONOCIMIENTO EL CONVENIO DE COLABORACIÓN PARA FACILITAR LA PRÁCTICA DE DILIGENCIAS POR MEDIOS ELECTRÓNICOS QUE CELEBRAN POR UNA PARTE EL CONSEJO DE LA JUDICATURA FEDERAL Y POR LA OTRA EL ÓRGANO ADMINISTRATIVO DESCONCENTRADO DE PREVENCIÓN Y READAPTACIÓN SOCIAL.</w:t>
      </w:r>
    </w:p>
    <w:p w:rsidR="007B706B" w:rsidRPr="007B706B" w:rsidRDefault="007B706B" w:rsidP="007B706B">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7B706B">
        <w:rPr>
          <w:rFonts w:ascii="Times" w:eastAsia="Times New Roman" w:hAnsi="Times" w:cs="Times"/>
          <w:b/>
          <w:bCs/>
          <w:color w:val="2F2F2F"/>
          <w:sz w:val="18"/>
          <w:szCs w:val="18"/>
          <w:lang w:val="es-MX"/>
        </w:rPr>
        <w:t>CONSIDERANDO</w:t>
      </w:r>
    </w:p>
    <w:p w:rsidR="007B706B" w:rsidRPr="007B706B" w:rsidRDefault="007B706B" w:rsidP="007B706B">
      <w:pPr>
        <w:shd w:val="clear" w:color="auto" w:fill="FFFFFF"/>
        <w:spacing w:line="240" w:lineRule="auto"/>
        <w:ind w:firstLine="288"/>
        <w:jc w:val="both"/>
        <w:rPr>
          <w:rFonts w:eastAsia="Times New Roman"/>
          <w:color w:val="2F2F2F"/>
          <w:sz w:val="18"/>
          <w:szCs w:val="18"/>
          <w:lang w:val="es-MX"/>
        </w:rPr>
      </w:pPr>
      <w:r w:rsidRPr="007B706B">
        <w:rPr>
          <w:rFonts w:eastAsia="Times New Roman"/>
          <w:b/>
          <w:bCs/>
          <w:color w:val="2F2F2F"/>
          <w:sz w:val="18"/>
          <w:szCs w:val="18"/>
          <w:lang w:val="es-MX"/>
        </w:rPr>
        <w:t>ÚNICO. </w:t>
      </w:r>
      <w:r w:rsidRPr="007B706B">
        <w:rPr>
          <w:rFonts w:eastAsia="Times New Roman"/>
          <w:color w:val="2F2F2F"/>
          <w:sz w:val="18"/>
          <w:szCs w:val="18"/>
          <w:lang w:val="es-MX"/>
        </w:rPr>
        <w:t>Con fundamento en los artículos 75, fracciones II y X, 159 y 160, fracción III del Acuerdo General del Pleno del Consejo de la Judicatura Federal, por el que se expide el similar que reglamenta la organización y funcionamiento del propio Consejo, en concordancia con el artículo 71 del Acuerdo General 12/2020 del Pleno del Consejo de la Judicatura Federal, que regula la integración y trámite de expediente electrónico y el uso de videoconferencias en todos los asuntos competencia de los órganos jurisdiccionales a cargo del propio Consejo, se informa que en doce de julio de dos mil veintiuno, se suscribió el Convenio de colaboración para facilitar la práctica de diligencias por medios electrónicos que celebran por una parte el Consejo de la Judicatura Federal y por la otra parte el Órgano Administrativo Desconcentrado Prevención y Readaptación Social.</w:t>
      </w:r>
    </w:p>
    <w:p w:rsidR="007B706B" w:rsidRPr="007B706B" w:rsidRDefault="007B706B" w:rsidP="007B706B">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7B706B">
        <w:rPr>
          <w:rFonts w:ascii="Times" w:eastAsia="Times New Roman" w:hAnsi="Times" w:cs="Times"/>
          <w:b/>
          <w:bCs/>
          <w:color w:val="2F2F2F"/>
          <w:sz w:val="18"/>
          <w:szCs w:val="18"/>
          <w:lang w:val="es-MX"/>
        </w:rPr>
        <w:t>CONVENIO</w:t>
      </w:r>
    </w:p>
    <w:p w:rsidR="007B706B" w:rsidRPr="007B706B" w:rsidRDefault="007B706B" w:rsidP="007B706B">
      <w:pPr>
        <w:shd w:val="clear" w:color="auto" w:fill="FFFFFF"/>
        <w:spacing w:line="240" w:lineRule="auto"/>
        <w:ind w:firstLine="288"/>
        <w:jc w:val="both"/>
        <w:rPr>
          <w:rFonts w:eastAsia="Times New Roman"/>
          <w:color w:val="2F2F2F"/>
          <w:sz w:val="18"/>
          <w:szCs w:val="18"/>
          <w:lang w:val="es-MX"/>
        </w:rPr>
      </w:pPr>
      <w:r w:rsidRPr="007B706B">
        <w:rPr>
          <w:rFonts w:eastAsia="Times New Roman"/>
          <w:b/>
          <w:bCs/>
          <w:color w:val="2F2F2F"/>
          <w:sz w:val="18"/>
          <w:szCs w:val="18"/>
          <w:lang w:val="es-MX"/>
        </w:rPr>
        <w:t>...</w:t>
      </w:r>
    </w:p>
    <w:p w:rsidR="007B706B" w:rsidRPr="007B706B" w:rsidRDefault="007B706B" w:rsidP="007B706B">
      <w:pPr>
        <w:shd w:val="clear" w:color="auto" w:fill="FFFFFF"/>
        <w:spacing w:line="240" w:lineRule="auto"/>
        <w:ind w:firstLine="288"/>
        <w:jc w:val="both"/>
        <w:rPr>
          <w:rFonts w:eastAsia="Times New Roman"/>
          <w:color w:val="2F2F2F"/>
          <w:sz w:val="18"/>
          <w:szCs w:val="18"/>
          <w:lang w:val="es-MX"/>
        </w:rPr>
      </w:pPr>
      <w:r w:rsidRPr="007B706B">
        <w:rPr>
          <w:rFonts w:eastAsia="Times New Roman"/>
          <w:b/>
          <w:bCs/>
          <w:color w:val="2F2F2F"/>
          <w:sz w:val="18"/>
          <w:szCs w:val="18"/>
          <w:lang w:val="es-MX"/>
        </w:rPr>
        <w:t>CLÁUSULAS.-</w:t>
      </w:r>
    </w:p>
    <w:p w:rsidR="007B706B" w:rsidRPr="007B706B" w:rsidRDefault="007B706B" w:rsidP="007B706B">
      <w:pPr>
        <w:shd w:val="clear" w:color="auto" w:fill="FFFFFF"/>
        <w:spacing w:line="240" w:lineRule="auto"/>
        <w:ind w:firstLine="288"/>
        <w:jc w:val="both"/>
        <w:rPr>
          <w:rFonts w:eastAsia="Times New Roman"/>
          <w:color w:val="2F2F2F"/>
          <w:sz w:val="18"/>
          <w:szCs w:val="18"/>
          <w:lang w:val="es-MX"/>
        </w:rPr>
      </w:pPr>
      <w:r w:rsidRPr="007B706B">
        <w:rPr>
          <w:rFonts w:eastAsia="Times New Roman"/>
          <w:b/>
          <w:bCs/>
          <w:color w:val="2F2F2F"/>
          <w:sz w:val="18"/>
          <w:szCs w:val="18"/>
          <w:lang w:val="es-MX"/>
        </w:rPr>
        <w:t>...</w:t>
      </w:r>
    </w:p>
    <w:p w:rsidR="007B706B" w:rsidRPr="007B706B" w:rsidRDefault="007B706B" w:rsidP="007B706B">
      <w:pPr>
        <w:shd w:val="clear" w:color="auto" w:fill="FFFFFF"/>
        <w:spacing w:line="240" w:lineRule="auto"/>
        <w:jc w:val="both"/>
        <w:rPr>
          <w:rFonts w:eastAsia="Times New Roman"/>
          <w:color w:val="2F2F2F"/>
          <w:sz w:val="18"/>
          <w:szCs w:val="18"/>
          <w:lang w:val="es-MX"/>
        </w:rPr>
      </w:pPr>
      <w:r w:rsidRPr="007B706B">
        <w:rPr>
          <w:rFonts w:eastAsia="Times New Roman"/>
          <w:b/>
          <w:bCs/>
          <w:color w:val="2F2F2F"/>
          <w:sz w:val="18"/>
          <w:szCs w:val="18"/>
          <w:lang w:val="es-MX"/>
        </w:rPr>
        <w:t>DÉCIMA PRIMERA. VIGENCIA.</w:t>
      </w:r>
    </w:p>
    <w:p w:rsidR="007B706B" w:rsidRPr="007B706B" w:rsidRDefault="007B706B" w:rsidP="007B706B">
      <w:pPr>
        <w:shd w:val="clear" w:color="auto" w:fill="FFFFFF"/>
        <w:spacing w:line="240" w:lineRule="auto"/>
        <w:jc w:val="both"/>
        <w:rPr>
          <w:rFonts w:eastAsia="Times New Roman"/>
          <w:color w:val="2F2F2F"/>
          <w:sz w:val="18"/>
          <w:szCs w:val="18"/>
          <w:lang w:val="es-MX"/>
        </w:rPr>
      </w:pPr>
      <w:r w:rsidRPr="007B706B">
        <w:rPr>
          <w:rFonts w:eastAsia="Times New Roman"/>
          <w:color w:val="2F2F2F"/>
          <w:sz w:val="18"/>
          <w:szCs w:val="18"/>
          <w:lang w:val="es-MX"/>
        </w:rPr>
        <w:t>El presente Convenio entrará en vigor a partir del día siguiente de su publicación en el Diario Oficial de la Federación y tendrá una vigencia indefinida, pudiendo darse por terminado por cualquiera de </w:t>
      </w:r>
      <w:r w:rsidRPr="007B706B">
        <w:rPr>
          <w:rFonts w:eastAsia="Times New Roman"/>
          <w:b/>
          <w:bCs/>
          <w:color w:val="2F2F2F"/>
          <w:sz w:val="18"/>
          <w:szCs w:val="18"/>
          <w:lang w:val="es-MX"/>
        </w:rPr>
        <w:t>"LAS PARTES"</w:t>
      </w:r>
      <w:r w:rsidRPr="007B706B">
        <w:rPr>
          <w:rFonts w:eastAsia="Times New Roman"/>
          <w:color w:val="2F2F2F"/>
          <w:sz w:val="18"/>
          <w:szCs w:val="18"/>
          <w:lang w:val="es-MX"/>
        </w:rPr>
        <w:t>.</w:t>
      </w:r>
    </w:p>
    <w:p w:rsidR="007B706B" w:rsidRPr="007B706B" w:rsidRDefault="007B706B" w:rsidP="007B706B">
      <w:pPr>
        <w:shd w:val="clear" w:color="auto" w:fill="FFFFFF"/>
        <w:spacing w:line="240" w:lineRule="auto"/>
        <w:jc w:val="both"/>
        <w:rPr>
          <w:rFonts w:eastAsia="Times New Roman"/>
          <w:color w:val="2F2F2F"/>
          <w:sz w:val="18"/>
          <w:szCs w:val="18"/>
          <w:lang w:val="es-MX"/>
        </w:rPr>
      </w:pPr>
      <w:r w:rsidRPr="007B706B">
        <w:rPr>
          <w:rFonts w:eastAsia="Times New Roman"/>
          <w:b/>
          <w:bCs/>
          <w:color w:val="2F2F2F"/>
          <w:sz w:val="18"/>
          <w:szCs w:val="18"/>
          <w:lang w:val="es-MX"/>
        </w:rPr>
        <w:t>...</w:t>
      </w:r>
    </w:p>
    <w:p w:rsidR="007B706B" w:rsidRPr="007B706B" w:rsidRDefault="007B706B" w:rsidP="007B706B">
      <w:pPr>
        <w:shd w:val="clear" w:color="auto" w:fill="FFFFFF"/>
        <w:spacing w:line="240" w:lineRule="auto"/>
        <w:jc w:val="both"/>
        <w:rPr>
          <w:rFonts w:eastAsia="Times New Roman"/>
          <w:color w:val="2F2F2F"/>
          <w:sz w:val="18"/>
          <w:szCs w:val="18"/>
          <w:lang w:val="es-MX"/>
        </w:rPr>
      </w:pPr>
      <w:r w:rsidRPr="007B706B">
        <w:rPr>
          <w:rFonts w:eastAsia="Times New Roman"/>
          <w:color w:val="2F2F2F"/>
          <w:sz w:val="18"/>
          <w:szCs w:val="18"/>
          <w:lang w:val="es-MX"/>
        </w:rPr>
        <w:t>En este sentido, se informa que la publicación en este Diario Oficial de la Federación del Convenio de colaboración para facilitar la práctica de diligencias por medios electrónicos que celebran por una parte el Consejo de la Judicatura Federal y por la otra parte el Órgano Administrativo Desconcentrado, Prevención y Readaptación Social, se llevará a cabo a través del presente aviso, a efecto de que sea consultable en el siguiente enlace:</w:t>
      </w:r>
    </w:p>
    <w:p w:rsidR="007B706B" w:rsidRPr="007B706B" w:rsidRDefault="007B706B" w:rsidP="007B706B">
      <w:pPr>
        <w:shd w:val="clear" w:color="auto" w:fill="FFFFFF"/>
        <w:spacing w:line="240" w:lineRule="auto"/>
        <w:ind w:firstLine="288"/>
        <w:jc w:val="center"/>
        <w:rPr>
          <w:rFonts w:eastAsia="Times New Roman"/>
          <w:color w:val="2F2F2F"/>
          <w:sz w:val="18"/>
          <w:szCs w:val="18"/>
          <w:lang w:val="es-MX"/>
        </w:rPr>
      </w:pPr>
      <w:r w:rsidRPr="007B706B">
        <w:rPr>
          <w:rFonts w:eastAsia="Times New Roman"/>
          <w:color w:val="2F2F2F"/>
          <w:sz w:val="18"/>
          <w:szCs w:val="18"/>
          <w:lang w:val="es-MX"/>
        </w:rPr>
        <w:t>www.dof.gob.mx/2021/CJF/convenio_colaboracionPJF_2021.pdf</w:t>
      </w:r>
    </w:p>
    <w:p w:rsidR="007B706B" w:rsidRPr="007B706B" w:rsidRDefault="007B706B" w:rsidP="007B706B">
      <w:pPr>
        <w:shd w:val="clear" w:color="auto" w:fill="FFFFFF"/>
        <w:spacing w:line="240" w:lineRule="auto"/>
        <w:ind w:firstLine="288"/>
        <w:jc w:val="both"/>
        <w:rPr>
          <w:rFonts w:eastAsia="Times New Roman"/>
          <w:color w:val="2F2F2F"/>
          <w:sz w:val="18"/>
          <w:szCs w:val="18"/>
          <w:lang w:val="es-MX"/>
        </w:rPr>
      </w:pPr>
      <w:r w:rsidRPr="007B706B">
        <w:rPr>
          <w:rFonts w:eastAsia="Times New Roman"/>
          <w:color w:val="2F2F2F"/>
          <w:sz w:val="18"/>
          <w:szCs w:val="18"/>
          <w:lang w:val="es-MX"/>
        </w:rPr>
        <w:t>Ciudad de México, a 12 de julio de 2021.- El Secretario General de la Presidencia del Consejo de la Judicatura Federal</w:t>
      </w:r>
      <w:r w:rsidRPr="007B706B">
        <w:rPr>
          <w:rFonts w:eastAsia="Times New Roman"/>
          <w:b/>
          <w:bCs/>
          <w:color w:val="2F2F2F"/>
          <w:sz w:val="18"/>
          <w:szCs w:val="18"/>
          <w:lang w:val="es-MX"/>
        </w:rPr>
        <w:t> </w:t>
      </w:r>
      <w:r w:rsidRPr="007B706B">
        <w:rPr>
          <w:rFonts w:eastAsia="Times New Roman"/>
          <w:color w:val="2F2F2F"/>
          <w:sz w:val="18"/>
          <w:szCs w:val="18"/>
          <w:lang w:val="es-MX"/>
        </w:rPr>
        <w:t>Maestro </w:t>
      </w:r>
      <w:r w:rsidRPr="007B706B">
        <w:rPr>
          <w:rFonts w:eastAsia="Times New Roman"/>
          <w:b/>
          <w:bCs/>
          <w:color w:val="2F2F2F"/>
          <w:sz w:val="18"/>
          <w:szCs w:val="18"/>
          <w:lang w:val="es-MX"/>
        </w:rPr>
        <w:t xml:space="preserve">Carlos Antonio </w:t>
      </w:r>
      <w:proofErr w:type="spellStart"/>
      <w:r w:rsidRPr="007B706B">
        <w:rPr>
          <w:rFonts w:eastAsia="Times New Roman"/>
          <w:b/>
          <w:bCs/>
          <w:color w:val="2F2F2F"/>
          <w:sz w:val="18"/>
          <w:szCs w:val="18"/>
          <w:lang w:val="es-MX"/>
        </w:rPr>
        <w:t>Alpízar</w:t>
      </w:r>
      <w:proofErr w:type="spellEnd"/>
      <w:r w:rsidRPr="007B706B">
        <w:rPr>
          <w:rFonts w:eastAsia="Times New Roman"/>
          <w:b/>
          <w:bCs/>
          <w:color w:val="2F2F2F"/>
          <w:sz w:val="18"/>
          <w:szCs w:val="18"/>
          <w:lang w:val="es-MX"/>
        </w:rPr>
        <w:t xml:space="preserve"> Salazar</w:t>
      </w:r>
      <w:r w:rsidRPr="007B706B">
        <w:rPr>
          <w:rFonts w:eastAsia="Times New Roman"/>
          <w:color w:val="2F2F2F"/>
          <w:sz w:val="18"/>
          <w:szCs w:val="18"/>
          <w:lang w:val="es-MX"/>
        </w:rPr>
        <w:t>.- Firma. El Comisionado de Prevención y Readaptación Social.- Licenciado </w:t>
      </w:r>
      <w:r w:rsidRPr="007B706B">
        <w:rPr>
          <w:rFonts w:eastAsia="Times New Roman"/>
          <w:b/>
          <w:bCs/>
          <w:color w:val="2F2F2F"/>
          <w:sz w:val="18"/>
          <w:szCs w:val="18"/>
          <w:lang w:val="es-MX"/>
        </w:rPr>
        <w:t>José Ángel Ávila Pérez</w:t>
      </w:r>
      <w:r w:rsidRPr="007B706B">
        <w:rPr>
          <w:rFonts w:eastAsia="Times New Roman"/>
          <w:color w:val="2F2F2F"/>
          <w:sz w:val="18"/>
          <w:szCs w:val="18"/>
          <w:lang w:val="es-MX"/>
        </w:rPr>
        <w:t>.- Firma. El Director General de Asuntos Jurídicos de Consejo de la Judicatura Federal, Maestro </w:t>
      </w:r>
      <w:r w:rsidRPr="007B706B">
        <w:rPr>
          <w:rFonts w:eastAsia="Times New Roman"/>
          <w:b/>
          <w:bCs/>
          <w:color w:val="2F2F2F"/>
          <w:sz w:val="18"/>
          <w:szCs w:val="18"/>
          <w:lang w:val="es-MX"/>
        </w:rPr>
        <w:t>Adrián Valdés Quirós</w:t>
      </w:r>
      <w:r w:rsidRPr="007B706B">
        <w:rPr>
          <w:rFonts w:eastAsia="Times New Roman"/>
          <w:color w:val="2F2F2F"/>
          <w:sz w:val="18"/>
          <w:szCs w:val="18"/>
          <w:lang w:val="es-MX"/>
        </w:rPr>
        <w:t>.- Rúbrica. El Titular de la Unidad de Asuntos Legales y Derechos Humanos de Comisión de Prevención y Readaptación Social.- Maestro </w:t>
      </w:r>
      <w:r w:rsidRPr="007B706B">
        <w:rPr>
          <w:rFonts w:eastAsia="Times New Roman"/>
          <w:b/>
          <w:bCs/>
          <w:color w:val="2F2F2F"/>
          <w:sz w:val="18"/>
          <w:szCs w:val="18"/>
          <w:lang w:val="es-MX"/>
        </w:rPr>
        <w:t>Juan Carlos García Rivas Garduño</w:t>
      </w:r>
      <w:r w:rsidRPr="007B706B">
        <w:rPr>
          <w:rFonts w:eastAsia="Times New Roman"/>
          <w:color w:val="2F2F2F"/>
          <w:sz w:val="18"/>
          <w:szCs w:val="18"/>
          <w:lang w:val="es-MX"/>
        </w:rPr>
        <w:t>.- Rúbrica.</w:t>
      </w:r>
    </w:p>
    <w:p w:rsidR="007B706B" w:rsidRPr="007B706B" w:rsidRDefault="007B706B" w:rsidP="007B706B">
      <w:pPr>
        <w:shd w:val="clear" w:color="auto" w:fill="FFFFFF"/>
        <w:spacing w:line="240" w:lineRule="auto"/>
        <w:ind w:firstLine="288"/>
        <w:jc w:val="both"/>
        <w:rPr>
          <w:rFonts w:eastAsia="Times New Roman"/>
          <w:color w:val="2F2F2F"/>
          <w:sz w:val="18"/>
          <w:szCs w:val="18"/>
          <w:lang w:val="es-MX"/>
        </w:rPr>
      </w:pPr>
      <w:r w:rsidRPr="007B706B">
        <w:rPr>
          <w:rFonts w:eastAsia="Times New Roman"/>
          <w:color w:val="2F2F2F"/>
          <w:sz w:val="18"/>
          <w:szCs w:val="18"/>
          <w:lang w:val="es-MX"/>
        </w:rPr>
        <w:t>Ciudad de México, 7 de septiembre de 2021.- Director General de Asuntos Jurídicos, Maestro </w:t>
      </w:r>
      <w:r w:rsidRPr="007B706B">
        <w:rPr>
          <w:rFonts w:eastAsia="Times New Roman"/>
          <w:b/>
          <w:bCs/>
          <w:color w:val="2F2F2F"/>
          <w:sz w:val="18"/>
          <w:szCs w:val="18"/>
          <w:lang w:val="es-MX"/>
        </w:rPr>
        <w:t>Adrián Valdés Quirós</w:t>
      </w:r>
      <w:r w:rsidRPr="007B706B">
        <w:rPr>
          <w:rFonts w:eastAsia="Times New Roman"/>
          <w:color w:val="2F2F2F"/>
          <w:sz w:val="18"/>
          <w:szCs w:val="18"/>
          <w:lang w:val="es-MX"/>
        </w:rPr>
        <w:t>.- Rúbrica.</w:t>
      </w:r>
      <w:bookmarkStart w:id="0" w:name="_GoBack"/>
      <w:bookmarkEnd w:id="0"/>
    </w:p>
    <w:sectPr w:rsidR="007B706B" w:rsidRPr="007B706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06B"/>
    <w:rsid w:val="007B706B"/>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B706B"/>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B706B"/>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089603">
      <w:bodyDiv w:val="1"/>
      <w:marLeft w:val="0"/>
      <w:marRight w:val="0"/>
      <w:marTop w:val="0"/>
      <w:marBottom w:val="0"/>
      <w:divBdr>
        <w:top w:val="none" w:sz="0" w:space="0" w:color="auto"/>
        <w:left w:val="none" w:sz="0" w:space="0" w:color="auto"/>
        <w:bottom w:val="none" w:sz="0" w:space="0" w:color="auto"/>
        <w:right w:val="none" w:sz="0" w:space="0" w:color="auto"/>
      </w:divBdr>
      <w:divsChild>
        <w:div w:id="729039210">
          <w:marLeft w:val="0"/>
          <w:marRight w:val="0"/>
          <w:marTop w:val="0"/>
          <w:marBottom w:val="101"/>
          <w:divBdr>
            <w:top w:val="none" w:sz="0" w:space="0" w:color="auto"/>
            <w:left w:val="none" w:sz="0" w:space="0" w:color="auto"/>
            <w:bottom w:val="none" w:sz="0" w:space="0" w:color="auto"/>
            <w:right w:val="none" w:sz="0" w:space="0" w:color="auto"/>
          </w:divBdr>
        </w:div>
        <w:div w:id="616568610">
          <w:marLeft w:val="0"/>
          <w:marRight w:val="0"/>
          <w:marTop w:val="0"/>
          <w:marBottom w:val="101"/>
          <w:divBdr>
            <w:top w:val="none" w:sz="0" w:space="0" w:color="auto"/>
            <w:left w:val="none" w:sz="0" w:space="0" w:color="auto"/>
            <w:bottom w:val="none" w:sz="0" w:space="0" w:color="auto"/>
            <w:right w:val="none" w:sz="0" w:space="0" w:color="auto"/>
          </w:divBdr>
        </w:div>
        <w:div w:id="1952396679">
          <w:marLeft w:val="0"/>
          <w:marRight w:val="0"/>
          <w:marTop w:val="101"/>
          <w:marBottom w:val="101"/>
          <w:divBdr>
            <w:top w:val="none" w:sz="0" w:space="0" w:color="auto"/>
            <w:left w:val="none" w:sz="0" w:space="0" w:color="auto"/>
            <w:bottom w:val="none" w:sz="0" w:space="0" w:color="auto"/>
            <w:right w:val="none" w:sz="0" w:space="0" w:color="auto"/>
          </w:divBdr>
        </w:div>
        <w:div w:id="492182509">
          <w:marLeft w:val="0"/>
          <w:marRight w:val="0"/>
          <w:marTop w:val="0"/>
          <w:marBottom w:val="101"/>
          <w:divBdr>
            <w:top w:val="none" w:sz="0" w:space="0" w:color="auto"/>
            <w:left w:val="none" w:sz="0" w:space="0" w:color="auto"/>
            <w:bottom w:val="none" w:sz="0" w:space="0" w:color="auto"/>
            <w:right w:val="none" w:sz="0" w:space="0" w:color="auto"/>
          </w:divBdr>
        </w:div>
        <w:div w:id="1393625018">
          <w:marLeft w:val="0"/>
          <w:marRight w:val="0"/>
          <w:marTop w:val="101"/>
          <w:marBottom w:val="101"/>
          <w:divBdr>
            <w:top w:val="none" w:sz="0" w:space="0" w:color="auto"/>
            <w:left w:val="none" w:sz="0" w:space="0" w:color="auto"/>
            <w:bottom w:val="none" w:sz="0" w:space="0" w:color="auto"/>
            <w:right w:val="none" w:sz="0" w:space="0" w:color="auto"/>
          </w:divBdr>
        </w:div>
        <w:div w:id="2146117876">
          <w:marLeft w:val="0"/>
          <w:marRight w:val="0"/>
          <w:marTop w:val="0"/>
          <w:marBottom w:val="101"/>
          <w:divBdr>
            <w:top w:val="none" w:sz="0" w:space="0" w:color="auto"/>
            <w:left w:val="none" w:sz="0" w:space="0" w:color="auto"/>
            <w:bottom w:val="none" w:sz="0" w:space="0" w:color="auto"/>
            <w:right w:val="none" w:sz="0" w:space="0" w:color="auto"/>
          </w:divBdr>
        </w:div>
        <w:div w:id="543910715">
          <w:marLeft w:val="0"/>
          <w:marRight w:val="0"/>
          <w:marTop w:val="0"/>
          <w:marBottom w:val="101"/>
          <w:divBdr>
            <w:top w:val="none" w:sz="0" w:space="0" w:color="auto"/>
            <w:left w:val="none" w:sz="0" w:space="0" w:color="auto"/>
            <w:bottom w:val="none" w:sz="0" w:space="0" w:color="auto"/>
            <w:right w:val="none" w:sz="0" w:space="0" w:color="auto"/>
          </w:divBdr>
        </w:div>
        <w:div w:id="1306080292">
          <w:marLeft w:val="0"/>
          <w:marRight w:val="0"/>
          <w:marTop w:val="0"/>
          <w:marBottom w:val="101"/>
          <w:divBdr>
            <w:top w:val="none" w:sz="0" w:space="0" w:color="auto"/>
            <w:left w:val="none" w:sz="0" w:space="0" w:color="auto"/>
            <w:bottom w:val="none" w:sz="0" w:space="0" w:color="auto"/>
            <w:right w:val="none" w:sz="0" w:space="0" w:color="auto"/>
          </w:divBdr>
        </w:div>
        <w:div w:id="1704623803">
          <w:marLeft w:val="0"/>
          <w:marRight w:val="0"/>
          <w:marTop w:val="0"/>
          <w:marBottom w:val="101"/>
          <w:divBdr>
            <w:top w:val="none" w:sz="0" w:space="0" w:color="auto"/>
            <w:left w:val="none" w:sz="0" w:space="0" w:color="auto"/>
            <w:bottom w:val="none" w:sz="0" w:space="0" w:color="auto"/>
            <w:right w:val="none" w:sz="0" w:space="0" w:color="auto"/>
          </w:divBdr>
        </w:div>
        <w:div w:id="1988245678">
          <w:marLeft w:val="0"/>
          <w:marRight w:val="0"/>
          <w:marTop w:val="0"/>
          <w:marBottom w:val="101"/>
          <w:divBdr>
            <w:top w:val="none" w:sz="0" w:space="0" w:color="auto"/>
            <w:left w:val="none" w:sz="0" w:space="0" w:color="auto"/>
            <w:bottom w:val="none" w:sz="0" w:space="0" w:color="auto"/>
            <w:right w:val="none" w:sz="0" w:space="0" w:color="auto"/>
          </w:divBdr>
        </w:div>
        <w:div w:id="140847638">
          <w:marLeft w:val="0"/>
          <w:marRight w:val="0"/>
          <w:marTop w:val="0"/>
          <w:marBottom w:val="101"/>
          <w:divBdr>
            <w:top w:val="none" w:sz="0" w:space="0" w:color="auto"/>
            <w:left w:val="none" w:sz="0" w:space="0" w:color="auto"/>
            <w:bottom w:val="none" w:sz="0" w:space="0" w:color="auto"/>
            <w:right w:val="none" w:sz="0" w:space="0" w:color="auto"/>
          </w:divBdr>
        </w:div>
        <w:div w:id="704020364">
          <w:marLeft w:val="0"/>
          <w:marRight w:val="0"/>
          <w:marTop w:val="0"/>
          <w:marBottom w:val="101"/>
          <w:divBdr>
            <w:top w:val="none" w:sz="0" w:space="0" w:color="auto"/>
            <w:left w:val="none" w:sz="0" w:space="0" w:color="auto"/>
            <w:bottom w:val="none" w:sz="0" w:space="0" w:color="auto"/>
            <w:right w:val="none" w:sz="0" w:space="0" w:color="auto"/>
          </w:divBdr>
        </w:div>
        <w:div w:id="1095394703">
          <w:marLeft w:val="0"/>
          <w:marRight w:val="0"/>
          <w:marTop w:val="0"/>
          <w:marBottom w:val="101"/>
          <w:divBdr>
            <w:top w:val="none" w:sz="0" w:space="0" w:color="auto"/>
            <w:left w:val="none" w:sz="0" w:space="0" w:color="auto"/>
            <w:bottom w:val="none" w:sz="0" w:space="0" w:color="auto"/>
            <w:right w:val="none" w:sz="0" w:space="0" w:color="auto"/>
          </w:divBdr>
        </w:div>
        <w:div w:id="867064070">
          <w:marLeft w:val="0"/>
          <w:marRight w:val="0"/>
          <w:marTop w:val="0"/>
          <w:marBottom w:val="101"/>
          <w:divBdr>
            <w:top w:val="none" w:sz="0" w:space="0" w:color="auto"/>
            <w:left w:val="none" w:sz="0" w:space="0" w:color="auto"/>
            <w:bottom w:val="none" w:sz="0" w:space="0" w:color="auto"/>
            <w:right w:val="none" w:sz="0" w:space="0" w:color="auto"/>
          </w:divBdr>
        </w:div>
        <w:div w:id="163286144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500</Words>
  <Characters>2753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2021-09-17T13:50:00Z</dcterms:created>
  <dcterms:modified xsi:type="dcterms:W3CDTF">2021-09-17T13:51:00Z</dcterms:modified>
</cp:coreProperties>
</file>