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244" w:rsidRPr="00841D9A" w:rsidRDefault="002F7244" w:rsidP="002F7244">
      <w:pPr>
        <w:jc w:val="center"/>
        <w:rPr>
          <w:rFonts w:ascii="Verdana" w:eastAsia="Verdana" w:hAnsi="Verdana" w:cs="Verdana"/>
          <w:b/>
          <w:color w:val="0000FF"/>
          <w:sz w:val="24"/>
          <w:szCs w:val="24"/>
        </w:rPr>
      </w:pPr>
      <w:r w:rsidRPr="002F7244">
        <w:rPr>
          <w:rFonts w:ascii="Verdana" w:eastAsia="Verdana" w:hAnsi="Verdana" w:cs="Verdana"/>
          <w:b/>
          <w:color w:val="0000FF"/>
          <w:sz w:val="24"/>
          <w:szCs w:val="24"/>
        </w:rPr>
        <w:t>ACUERDO por el que se dan a conocer las reformas del Arancel para el cálculo de honorarios y gastos de las personas que pueden fungir como peritas y peritos ante los órganos del Poder Judicial de la Federación.</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24 de marzo de 2023</w:t>
      </w:r>
      <w:r w:rsidRPr="0099730F">
        <w:rPr>
          <w:rFonts w:ascii="Verdana" w:eastAsia="Verdana" w:hAnsi="Verdana" w:cs="Verdana"/>
          <w:b/>
          <w:color w:val="0000FF"/>
          <w:sz w:val="24"/>
          <w:szCs w:val="24"/>
        </w:rPr>
        <w:t>)</w:t>
      </w:r>
      <w:bookmarkEnd w:id="0"/>
    </w:p>
    <w:p w:rsidR="00F06254" w:rsidRDefault="002F7244" w:rsidP="002F7244">
      <w:pPr>
        <w:jc w:val="both"/>
        <w:rPr>
          <w:rFonts w:ascii="Arial" w:hAnsi="Arial" w:cs="Arial"/>
          <w:b/>
          <w:color w:val="2F2F2F"/>
          <w:sz w:val="18"/>
          <w:szCs w:val="18"/>
          <w:shd w:val="clear" w:color="auto" w:fill="FFFFFF"/>
        </w:rPr>
      </w:pPr>
      <w:r w:rsidRPr="002F7244">
        <w:rPr>
          <w:rFonts w:ascii="Arial" w:hAnsi="Arial" w:cs="Arial"/>
          <w:b/>
          <w:color w:val="2F2F2F"/>
          <w:sz w:val="18"/>
          <w:szCs w:val="18"/>
          <w:shd w:val="clear" w:color="auto" w:fill="FFFFFF"/>
        </w:rPr>
        <w:t>Al margen un sello con el Escudo Nacional, que dice: Estados Unidos Mexicanos.- Consejo de la Judicatura Federal.- Unidad de Peritos Judiciales.</w:t>
      </w:r>
    </w:p>
    <w:p w:rsidR="002F7244" w:rsidRPr="002F7244" w:rsidRDefault="002F7244" w:rsidP="002F7244">
      <w:pPr>
        <w:shd w:val="clear" w:color="auto" w:fill="FFFFFF"/>
        <w:spacing w:after="40" w:line="240" w:lineRule="auto"/>
        <w:ind w:firstLine="288"/>
        <w:jc w:val="both"/>
        <w:rPr>
          <w:rFonts w:ascii="Arial" w:eastAsia="Times New Roman" w:hAnsi="Arial" w:cs="Arial"/>
          <w:color w:val="2F2F2F"/>
          <w:sz w:val="16"/>
          <w:szCs w:val="16"/>
          <w:lang w:eastAsia="es-MX"/>
        </w:rPr>
      </w:pPr>
      <w:r w:rsidRPr="002F7244">
        <w:rPr>
          <w:rFonts w:ascii="Arial" w:eastAsia="Times New Roman" w:hAnsi="Arial" w:cs="Arial"/>
          <w:color w:val="000000"/>
          <w:sz w:val="16"/>
          <w:szCs w:val="16"/>
          <w:shd w:val="clear" w:color="auto" w:fill="FFFFFF"/>
          <w:lang w:eastAsia="es-MX"/>
        </w:rPr>
        <w:t>ACUERDO POR EL QUE SE DAN A CONOCER LAS REFORMAS DEL ARANCEL PARA EL CÁLCULO DE HONORARIOS Y GASTOS DE LAS PERSONAS QUE PUEDEN FUNGIR COMO PERITAS Y PERITOS ANTE LOS ÓRGANOS DEL PODER JUDICIAL DE LA FEDERACIÓN</w:t>
      </w:r>
    </w:p>
    <w:p w:rsidR="002F7244" w:rsidRPr="002F7244" w:rsidRDefault="002F7244" w:rsidP="002F7244">
      <w:pPr>
        <w:shd w:val="clear" w:color="auto" w:fill="FFFFFF"/>
        <w:spacing w:after="40" w:line="240" w:lineRule="auto"/>
        <w:ind w:firstLine="288"/>
        <w:jc w:val="both"/>
        <w:rPr>
          <w:rFonts w:ascii="Arial" w:eastAsia="Times New Roman" w:hAnsi="Arial" w:cs="Arial"/>
          <w:color w:val="2F2F2F"/>
          <w:sz w:val="16"/>
          <w:szCs w:val="16"/>
          <w:lang w:eastAsia="es-MX"/>
        </w:rPr>
      </w:pPr>
      <w:r w:rsidRPr="002F7244">
        <w:rPr>
          <w:rFonts w:ascii="Arial" w:eastAsia="Times New Roman" w:hAnsi="Arial" w:cs="Arial"/>
          <w:color w:val="000000"/>
          <w:sz w:val="16"/>
          <w:szCs w:val="16"/>
          <w:shd w:val="clear" w:color="auto" w:fill="FFFFFF"/>
          <w:lang w:eastAsia="es-MX"/>
        </w:rPr>
        <w:t>SE INFORMA ACUERDO POR EL QUE SE DAN A CONOCER LAS REFORMAS DEL ARANCEL PARA EL CÁLCULO DE HONORARIOS Y GASTOS DE LAS PERSONAS QUE PUEDEN FUNGIR COMO PERITAS Y PERITOS ANTE LOS ÓRGANOS DEL PODER JUDICIAL DE LA FEDERACIÓN</w:t>
      </w:r>
    </w:p>
    <w:p w:rsidR="002F7244" w:rsidRPr="002F7244" w:rsidRDefault="002F7244" w:rsidP="002F7244">
      <w:pPr>
        <w:shd w:val="clear" w:color="auto" w:fill="FFFFFF"/>
        <w:spacing w:after="40" w:line="240" w:lineRule="auto"/>
        <w:jc w:val="center"/>
        <w:rPr>
          <w:rFonts w:ascii="Times New Roman" w:eastAsia="Times New Roman" w:hAnsi="Times New Roman" w:cs="Times New Roman"/>
          <w:b/>
          <w:bCs/>
          <w:color w:val="2F2F2F"/>
          <w:sz w:val="18"/>
          <w:szCs w:val="18"/>
          <w:lang w:eastAsia="es-MX"/>
        </w:rPr>
      </w:pPr>
      <w:r w:rsidRPr="002F7244">
        <w:rPr>
          <w:rFonts w:ascii="Arial" w:eastAsia="Times New Roman" w:hAnsi="Arial" w:cs="Arial"/>
          <w:b/>
          <w:bCs/>
          <w:color w:val="2F2F2F"/>
          <w:sz w:val="18"/>
          <w:szCs w:val="18"/>
          <w:lang w:eastAsia="es-MX"/>
        </w:rPr>
        <w:t>CONSIDERANDO</w:t>
      </w:r>
    </w:p>
    <w:p w:rsidR="002F7244" w:rsidRPr="002F7244" w:rsidRDefault="002F7244" w:rsidP="002F7244">
      <w:pPr>
        <w:shd w:val="clear" w:color="auto" w:fill="FFFFFF"/>
        <w:spacing w:after="40" w:line="240" w:lineRule="auto"/>
        <w:jc w:val="both"/>
        <w:rPr>
          <w:rFonts w:ascii="Arial" w:eastAsia="Times New Roman" w:hAnsi="Arial" w:cs="Arial"/>
          <w:color w:val="2F2F2F"/>
          <w:sz w:val="18"/>
          <w:szCs w:val="18"/>
          <w:lang w:eastAsia="es-MX"/>
        </w:rPr>
      </w:pPr>
      <w:r w:rsidRPr="002F7244">
        <w:rPr>
          <w:rFonts w:ascii="Arial" w:eastAsia="Times New Roman" w:hAnsi="Arial" w:cs="Arial"/>
          <w:b/>
          <w:bCs/>
          <w:color w:val="2F2F2F"/>
          <w:sz w:val="18"/>
          <w:szCs w:val="18"/>
          <w:lang w:eastAsia="es-MX"/>
        </w:rPr>
        <w:t>PRIMERO.</w:t>
      </w:r>
      <w:r w:rsidRPr="002F7244">
        <w:rPr>
          <w:rFonts w:ascii="Arial" w:eastAsia="Times New Roman" w:hAnsi="Arial" w:cs="Arial"/>
          <w:color w:val="2F2F2F"/>
          <w:sz w:val="18"/>
          <w:szCs w:val="18"/>
          <w:lang w:eastAsia="es-MX"/>
        </w:rPr>
        <w:t> Mediante oficio SEPLE./ADM./001/179/2023 se informó que en la sesión celebrada el 18 de enero de 2023, el Pleno del Consejo de la Judicatura Federal aprobó las modificaciones al Arancel para el cálculo de honorarios y gastos de las personas que pueden fungir como peritas y peritos ante los órganos del Poder Judicial de la Federación, cuya vigencia iniciará al día siguiente de su publicación en el Diario Oficial de la Federación, con fundamento en los artículos 86, fracción XXIX de la Ley Orgánica del Poder Judicial de la Federación; 79, fracción XLIX del Acuerdo General del Pleno del Consejo de la Judicatura Federal, que reglamenta la organización y funcionamiento del propio Consejo, en concordancia con el numeral 14 del Acuerdo General del Pleno del Consejo de la Judicatura Federal, que regula la integración de la Lista de personas que pueden fungir como peritas o peritos ante los órganos del Poder Judicial de la Federación.</w:t>
      </w:r>
    </w:p>
    <w:p w:rsidR="002F7244" w:rsidRPr="002F7244" w:rsidRDefault="002F7244" w:rsidP="002F7244">
      <w:pPr>
        <w:shd w:val="clear" w:color="auto" w:fill="FFFFFF"/>
        <w:spacing w:after="40" w:line="240" w:lineRule="auto"/>
        <w:jc w:val="both"/>
        <w:rPr>
          <w:rFonts w:ascii="Arial" w:eastAsia="Times New Roman" w:hAnsi="Arial" w:cs="Arial"/>
          <w:color w:val="2F2F2F"/>
          <w:sz w:val="18"/>
          <w:szCs w:val="18"/>
          <w:lang w:eastAsia="es-MX"/>
        </w:rPr>
      </w:pPr>
      <w:r w:rsidRPr="002F7244">
        <w:rPr>
          <w:rFonts w:ascii="Arial" w:eastAsia="Times New Roman" w:hAnsi="Arial" w:cs="Arial"/>
          <w:b/>
          <w:bCs/>
          <w:color w:val="2F2F2F"/>
          <w:sz w:val="18"/>
          <w:szCs w:val="18"/>
          <w:lang w:eastAsia="es-MX"/>
        </w:rPr>
        <w:t>SEGUNDO. </w:t>
      </w:r>
      <w:r w:rsidRPr="002F7244">
        <w:rPr>
          <w:rFonts w:ascii="Arial" w:eastAsia="Times New Roman" w:hAnsi="Arial" w:cs="Arial"/>
          <w:color w:val="2F2F2F"/>
          <w:sz w:val="18"/>
          <w:szCs w:val="18"/>
          <w:lang w:eastAsia="es-MX"/>
        </w:rPr>
        <w:t>En ese sentido, se instruyó a la Secretaría Ejecutiva de Administración para que, a través de la Dirección General de Programación, Presupuesto y Tesorería, presentara la propuesta de modificación a las Políticas y Lineamientos para el Ejercicio del Presupuesto de Egresos del Consejo de la Judicatura Federal, en el capítulo correspondiente, acorde a las modificaciones aprobadas y, una vez aprobada la modificación a las referidas Políticas y Lineamientos, se instruía la publicación de las modificaciones al Arancel para el cálculo de honorarios y gastos de las personas que pueden fungir como peritas y peritos ante los órganos del Poder Judicial de la Federación' en el Diario Oficial de la Federación.</w:t>
      </w:r>
    </w:p>
    <w:p w:rsidR="002F7244" w:rsidRPr="002F7244" w:rsidRDefault="002F7244" w:rsidP="002F7244">
      <w:pPr>
        <w:shd w:val="clear" w:color="auto" w:fill="FFFFFF"/>
        <w:spacing w:after="60" w:line="240" w:lineRule="auto"/>
        <w:jc w:val="both"/>
        <w:rPr>
          <w:rFonts w:ascii="Arial" w:eastAsia="Times New Roman" w:hAnsi="Arial" w:cs="Arial"/>
          <w:color w:val="2F2F2F"/>
          <w:sz w:val="18"/>
          <w:szCs w:val="18"/>
          <w:lang w:eastAsia="es-MX"/>
        </w:rPr>
      </w:pPr>
      <w:r w:rsidRPr="002F7244">
        <w:rPr>
          <w:rFonts w:ascii="Arial" w:eastAsia="Times New Roman" w:hAnsi="Arial" w:cs="Arial"/>
          <w:b/>
          <w:bCs/>
          <w:color w:val="2F2F2F"/>
          <w:sz w:val="18"/>
          <w:szCs w:val="18"/>
          <w:lang w:eastAsia="es-MX"/>
        </w:rPr>
        <w:t>TERCERO. </w:t>
      </w:r>
      <w:r w:rsidRPr="002F7244">
        <w:rPr>
          <w:rFonts w:ascii="Arial" w:eastAsia="Times New Roman" w:hAnsi="Arial" w:cs="Arial"/>
          <w:color w:val="2F2F2F"/>
          <w:sz w:val="18"/>
          <w:szCs w:val="18"/>
          <w:lang w:eastAsia="es-MX"/>
        </w:rPr>
        <w:t>Mediante oficio SEPLE./ADM./001/644/2023 se informó a la Dirección General de Programación, Presupuesto y Tesorería, que en la sesión celebrada el 15 de febrero de 2023, el Pleno del Consejo de la Judicatura Federal aprobó las modificaciones a las Políticas y Lineamientos para el Ejercicio del Presupuesto de Egresos del Consejo de la Judicatura Federal 2023, en el capítulo correspondiente a Servicios Periciales, instruyendo que, conforme a lo establecido en el SEPLE./ADM./001/179/2023, deberían publicarse las modificaciones al "Arancel para el cálculo de honorarios y gastos de las personas que pueden fungir como peritas y peritos ante los órganos del Poder Judicial de la Federación" en el Diario Oficial de la Federación.</w:t>
      </w:r>
    </w:p>
    <w:p w:rsidR="002F7244" w:rsidRPr="002F7244" w:rsidRDefault="002F7244" w:rsidP="002F7244">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2F7244">
        <w:rPr>
          <w:rFonts w:ascii="Times" w:eastAsia="Times New Roman" w:hAnsi="Times" w:cs="Times"/>
          <w:b/>
          <w:bCs/>
          <w:color w:val="2F2F2F"/>
          <w:sz w:val="18"/>
          <w:szCs w:val="18"/>
          <w:lang w:eastAsia="es-MX"/>
        </w:rPr>
        <w:t>ACUERDO</w:t>
      </w:r>
    </w:p>
    <w:p w:rsidR="002F7244" w:rsidRPr="002F7244" w:rsidRDefault="002F7244" w:rsidP="002F7244">
      <w:pPr>
        <w:shd w:val="clear" w:color="auto" w:fill="FFFFFF"/>
        <w:spacing w:after="60" w:line="240" w:lineRule="auto"/>
        <w:jc w:val="both"/>
        <w:rPr>
          <w:rFonts w:ascii="Arial" w:eastAsia="Times New Roman" w:hAnsi="Arial" w:cs="Arial"/>
          <w:color w:val="2F2F2F"/>
          <w:sz w:val="18"/>
          <w:szCs w:val="18"/>
          <w:lang w:eastAsia="es-MX"/>
        </w:rPr>
      </w:pPr>
      <w:r w:rsidRPr="002F7244">
        <w:rPr>
          <w:rFonts w:ascii="Arial" w:eastAsia="Times New Roman" w:hAnsi="Arial" w:cs="Arial"/>
          <w:b/>
          <w:bCs/>
          <w:color w:val="2F2F2F"/>
          <w:sz w:val="18"/>
          <w:szCs w:val="18"/>
          <w:lang w:eastAsia="es-MX"/>
        </w:rPr>
        <w:t>ÚNICO. </w:t>
      </w:r>
      <w:r w:rsidRPr="002F7244">
        <w:rPr>
          <w:rFonts w:ascii="Arial" w:eastAsia="Times New Roman" w:hAnsi="Arial" w:cs="Arial"/>
          <w:color w:val="2F2F2F"/>
          <w:sz w:val="18"/>
          <w:szCs w:val="18"/>
          <w:lang w:eastAsia="es-MX"/>
        </w:rPr>
        <w:t>Se reforman las disposiciones Décima Quinta, Décima Sexta y Décima Octava; y se adiciona la disposición Décima Sexta Bis del Arancel para el cálculo de honorarios y gastos de las personas que pueden fungir como peritas y peritos ante los órganos del Poder Judicial de la Federación, para quedar como sigue:</w:t>
      </w:r>
    </w:p>
    <w:p w:rsidR="002F7244" w:rsidRPr="002F7244" w:rsidRDefault="002F7244" w:rsidP="002F7244">
      <w:pPr>
        <w:shd w:val="clear" w:color="auto" w:fill="FFFFFF"/>
        <w:spacing w:after="60" w:line="240" w:lineRule="auto"/>
        <w:jc w:val="both"/>
        <w:rPr>
          <w:rFonts w:ascii="Arial" w:eastAsia="Times New Roman" w:hAnsi="Arial" w:cs="Arial"/>
          <w:color w:val="2F2F2F"/>
          <w:sz w:val="18"/>
          <w:szCs w:val="18"/>
          <w:lang w:eastAsia="es-MX"/>
        </w:rPr>
      </w:pPr>
      <w:r w:rsidRPr="002F7244">
        <w:rPr>
          <w:rFonts w:ascii="Arial" w:eastAsia="Times New Roman" w:hAnsi="Arial" w:cs="Arial"/>
          <w:b/>
          <w:bCs/>
          <w:color w:val="2F2F2F"/>
          <w:sz w:val="18"/>
          <w:szCs w:val="18"/>
          <w:lang w:eastAsia="es-MX"/>
        </w:rPr>
        <w:t>DÉCIMA QUINTA.</w:t>
      </w:r>
      <w:r w:rsidRPr="002F7244">
        <w:rPr>
          <w:rFonts w:ascii="Arial" w:eastAsia="Times New Roman" w:hAnsi="Arial" w:cs="Arial"/>
          <w:color w:val="2F2F2F"/>
          <w:sz w:val="18"/>
          <w:szCs w:val="18"/>
          <w:lang w:eastAsia="es-MX"/>
        </w:rPr>
        <w:t> </w:t>
      </w:r>
      <w:r w:rsidRPr="002F7244">
        <w:rPr>
          <w:rFonts w:ascii="Arial" w:eastAsia="Times New Roman" w:hAnsi="Arial" w:cs="Arial"/>
          <w:b/>
          <w:bCs/>
          <w:color w:val="2F2F2F"/>
          <w:sz w:val="18"/>
          <w:szCs w:val="18"/>
          <w:lang w:eastAsia="es-MX"/>
        </w:rPr>
        <w:t>Del Arancel para la Interpretación de Lenguas Indígenas, Dialectos, Lenguas Extranjeras.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4590"/>
        <w:gridCol w:w="2790"/>
      </w:tblGrid>
      <w:tr w:rsidR="002F7244" w:rsidRPr="002F7244" w:rsidTr="002F7244">
        <w:trPr>
          <w:trHeight w:val="478"/>
        </w:trPr>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2F7244" w:rsidRPr="002F7244" w:rsidRDefault="002F7244" w:rsidP="002F7244">
            <w:pPr>
              <w:spacing w:after="20" w:line="240" w:lineRule="auto"/>
              <w:jc w:val="center"/>
              <w:rPr>
                <w:rFonts w:ascii="Arial" w:eastAsia="Times New Roman" w:hAnsi="Arial" w:cs="Arial"/>
                <w:color w:val="000000"/>
                <w:sz w:val="18"/>
                <w:szCs w:val="18"/>
                <w:lang w:eastAsia="es-MX"/>
              </w:rPr>
            </w:pPr>
            <w:r w:rsidRPr="002F7244">
              <w:rPr>
                <w:rFonts w:ascii="Arial" w:eastAsia="Times New Roman" w:hAnsi="Arial" w:cs="Arial"/>
                <w:b/>
                <w:bCs/>
                <w:color w:val="000000"/>
                <w:sz w:val="18"/>
                <w:szCs w:val="18"/>
                <w:lang w:eastAsia="es-MX"/>
              </w:rPr>
              <w:t>Rama y/o Especialidades Específicas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2F7244" w:rsidRPr="002F7244" w:rsidRDefault="002F7244" w:rsidP="002F7244">
            <w:pPr>
              <w:spacing w:after="20" w:line="240" w:lineRule="auto"/>
              <w:jc w:val="center"/>
              <w:rPr>
                <w:rFonts w:ascii="Arial" w:eastAsia="Times New Roman" w:hAnsi="Arial" w:cs="Arial"/>
                <w:color w:val="000000"/>
                <w:sz w:val="18"/>
                <w:szCs w:val="18"/>
                <w:lang w:eastAsia="es-MX"/>
              </w:rPr>
            </w:pPr>
            <w:r w:rsidRPr="002F7244">
              <w:rPr>
                <w:rFonts w:ascii="Arial" w:eastAsia="Times New Roman" w:hAnsi="Arial" w:cs="Arial"/>
                <w:b/>
                <w:bCs/>
                <w:color w:val="000000"/>
                <w:sz w:val="18"/>
                <w:szCs w:val="18"/>
                <w:lang w:eastAsia="es-MX"/>
              </w:rPr>
              <w:t>Arancel (Monto por Hora) /</w:t>
            </w:r>
            <w:r w:rsidRPr="002F7244">
              <w:rPr>
                <w:rFonts w:ascii="Arial" w:eastAsia="Times New Roman" w:hAnsi="Arial" w:cs="Arial"/>
                <w:color w:val="000000"/>
                <w:sz w:val="18"/>
                <w:szCs w:val="18"/>
                <w:lang w:eastAsia="es-MX"/>
              </w:rPr>
              <w:br/>
            </w:r>
            <w:proofErr w:type="spellStart"/>
            <w:r w:rsidRPr="002F7244">
              <w:rPr>
                <w:rFonts w:ascii="Arial" w:eastAsia="Times New Roman" w:hAnsi="Arial" w:cs="Arial"/>
                <w:b/>
                <w:bCs/>
                <w:color w:val="000000"/>
                <w:sz w:val="18"/>
                <w:szCs w:val="18"/>
                <w:lang w:eastAsia="es-MX"/>
              </w:rPr>
              <w:t>UMA´s</w:t>
            </w:r>
            <w:proofErr w:type="spellEnd"/>
          </w:p>
        </w:tc>
      </w:tr>
      <w:tr w:rsidR="002F7244" w:rsidRPr="002F7244" w:rsidTr="002F7244">
        <w:trPr>
          <w:trHeight w:val="478"/>
        </w:trPr>
        <w:tc>
          <w:tcPr>
            <w:tcW w:w="4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hideMark/>
          </w:tcPr>
          <w:p w:rsidR="002F7244" w:rsidRPr="002F7244" w:rsidRDefault="002F7244" w:rsidP="002F7244">
            <w:pPr>
              <w:spacing w:after="20" w:line="240" w:lineRule="auto"/>
              <w:jc w:val="center"/>
              <w:rPr>
                <w:rFonts w:ascii="Arial" w:eastAsia="Times New Roman" w:hAnsi="Arial" w:cs="Arial"/>
                <w:color w:val="000000"/>
                <w:sz w:val="18"/>
                <w:szCs w:val="18"/>
                <w:lang w:eastAsia="es-MX"/>
              </w:rPr>
            </w:pPr>
            <w:r w:rsidRPr="002F7244">
              <w:rPr>
                <w:rFonts w:ascii="Arial" w:eastAsia="Times New Roman" w:hAnsi="Arial" w:cs="Arial"/>
                <w:color w:val="000000"/>
                <w:sz w:val="18"/>
                <w:szCs w:val="18"/>
                <w:lang w:eastAsia="es-MX"/>
              </w:rPr>
              <w:t>Interpretación de Lenguas Indígenas, Dialectos,</w:t>
            </w:r>
            <w:r w:rsidRPr="002F7244">
              <w:rPr>
                <w:rFonts w:ascii="Arial" w:eastAsia="Times New Roman" w:hAnsi="Arial" w:cs="Arial"/>
                <w:color w:val="000000"/>
                <w:sz w:val="18"/>
                <w:szCs w:val="18"/>
                <w:lang w:eastAsia="es-MX"/>
              </w:rPr>
              <w:br/>
              <w:t>Lenguas Extranjeras (Por Hora)</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F7244" w:rsidRPr="002F7244" w:rsidRDefault="002F7244" w:rsidP="002F7244">
            <w:pPr>
              <w:spacing w:after="20" w:line="240" w:lineRule="auto"/>
              <w:jc w:val="center"/>
              <w:rPr>
                <w:rFonts w:ascii="Arial" w:eastAsia="Times New Roman" w:hAnsi="Arial" w:cs="Arial"/>
                <w:color w:val="000000"/>
                <w:sz w:val="18"/>
                <w:szCs w:val="18"/>
                <w:lang w:eastAsia="es-MX"/>
              </w:rPr>
            </w:pPr>
            <w:r w:rsidRPr="002F7244">
              <w:rPr>
                <w:rFonts w:ascii="Arial" w:eastAsia="Times New Roman" w:hAnsi="Arial" w:cs="Arial"/>
                <w:color w:val="000000"/>
                <w:sz w:val="18"/>
                <w:szCs w:val="18"/>
                <w:lang w:eastAsia="es-MX"/>
              </w:rPr>
              <w:t>10.53</w:t>
            </w:r>
          </w:p>
        </w:tc>
      </w:tr>
    </w:tbl>
    <w:p w:rsidR="002F7244" w:rsidRPr="002F7244" w:rsidRDefault="002F7244" w:rsidP="002F7244">
      <w:pPr>
        <w:shd w:val="clear" w:color="auto" w:fill="FFFFFF"/>
        <w:spacing w:after="0" w:line="240" w:lineRule="auto"/>
        <w:jc w:val="both"/>
        <w:rPr>
          <w:rFonts w:ascii="Arial" w:eastAsia="Times New Roman" w:hAnsi="Arial" w:cs="Arial"/>
          <w:color w:val="2F2F2F"/>
          <w:sz w:val="18"/>
          <w:szCs w:val="18"/>
          <w:lang w:eastAsia="es-MX"/>
        </w:rPr>
      </w:pPr>
      <w:r w:rsidRPr="002F7244">
        <w:rPr>
          <w:rFonts w:ascii="Arial" w:eastAsia="Times New Roman" w:hAnsi="Arial" w:cs="Arial"/>
          <w:color w:val="2F2F2F"/>
          <w:sz w:val="18"/>
          <w:szCs w:val="18"/>
          <w:lang w:eastAsia="es-MX"/>
        </w:rPr>
        <w:t> </w:t>
      </w:r>
    </w:p>
    <w:p w:rsidR="002F7244" w:rsidRPr="002F7244" w:rsidRDefault="002F7244" w:rsidP="002F7244">
      <w:pPr>
        <w:shd w:val="clear" w:color="auto" w:fill="FFFFFF"/>
        <w:spacing w:after="60" w:line="240" w:lineRule="auto"/>
        <w:jc w:val="both"/>
        <w:rPr>
          <w:rFonts w:ascii="Arial" w:eastAsia="Times New Roman" w:hAnsi="Arial" w:cs="Arial"/>
          <w:color w:val="2F2F2F"/>
          <w:sz w:val="18"/>
          <w:szCs w:val="18"/>
          <w:lang w:eastAsia="es-MX"/>
        </w:rPr>
      </w:pPr>
      <w:r w:rsidRPr="002F7244">
        <w:rPr>
          <w:rFonts w:ascii="Arial" w:eastAsia="Times New Roman" w:hAnsi="Arial" w:cs="Arial"/>
          <w:b/>
          <w:bCs/>
          <w:color w:val="2F2F2F"/>
          <w:sz w:val="18"/>
          <w:szCs w:val="18"/>
          <w:lang w:eastAsia="es-MX"/>
        </w:rPr>
        <w:t>DÉCIMA SEXTA.</w:t>
      </w:r>
      <w:r w:rsidRPr="002F7244">
        <w:rPr>
          <w:rFonts w:ascii="Arial" w:eastAsia="Times New Roman" w:hAnsi="Arial" w:cs="Arial"/>
          <w:color w:val="2F2F2F"/>
          <w:sz w:val="18"/>
          <w:szCs w:val="18"/>
          <w:lang w:eastAsia="es-MX"/>
        </w:rPr>
        <w:t> </w:t>
      </w:r>
      <w:r w:rsidRPr="002F7244">
        <w:rPr>
          <w:rFonts w:ascii="Arial" w:eastAsia="Times New Roman" w:hAnsi="Arial" w:cs="Arial"/>
          <w:b/>
          <w:bCs/>
          <w:color w:val="2F2F2F"/>
          <w:sz w:val="18"/>
          <w:szCs w:val="18"/>
          <w:lang w:eastAsia="es-MX"/>
        </w:rPr>
        <w:t>Del Arancel para la traducción de Lenguas Indígenas, Dialectos y Lenguas Extranjeras.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4590"/>
        <w:gridCol w:w="2790"/>
      </w:tblGrid>
      <w:tr w:rsidR="002F7244" w:rsidRPr="002F7244" w:rsidTr="002F7244">
        <w:trPr>
          <w:trHeight w:val="518"/>
        </w:trPr>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2F7244" w:rsidRPr="002F7244" w:rsidRDefault="002F7244" w:rsidP="002F7244">
            <w:pPr>
              <w:spacing w:after="40" w:line="240" w:lineRule="auto"/>
              <w:jc w:val="center"/>
              <w:rPr>
                <w:rFonts w:ascii="Arial" w:eastAsia="Times New Roman" w:hAnsi="Arial" w:cs="Arial"/>
                <w:color w:val="000000"/>
                <w:sz w:val="18"/>
                <w:szCs w:val="18"/>
                <w:lang w:eastAsia="es-MX"/>
              </w:rPr>
            </w:pPr>
            <w:r w:rsidRPr="002F7244">
              <w:rPr>
                <w:rFonts w:ascii="Arial" w:eastAsia="Times New Roman" w:hAnsi="Arial" w:cs="Arial"/>
                <w:b/>
                <w:bCs/>
                <w:color w:val="000000"/>
                <w:sz w:val="18"/>
                <w:szCs w:val="18"/>
                <w:lang w:eastAsia="es-MX"/>
              </w:rPr>
              <w:t>Rama y/o Especialidades Específicas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2F7244" w:rsidRPr="002F7244" w:rsidRDefault="002F7244" w:rsidP="002F7244">
            <w:pPr>
              <w:spacing w:after="40" w:line="240" w:lineRule="auto"/>
              <w:jc w:val="center"/>
              <w:rPr>
                <w:rFonts w:ascii="Arial" w:eastAsia="Times New Roman" w:hAnsi="Arial" w:cs="Arial"/>
                <w:color w:val="000000"/>
                <w:sz w:val="18"/>
                <w:szCs w:val="18"/>
                <w:lang w:eastAsia="es-MX"/>
              </w:rPr>
            </w:pPr>
            <w:r w:rsidRPr="002F7244">
              <w:rPr>
                <w:rFonts w:ascii="Arial" w:eastAsia="Times New Roman" w:hAnsi="Arial" w:cs="Arial"/>
                <w:b/>
                <w:bCs/>
                <w:color w:val="000000"/>
                <w:sz w:val="18"/>
                <w:szCs w:val="18"/>
                <w:lang w:eastAsia="es-MX"/>
              </w:rPr>
              <w:t>Arancel (Monto por Hoja) /</w:t>
            </w:r>
            <w:r w:rsidRPr="002F7244">
              <w:rPr>
                <w:rFonts w:ascii="Arial" w:eastAsia="Times New Roman" w:hAnsi="Arial" w:cs="Arial"/>
                <w:color w:val="000000"/>
                <w:sz w:val="18"/>
                <w:szCs w:val="18"/>
                <w:lang w:eastAsia="es-MX"/>
              </w:rPr>
              <w:br/>
            </w:r>
            <w:proofErr w:type="spellStart"/>
            <w:r w:rsidRPr="002F7244">
              <w:rPr>
                <w:rFonts w:ascii="Arial" w:eastAsia="Times New Roman" w:hAnsi="Arial" w:cs="Arial"/>
                <w:b/>
                <w:bCs/>
                <w:color w:val="000000"/>
                <w:sz w:val="18"/>
                <w:szCs w:val="18"/>
                <w:lang w:eastAsia="es-MX"/>
              </w:rPr>
              <w:t>UMA´s</w:t>
            </w:r>
            <w:proofErr w:type="spellEnd"/>
          </w:p>
        </w:tc>
      </w:tr>
      <w:tr w:rsidR="002F7244" w:rsidRPr="002F7244" w:rsidTr="002F7244">
        <w:trPr>
          <w:trHeight w:val="302"/>
        </w:trPr>
        <w:tc>
          <w:tcPr>
            <w:tcW w:w="4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F7244" w:rsidRPr="002F7244" w:rsidRDefault="002F7244" w:rsidP="002F7244">
            <w:pPr>
              <w:spacing w:after="40" w:line="240" w:lineRule="auto"/>
              <w:jc w:val="center"/>
              <w:rPr>
                <w:rFonts w:ascii="Arial" w:eastAsia="Times New Roman" w:hAnsi="Arial" w:cs="Arial"/>
                <w:color w:val="000000"/>
                <w:sz w:val="18"/>
                <w:szCs w:val="18"/>
                <w:lang w:eastAsia="es-MX"/>
              </w:rPr>
            </w:pPr>
            <w:r w:rsidRPr="002F7244">
              <w:rPr>
                <w:rFonts w:ascii="Arial" w:eastAsia="Times New Roman" w:hAnsi="Arial" w:cs="Arial"/>
                <w:color w:val="000000"/>
                <w:sz w:val="18"/>
                <w:szCs w:val="18"/>
                <w:lang w:eastAsia="es-MX"/>
              </w:rPr>
              <w:t>Traducción de Lenguas Indígenas, Dialectos y</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F7244" w:rsidRPr="002F7244" w:rsidRDefault="002F7244" w:rsidP="002F7244">
            <w:pPr>
              <w:spacing w:after="40" w:line="240" w:lineRule="auto"/>
              <w:jc w:val="center"/>
              <w:rPr>
                <w:rFonts w:ascii="Arial" w:eastAsia="Times New Roman" w:hAnsi="Arial" w:cs="Arial"/>
                <w:color w:val="000000"/>
                <w:sz w:val="18"/>
                <w:szCs w:val="18"/>
                <w:lang w:eastAsia="es-MX"/>
              </w:rPr>
            </w:pPr>
            <w:r w:rsidRPr="002F7244">
              <w:rPr>
                <w:rFonts w:ascii="Arial" w:eastAsia="Times New Roman" w:hAnsi="Arial" w:cs="Arial"/>
                <w:color w:val="000000"/>
                <w:sz w:val="18"/>
                <w:szCs w:val="18"/>
                <w:lang w:eastAsia="es-MX"/>
              </w:rPr>
              <w:t>6.98</w:t>
            </w:r>
          </w:p>
        </w:tc>
      </w:tr>
    </w:tbl>
    <w:p w:rsidR="002F7244" w:rsidRPr="002F7244" w:rsidRDefault="002F7244" w:rsidP="002F7244">
      <w:pPr>
        <w:spacing w:after="0" w:line="240" w:lineRule="auto"/>
        <w:rPr>
          <w:rFonts w:ascii="Times New Roman" w:eastAsia="Times New Roman" w:hAnsi="Times New Roman" w:cs="Times New Roman"/>
          <w:vanish/>
          <w:sz w:val="24"/>
          <w:szCs w:val="24"/>
          <w:lang w:eastAsia="es-MX"/>
        </w:rPr>
      </w:pP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4590"/>
        <w:gridCol w:w="2790"/>
      </w:tblGrid>
      <w:tr w:rsidR="002F7244" w:rsidRPr="002F7244" w:rsidTr="002F7244">
        <w:trPr>
          <w:trHeight w:val="306"/>
        </w:trPr>
        <w:tc>
          <w:tcPr>
            <w:tcW w:w="4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F7244" w:rsidRPr="002F7244" w:rsidRDefault="002F7244" w:rsidP="002F7244">
            <w:pPr>
              <w:spacing w:after="40" w:line="240" w:lineRule="auto"/>
              <w:jc w:val="center"/>
              <w:divId w:val="186987535"/>
              <w:rPr>
                <w:rFonts w:ascii="Arial" w:eastAsia="Times New Roman" w:hAnsi="Arial" w:cs="Arial"/>
                <w:color w:val="000000"/>
                <w:sz w:val="18"/>
                <w:szCs w:val="18"/>
                <w:lang w:eastAsia="es-MX"/>
              </w:rPr>
            </w:pPr>
            <w:r w:rsidRPr="002F7244">
              <w:rPr>
                <w:rFonts w:ascii="Arial" w:eastAsia="Times New Roman" w:hAnsi="Arial" w:cs="Arial"/>
                <w:color w:val="000000"/>
                <w:sz w:val="18"/>
                <w:szCs w:val="18"/>
                <w:lang w:eastAsia="es-MX"/>
              </w:rPr>
              <w:lastRenderedPageBreak/>
              <w:t>Lenguas Extranjeras (Por Hoja)</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F7244" w:rsidRPr="002F7244" w:rsidRDefault="002F7244" w:rsidP="002F7244">
            <w:pPr>
              <w:spacing w:after="0" w:line="240" w:lineRule="auto"/>
              <w:jc w:val="both"/>
              <w:rPr>
                <w:rFonts w:ascii="Arial" w:eastAsia="Times New Roman" w:hAnsi="Arial" w:cs="Arial"/>
                <w:color w:val="2F2F2F"/>
                <w:sz w:val="18"/>
                <w:szCs w:val="18"/>
                <w:lang w:eastAsia="es-MX"/>
              </w:rPr>
            </w:pPr>
          </w:p>
        </w:tc>
      </w:tr>
    </w:tbl>
    <w:p w:rsidR="002F7244" w:rsidRPr="002F7244" w:rsidRDefault="002F7244" w:rsidP="002F7244">
      <w:pPr>
        <w:shd w:val="clear" w:color="auto" w:fill="FFFFFF"/>
        <w:spacing w:after="0" w:line="240" w:lineRule="auto"/>
        <w:jc w:val="both"/>
        <w:rPr>
          <w:rFonts w:ascii="Arial" w:eastAsia="Times New Roman" w:hAnsi="Arial" w:cs="Arial"/>
          <w:color w:val="2F2F2F"/>
          <w:sz w:val="18"/>
          <w:szCs w:val="18"/>
          <w:lang w:eastAsia="es-MX"/>
        </w:rPr>
      </w:pPr>
      <w:r w:rsidRPr="002F7244">
        <w:rPr>
          <w:rFonts w:ascii="Arial" w:eastAsia="Times New Roman" w:hAnsi="Arial" w:cs="Arial"/>
          <w:color w:val="2F2F2F"/>
          <w:sz w:val="18"/>
          <w:szCs w:val="18"/>
          <w:lang w:eastAsia="es-MX"/>
        </w:rPr>
        <w:t> </w:t>
      </w:r>
    </w:p>
    <w:p w:rsidR="002F7244" w:rsidRPr="002F7244" w:rsidRDefault="002F7244" w:rsidP="002F7244">
      <w:pPr>
        <w:shd w:val="clear" w:color="auto" w:fill="FFFFFF"/>
        <w:spacing w:after="101" w:line="240" w:lineRule="auto"/>
        <w:jc w:val="both"/>
        <w:rPr>
          <w:rFonts w:ascii="Arial" w:eastAsia="Times New Roman" w:hAnsi="Arial" w:cs="Arial"/>
          <w:color w:val="2F2F2F"/>
          <w:sz w:val="18"/>
          <w:szCs w:val="18"/>
          <w:lang w:eastAsia="es-MX"/>
        </w:rPr>
      </w:pPr>
      <w:r w:rsidRPr="002F7244">
        <w:rPr>
          <w:rFonts w:ascii="Arial" w:eastAsia="Times New Roman" w:hAnsi="Arial" w:cs="Arial"/>
          <w:b/>
          <w:bCs/>
          <w:color w:val="2F2F2F"/>
          <w:sz w:val="18"/>
          <w:szCs w:val="18"/>
          <w:lang w:eastAsia="es-MX"/>
        </w:rPr>
        <w:t>DÉCIMA SEXTA BIS.</w:t>
      </w:r>
      <w:r w:rsidRPr="002F7244">
        <w:rPr>
          <w:rFonts w:ascii="Arial" w:eastAsia="Times New Roman" w:hAnsi="Arial" w:cs="Arial"/>
          <w:color w:val="2F2F2F"/>
          <w:sz w:val="18"/>
          <w:szCs w:val="18"/>
          <w:lang w:eastAsia="es-MX"/>
        </w:rPr>
        <w:t> </w:t>
      </w:r>
      <w:r w:rsidRPr="002F7244">
        <w:rPr>
          <w:rFonts w:ascii="Arial" w:eastAsia="Times New Roman" w:hAnsi="Arial" w:cs="Arial"/>
          <w:b/>
          <w:bCs/>
          <w:color w:val="2F2F2F"/>
          <w:sz w:val="18"/>
          <w:szCs w:val="18"/>
          <w:lang w:eastAsia="es-MX"/>
        </w:rPr>
        <w:t>Del Arancel para la Interpretación de Lengua de Señas.</w:t>
      </w:r>
    </w:p>
    <w:tbl>
      <w:tblPr>
        <w:tblW w:w="0" w:type="auto"/>
        <w:tblInd w:w="720" w:type="dxa"/>
        <w:shd w:val="clear" w:color="auto" w:fill="FFFFFF"/>
        <w:tblCellMar>
          <w:top w:w="15" w:type="dxa"/>
          <w:left w:w="15" w:type="dxa"/>
          <w:bottom w:w="15" w:type="dxa"/>
          <w:right w:w="15" w:type="dxa"/>
        </w:tblCellMar>
        <w:tblLook w:val="04A0" w:firstRow="1" w:lastRow="0" w:firstColumn="1" w:lastColumn="0" w:noHBand="0" w:noVBand="1"/>
      </w:tblPr>
      <w:tblGrid>
        <w:gridCol w:w="4590"/>
        <w:gridCol w:w="2790"/>
      </w:tblGrid>
      <w:tr w:rsidR="002F7244" w:rsidRPr="002F7244" w:rsidTr="002F7244">
        <w:trPr>
          <w:trHeight w:val="518"/>
        </w:trPr>
        <w:tc>
          <w:tcPr>
            <w:tcW w:w="459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2F7244" w:rsidRPr="002F7244" w:rsidRDefault="002F7244" w:rsidP="002F7244">
            <w:pPr>
              <w:spacing w:after="40" w:line="240" w:lineRule="auto"/>
              <w:jc w:val="center"/>
              <w:rPr>
                <w:rFonts w:ascii="Arial" w:eastAsia="Times New Roman" w:hAnsi="Arial" w:cs="Arial"/>
                <w:color w:val="000000"/>
                <w:sz w:val="18"/>
                <w:szCs w:val="18"/>
                <w:lang w:eastAsia="es-MX"/>
              </w:rPr>
            </w:pPr>
            <w:r w:rsidRPr="002F7244">
              <w:rPr>
                <w:rFonts w:ascii="Arial" w:eastAsia="Times New Roman" w:hAnsi="Arial" w:cs="Arial"/>
                <w:b/>
                <w:bCs/>
                <w:color w:val="000000"/>
                <w:sz w:val="18"/>
                <w:szCs w:val="18"/>
                <w:lang w:eastAsia="es-MX"/>
              </w:rPr>
              <w:t>Rama y/o Especialidades Específicas</w:t>
            </w:r>
          </w:p>
        </w:tc>
        <w:tc>
          <w:tcPr>
            <w:tcW w:w="2790" w:type="dxa"/>
            <w:tcBorders>
              <w:top w:val="single" w:sz="4" w:space="0" w:color="000000"/>
              <w:left w:val="single" w:sz="4" w:space="0" w:color="000000"/>
              <w:bottom w:val="single" w:sz="4" w:space="0" w:color="000000"/>
              <w:right w:val="single" w:sz="4" w:space="0" w:color="000000"/>
            </w:tcBorders>
            <w:shd w:val="clear" w:color="auto" w:fill="D9D9D9"/>
            <w:tcMar>
              <w:top w:w="0" w:type="dxa"/>
              <w:left w:w="72" w:type="dxa"/>
              <w:bottom w:w="0" w:type="dxa"/>
              <w:right w:w="72" w:type="dxa"/>
            </w:tcMar>
            <w:hideMark/>
          </w:tcPr>
          <w:p w:rsidR="002F7244" w:rsidRPr="002F7244" w:rsidRDefault="002F7244" w:rsidP="002F7244">
            <w:pPr>
              <w:spacing w:after="40" w:line="240" w:lineRule="auto"/>
              <w:jc w:val="center"/>
              <w:rPr>
                <w:rFonts w:ascii="Arial" w:eastAsia="Times New Roman" w:hAnsi="Arial" w:cs="Arial"/>
                <w:color w:val="000000"/>
                <w:sz w:val="18"/>
                <w:szCs w:val="18"/>
                <w:lang w:eastAsia="es-MX"/>
              </w:rPr>
            </w:pPr>
            <w:r w:rsidRPr="002F7244">
              <w:rPr>
                <w:rFonts w:ascii="Arial" w:eastAsia="Times New Roman" w:hAnsi="Arial" w:cs="Arial"/>
                <w:b/>
                <w:bCs/>
                <w:color w:val="000000"/>
                <w:sz w:val="18"/>
                <w:szCs w:val="18"/>
                <w:lang w:eastAsia="es-MX"/>
              </w:rPr>
              <w:t>Arancel (Monto por Hora) /</w:t>
            </w:r>
            <w:r w:rsidRPr="002F7244">
              <w:rPr>
                <w:rFonts w:ascii="Arial" w:eastAsia="Times New Roman" w:hAnsi="Arial" w:cs="Arial"/>
                <w:color w:val="000000"/>
                <w:sz w:val="18"/>
                <w:szCs w:val="18"/>
                <w:lang w:eastAsia="es-MX"/>
              </w:rPr>
              <w:br/>
            </w:r>
            <w:proofErr w:type="spellStart"/>
            <w:r w:rsidRPr="002F7244">
              <w:rPr>
                <w:rFonts w:ascii="Arial" w:eastAsia="Times New Roman" w:hAnsi="Arial" w:cs="Arial"/>
                <w:b/>
                <w:bCs/>
                <w:color w:val="000000"/>
                <w:sz w:val="18"/>
                <w:szCs w:val="18"/>
                <w:lang w:eastAsia="es-MX"/>
              </w:rPr>
              <w:t>UMA´s</w:t>
            </w:r>
            <w:proofErr w:type="spellEnd"/>
          </w:p>
        </w:tc>
      </w:tr>
      <w:tr w:rsidR="002F7244" w:rsidRPr="002F7244" w:rsidTr="002F7244">
        <w:trPr>
          <w:trHeight w:val="306"/>
        </w:trPr>
        <w:tc>
          <w:tcPr>
            <w:tcW w:w="45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F7244" w:rsidRPr="002F7244" w:rsidRDefault="002F7244" w:rsidP="002F7244">
            <w:pPr>
              <w:spacing w:after="40" w:line="240" w:lineRule="auto"/>
              <w:jc w:val="center"/>
              <w:rPr>
                <w:rFonts w:ascii="Arial" w:eastAsia="Times New Roman" w:hAnsi="Arial" w:cs="Arial"/>
                <w:color w:val="000000"/>
                <w:sz w:val="18"/>
                <w:szCs w:val="18"/>
                <w:lang w:eastAsia="es-MX"/>
              </w:rPr>
            </w:pPr>
            <w:r w:rsidRPr="002F7244">
              <w:rPr>
                <w:rFonts w:ascii="Arial" w:eastAsia="Times New Roman" w:hAnsi="Arial" w:cs="Arial"/>
                <w:color w:val="000000"/>
                <w:sz w:val="18"/>
                <w:szCs w:val="18"/>
                <w:lang w:eastAsia="es-MX"/>
              </w:rPr>
              <w:t>Interpretación de Lengua de Señas (Por Hora)</w:t>
            </w:r>
          </w:p>
        </w:tc>
        <w:tc>
          <w:tcPr>
            <w:tcW w:w="2790" w:type="dxa"/>
            <w:tcBorders>
              <w:top w:val="single" w:sz="4" w:space="0" w:color="000000"/>
              <w:left w:val="single" w:sz="4" w:space="0" w:color="000000"/>
              <w:bottom w:val="single" w:sz="4" w:space="0" w:color="000000"/>
              <w:right w:val="single" w:sz="4" w:space="0" w:color="000000"/>
            </w:tcBorders>
            <w:shd w:val="clear" w:color="auto" w:fill="FFFFFF"/>
            <w:tcMar>
              <w:top w:w="0" w:type="dxa"/>
              <w:left w:w="72" w:type="dxa"/>
              <w:bottom w:w="0" w:type="dxa"/>
              <w:right w:w="72" w:type="dxa"/>
            </w:tcMar>
            <w:vAlign w:val="center"/>
            <w:hideMark/>
          </w:tcPr>
          <w:p w:rsidR="002F7244" w:rsidRPr="002F7244" w:rsidRDefault="002F7244" w:rsidP="002F7244">
            <w:pPr>
              <w:spacing w:after="40" w:line="240" w:lineRule="auto"/>
              <w:jc w:val="center"/>
              <w:rPr>
                <w:rFonts w:ascii="Arial" w:eastAsia="Times New Roman" w:hAnsi="Arial" w:cs="Arial"/>
                <w:color w:val="000000"/>
                <w:sz w:val="18"/>
                <w:szCs w:val="18"/>
                <w:lang w:eastAsia="es-MX"/>
              </w:rPr>
            </w:pPr>
            <w:r w:rsidRPr="002F7244">
              <w:rPr>
                <w:rFonts w:ascii="Arial" w:eastAsia="Times New Roman" w:hAnsi="Arial" w:cs="Arial"/>
                <w:color w:val="000000"/>
                <w:sz w:val="18"/>
                <w:szCs w:val="18"/>
                <w:lang w:eastAsia="es-MX"/>
              </w:rPr>
              <w:t>12.86</w:t>
            </w:r>
          </w:p>
        </w:tc>
      </w:tr>
    </w:tbl>
    <w:p w:rsidR="002F7244" w:rsidRPr="002F7244" w:rsidRDefault="002F7244" w:rsidP="002F7244">
      <w:pPr>
        <w:shd w:val="clear" w:color="auto" w:fill="FFFFFF"/>
        <w:spacing w:after="0" w:line="240" w:lineRule="auto"/>
        <w:jc w:val="both"/>
        <w:rPr>
          <w:rFonts w:ascii="Arial" w:eastAsia="Times New Roman" w:hAnsi="Arial" w:cs="Arial"/>
          <w:color w:val="2F2F2F"/>
          <w:sz w:val="18"/>
          <w:szCs w:val="18"/>
          <w:lang w:eastAsia="es-MX"/>
        </w:rPr>
      </w:pPr>
      <w:r w:rsidRPr="002F7244">
        <w:rPr>
          <w:rFonts w:ascii="Arial" w:eastAsia="Times New Roman" w:hAnsi="Arial" w:cs="Arial"/>
          <w:color w:val="2F2F2F"/>
          <w:sz w:val="18"/>
          <w:szCs w:val="18"/>
          <w:lang w:eastAsia="es-MX"/>
        </w:rPr>
        <w:t> </w:t>
      </w:r>
    </w:p>
    <w:p w:rsidR="002F7244" w:rsidRPr="002F7244" w:rsidRDefault="002F7244" w:rsidP="002F7244">
      <w:pPr>
        <w:shd w:val="clear" w:color="auto" w:fill="FFFFFF"/>
        <w:spacing w:after="101" w:line="240" w:lineRule="auto"/>
        <w:jc w:val="center"/>
        <w:rPr>
          <w:rFonts w:ascii="Arial" w:eastAsia="Times New Roman" w:hAnsi="Arial" w:cs="Arial"/>
          <w:color w:val="2F2F2F"/>
          <w:sz w:val="18"/>
          <w:szCs w:val="18"/>
          <w:lang w:eastAsia="es-MX"/>
        </w:rPr>
      </w:pPr>
      <w:r w:rsidRPr="002F7244">
        <w:rPr>
          <w:rFonts w:ascii="Arial" w:eastAsia="Times New Roman" w:hAnsi="Arial" w:cs="Arial"/>
          <w:b/>
          <w:bCs/>
          <w:color w:val="2F2F2F"/>
          <w:sz w:val="18"/>
          <w:szCs w:val="18"/>
          <w:lang w:eastAsia="es-MX"/>
        </w:rPr>
        <w:t>CAPÍTULO III</w:t>
      </w:r>
    </w:p>
    <w:p w:rsidR="002F7244" w:rsidRPr="002F7244" w:rsidRDefault="002F7244" w:rsidP="002F7244">
      <w:pPr>
        <w:shd w:val="clear" w:color="auto" w:fill="FFFFFF"/>
        <w:spacing w:after="80" w:line="240" w:lineRule="auto"/>
        <w:jc w:val="center"/>
        <w:rPr>
          <w:rFonts w:ascii="Arial" w:eastAsia="Times New Roman" w:hAnsi="Arial" w:cs="Arial"/>
          <w:color w:val="2F2F2F"/>
          <w:sz w:val="18"/>
          <w:szCs w:val="18"/>
          <w:lang w:eastAsia="es-MX"/>
        </w:rPr>
      </w:pPr>
      <w:r w:rsidRPr="002F7244">
        <w:rPr>
          <w:rFonts w:ascii="Arial" w:eastAsia="Times New Roman" w:hAnsi="Arial" w:cs="Arial"/>
          <w:b/>
          <w:bCs/>
          <w:color w:val="2F2F2F"/>
          <w:sz w:val="18"/>
          <w:szCs w:val="18"/>
          <w:lang w:eastAsia="es-MX"/>
        </w:rPr>
        <w:t>DISPOSICIONES SOBRE EL PAGO DE LOS GASTOS</w:t>
      </w:r>
    </w:p>
    <w:p w:rsidR="002F7244" w:rsidRPr="002F7244" w:rsidRDefault="002F7244" w:rsidP="002F7244">
      <w:pPr>
        <w:shd w:val="clear" w:color="auto" w:fill="FFFFFF"/>
        <w:spacing w:after="80" w:line="240" w:lineRule="auto"/>
        <w:jc w:val="both"/>
        <w:rPr>
          <w:rFonts w:ascii="Arial" w:eastAsia="Times New Roman" w:hAnsi="Arial" w:cs="Arial"/>
          <w:color w:val="2F2F2F"/>
          <w:sz w:val="18"/>
          <w:szCs w:val="18"/>
          <w:lang w:eastAsia="es-MX"/>
        </w:rPr>
      </w:pPr>
      <w:r w:rsidRPr="002F7244">
        <w:rPr>
          <w:rFonts w:ascii="Arial" w:eastAsia="Times New Roman" w:hAnsi="Arial" w:cs="Arial"/>
          <w:b/>
          <w:bCs/>
          <w:color w:val="2F2F2F"/>
          <w:sz w:val="18"/>
          <w:szCs w:val="18"/>
          <w:lang w:eastAsia="es-MX"/>
        </w:rPr>
        <w:t>DÉCIMA OCTAVA</w:t>
      </w:r>
      <w:r w:rsidRPr="002F7244">
        <w:rPr>
          <w:rFonts w:ascii="Arial" w:eastAsia="Times New Roman" w:hAnsi="Arial" w:cs="Arial"/>
          <w:color w:val="2F2F2F"/>
          <w:sz w:val="18"/>
          <w:szCs w:val="18"/>
          <w:lang w:eastAsia="es-MX"/>
        </w:rPr>
        <w:t>. El pago de gastos a las peritas o los peritos, necesarios para la prestación de sus servicios, efectuados dentro del territorio nacional, fuera de su sede habitual de trabajo, se pagará cuando se ajuste a las cantidades y criterios establecidos para un servidor público del Consejo con nivel de Subdirector; las actualizaciones correspondientes se realizarán conforme a las variaciones que tengan dichos criterios.</w:t>
      </w:r>
    </w:p>
    <w:p w:rsidR="002F7244" w:rsidRPr="002F7244" w:rsidRDefault="002F7244" w:rsidP="002F7244">
      <w:pPr>
        <w:shd w:val="clear" w:color="auto" w:fill="FFFFFF"/>
        <w:spacing w:after="80" w:line="240" w:lineRule="auto"/>
        <w:jc w:val="both"/>
        <w:rPr>
          <w:rFonts w:ascii="Arial" w:eastAsia="Times New Roman" w:hAnsi="Arial" w:cs="Arial"/>
          <w:color w:val="2F2F2F"/>
          <w:sz w:val="18"/>
          <w:szCs w:val="18"/>
          <w:lang w:eastAsia="es-MX"/>
        </w:rPr>
      </w:pPr>
      <w:r w:rsidRPr="002F7244">
        <w:rPr>
          <w:rFonts w:ascii="Arial" w:eastAsia="Times New Roman" w:hAnsi="Arial" w:cs="Arial"/>
          <w:color w:val="2F2F2F"/>
          <w:sz w:val="18"/>
          <w:szCs w:val="18"/>
          <w:lang w:eastAsia="es-MX"/>
        </w:rPr>
        <w:t>Cuando una institución pública o privada proporcione un experto que de manera gratuita realice la pericial o brinde el apoyo requerido por los órganos y solicite cubrir gastos, éstos se pagarán conforme a los criterios precisados en el párrafo que antecede.</w:t>
      </w:r>
    </w:p>
    <w:p w:rsidR="002F7244" w:rsidRPr="002F7244" w:rsidRDefault="002F7244" w:rsidP="002F7244">
      <w:pPr>
        <w:shd w:val="clear" w:color="auto" w:fill="FFFFFF"/>
        <w:spacing w:after="80" w:line="240" w:lineRule="auto"/>
        <w:jc w:val="both"/>
        <w:rPr>
          <w:rFonts w:ascii="Arial" w:eastAsia="Times New Roman" w:hAnsi="Arial" w:cs="Arial"/>
          <w:color w:val="2F2F2F"/>
          <w:sz w:val="18"/>
          <w:szCs w:val="18"/>
          <w:lang w:eastAsia="es-MX"/>
        </w:rPr>
      </w:pPr>
      <w:r w:rsidRPr="002F7244">
        <w:rPr>
          <w:rFonts w:ascii="Arial" w:eastAsia="Times New Roman" w:hAnsi="Arial" w:cs="Arial"/>
          <w:color w:val="2F2F2F"/>
          <w:sz w:val="18"/>
          <w:szCs w:val="18"/>
          <w:lang w:eastAsia="es-MX"/>
        </w:rPr>
        <w:t>Tratándose de las peritas o los peritos intérpretes y traductores en lenguas indígenas y lenguaje de señas tendrán hasta $1,000.00 (Un mil pesos 00/100 M.N.) exentos de comprobantes fiscales, presentando únicamente una relación de los gastos efectuados firmada por las personas traductoras e intérpretes; para el resto de los gastos que realicen en zonas urbanas, deberán presentar la documentación comprobatoria para su reembolso.</w:t>
      </w:r>
    </w:p>
    <w:p w:rsidR="002F7244" w:rsidRPr="002F7244" w:rsidRDefault="002F7244" w:rsidP="002F7244">
      <w:pPr>
        <w:shd w:val="clear" w:color="auto" w:fill="FFFFFF"/>
        <w:spacing w:after="80" w:line="240" w:lineRule="auto"/>
        <w:ind w:firstLine="288"/>
        <w:jc w:val="both"/>
        <w:rPr>
          <w:rFonts w:ascii="Arial" w:eastAsia="Times New Roman" w:hAnsi="Arial" w:cs="Arial"/>
          <w:color w:val="2F2F2F"/>
          <w:sz w:val="18"/>
          <w:szCs w:val="18"/>
          <w:lang w:eastAsia="es-MX"/>
        </w:rPr>
      </w:pPr>
      <w:r w:rsidRPr="002F7244">
        <w:rPr>
          <w:rFonts w:ascii="Arial" w:eastAsia="Times New Roman" w:hAnsi="Arial" w:cs="Arial"/>
          <w:color w:val="2F2F2F"/>
          <w:sz w:val="18"/>
          <w:szCs w:val="18"/>
          <w:lang w:eastAsia="es-MX"/>
        </w:rPr>
        <w:t>En este sentido, se estableció que la publicación en este Diario Oficial de la Federación de las reformas al Arancel para el cálculo de honorarios y gastos de las personas que pueden fungir como peritas y peritos ante los órganos del Poder Judicial de la Federación</w:t>
      </w:r>
      <w:r w:rsidRPr="002F7244">
        <w:rPr>
          <w:rFonts w:ascii="Arial" w:eastAsia="Times New Roman" w:hAnsi="Arial" w:cs="Arial"/>
          <w:color w:val="000000"/>
          <w:sz w:val="18"/>
          <w:szCs w:val="18"/>
          <w:lang w:eastAsia="es-MX"/>
        </w:rPr>
        <w:t>, </w:t>
      </w:r>
      <w:r w:rsidRPr="002F7244">
        <w:rPr>
          <w:rFonts w:ascii="Arial" w:eastAsia="Times New Roman" w:hAnsi="Arial" w:cs="Arial"/>
          <w:color w:val="2F2F2F"/>
          <w:sz w:val="18"/>
          <w:szCs w:val="18"/>
          <w:lang w:eastAsia="es-MX"/>
        </w:rPr>
        <w:t>se llevará a cabo a través del presente aviso.</w:t>
      </w:r>
    </w:p>
    <w:p w:rsidR="002F7244" w:rsidRPr="002F7244" w:rsidRDefault="002F7244" w:rsidP="002F7244">
      <w:pPr>
        <w:shd w:val="clear" w:color="auto" w:fill="FFFFFF"/>
        <w:spacing w:after="101" w:line="240" w:lineRule="auto"/>
        <w:ind w:firstLine="288"/>
        <w:jc w:val="both"/>
        <w:rPr>
          <w:rFonts w:ascii="Arial" w:eastAsia="Times New Roman" w:hAnsi="Arial" w:cs="Arial"/>
          <w:color w:val="2F2F2F"/>
          <w:sz w:val="18"/>
          <w:szCs w:val="18"/>
          <w:lang w:eastAsia="es-MX"/>
        </w:rPr>
      </w:pPr>
      <w:r w:rsidRPr="002F7244">
        <w:rPr>
          <w:rFonts w:ascii="Arial" w:eastAsia="Times New Roman" w:hAnsi="Arial" w:cs="Arial"/>
          <w:color w:val="2F2F2F"/>
          <w:sz w:val="18"/>
          <w:szCs w:val="18"/>
          <w:lang w:eastAsia="es-MX"/>
        </w:rPr>
        <w:t>Ciudad de México, a 16 de marzo de 2023.- Titular de la Unidad de Peritos Judiciales, Maestra </w:t>
      </w:r>
      <w:r w:rsidRPr="002F7244">
        <w:rPr>
          <w:rFonts w:ascii="Arial" w:eastAsia="Times New Roman" w:hAnsi="Arial" w:cs="Arial"/>
          <w:b/>
          <w:bCs/>
          <w:color w:val="2F2F2F"/>
          <w:sz w:val="18"/>
          <w:szCs w:val="18"/>
          <w:lang w:eastAsia="es-MX"/>
        </w:rPr>
        <w:t>Thalía Violeta Velázquez López</w:t>
      </w:r>
      <w:r w:rsidRPr="002F7244">
        <w:rPr>
          <w:rFonts w:ascii="Arial" w:eastAsia="Times New Roman" w:hAnsi="Arial" w:cs="Arial"/>
          <w:color w:val="2F2F2F"/>
          <w:sz w:val="18"/>
          <w:szCs w:val="18"/>
          <w:lang w:eastAsia="es-MX"/>
        </w:rPr>
        <w:t>.- Rúbrica.</w:t>
      </w:r>
    </w:p>
    <w:p w:rsidR="002F7244" w:rsidRDefault="002F7244" w:rsidP="002F7244">
      <w:pPr>
        <w:jc w:val="both"/>
      </w:pPr>
    </w:p>
    <w:sectPr w:rsidR="002F72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244"/>
    <w:rsid w:val="002F7244"/>
    <w:rsid w:val="00F062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2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car">
    <w:name w:val="_car_car"/>
    <w:basedOn w:val="Fuentedeprrafopredeter"/>
    <w:rsid w:val="002F72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724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car">
    <w:name w:val="_car_car"/>
    <w:basedOn w:val="Fuentedeprrafopredeter"/>
    <w:rsid w:val="002F72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397081">
      <w:bodyDiv w:val="1"/>
      <w:marLeft w:val="0"/>
      <w:marRight w:val="0"/>
      <w:marTop w:val="0"/>
      <w:marBottom w:val="0"/>
      <w:divBdr>
        <w:top w:val="none" w:sz="0" w:space="0" w:color="auto"/>
        <w:left w:val="none" w:sz="0" w:space="0" w:color="auto"/>
        <w:bottom w:val="none" w:sz="0" w:space="0" w:color="auto"/>
        <w:right w:val="none" w:sz="0" w:space="0" w:color="auto"/>
      </w:divBdr>
      <w:divsChild>
        <w:div w:id="210002107">
          <w:marLeft w:val="0"/>
          <w:marRight w:val="0"/>
          <w:marTop w:val="0"/>
          <w:marBottom w:val="40"/>
          <w:divBdr>
            <w:top w:val="none" w:sz="0" w:space="0" w:color="auto"/>
            <w:left w:val="none" w:sz="0" w:space="0" w:color="auto"/>
            <w:bottom w:val="none" w:sz="0" w:space="0" w:color="auto"/>
            <w:right w:val="none" w:sz="0" w:space="0" w:color="auto"/>
          </w:divBdr>
        </w:div>
        <w:div w:id="2024168207">
          <w:marLeft w:val="0"/>
          <w:marRight w:val="0"/>
          <w:marTop w:val="0"/>
          <w:marBottom w:val="40"/>
          <w:divBdr>
            <w:top w:val="none" w:sz="0" w:space="0" w:color="auto"/>
            <w:left w:val="none" w:sz="0" w:space="0" w:color="auto"/>
            <w:bottom w:val="none" w:sz="0" w:space="0" w:color="auto"/>
            <w:right w:val="none" w:sz="0" w:space="0" w:color="auto"/>
          </w:divBdr>
        </w:div>
        <w:div w:id="1712609561">
          <w:marLeft w:val="0"/>
          <w:marRight w:val="0"/>
          <w:marTop w:val="101"/>
          <w:marBottom w:val="40"/>
          <w:divBdr>
            <w:top w:val="none" w:sz="0" w:space="0" w:color="auto"/>
            <w:left w:val="none" w:sz="0" w:space="0" w:color="auto"/>
            <w:bottom w:val="none" w:sz="0" w:space="0" w:color="auto"/>
            <w:right w:val="none" w:sz="0" w:space="0" w:color="auto"/>
          </w:divBdr>
        </w:div>
        <w:div w:id="1041712801">
          <w:marLeft w:val="720"/>
          <w:marRight w:val="720"/>
          <w:marTop w:val="0"/>
          <w:marBottom w:val="40"/>
          <w:divBdr>
            <w:top w:val="none" w:sz="0" w:space="0" w:color="auto"/>
            <w:left w:val="none" w:sz="0" w:space="0" w:color="auto"/>
            <w:bottom w:val="none" w:sz="0" w:space="0" w:color="auto"/>
            <w:right w:val="none" w:sz="0" w:space="0" w:color="auto"/>
          </w:divBdr>
        </w:div>
        <w:div w:id="839926514">
          <w:marLeft w:val="720"/>
          <w:marRight w:val="720"/>
          <w:marTop w:val="0"/>
          <w:marBottom w:val="40"/>
          <w:divBdr>
            <w:top w:val="none" w:sz="0" w:space="0" w:color="auto"/>
            <w:left w:val="none" w:sz="0" w:space="0" w:color="auto"/>
            <w:bottom w:val="none" w:sz="0" w:space="0" w:color="auto"/>
            <w:right w:val="none" w:sz="0" w:space="0" w:color="auto"/>
          </w:divBdr>
        </w:div>
        <w:div w:id="1433088130">
          <w:marLeft w:val="720"/>
          <w:marRight w:val="720"/>
          <w:marTop w:val="0"/>
          <w:marBottom w:val="60"/>
          <w:divBdr>
            <w:top w:val="none" w:sz="0" w:space="0" w:color="auto"/>
            <w:left w:val="none" w:sz="0" w:space="0" w:color="auto"/>
            <w:bottom w:val="none" w:sz="0" w:space="0" w:color="auto"/>
            <w:right w:val="none" w:sz="0" w:space="0" w:color="auto"/>
          </w:divBdr>
        </w:div>
        <w:div w:id="173304958">
          <w:marLeft w:val="720"/>
          <w:marRight w:val="720"/>
          <w:marTop w:val="101"/>
          <w:marBottom w:val="60"/>
          <w:divBdr>
            <w:top w:val="none" w:sz="0" w:space="0" w:color="auto"/>
            <w:left w:val="none" w:sz="0" w:space="0" w:color="auto"/>
            <w:bottom w:val="none" w:sz="0" w:space="0" w:color="auto"/>
            <w:right w:val="none" w:sz="0" w:space="0" w:color="auto"/>
          </w:divBdr>
        </w:div>
        <w:div w:id="1361475065">
          <w:marLeft w:val="720"/>
          <w:marRight w:val="720"/>
          <w:marTop w:val="0"/>
          <w:marBottom w:val="60"/>
          <w:divBdr>
            <w:top w:val="none" w:sz="0" w:space="0" w:color="auto"/>
            <w:left w:val="none" w:sz="0" w:space="0" w:color="auto"/>
            <w:bottom w:val="none" w:sz="0" w:space="0" w:color="auto"/>
            <w:right w:val="none" w:sz="0" w:space="0" w:color="auto"/>
          </w:divBdr>
        </w:div>
        <w:div w:id="242877338">
          <w:marLeft w:val="720"/>
          <w:marRight w:val="720"/>
          <w:marTop w:val="0"/>
          <w:marBottom w:val="60"/>
          <w:divBdr>
            <w:top w:val="none" w:sz="0" w:space="0" w:color="auto"/>
            <w:left w:val="none" w:sz="0" w:space="0" w:color="auto"/>
            <w:bottom w:val="none" w:sz="0" w:space="0" w:color="auto"/>
            <w:right w:val="none" w:sz="0" w:space="0" w:color="auto"/>
          </w:divBdr>
        </w:div>
        <w:div w:id="1027827284">
          <w:marLeft w:val="0"/>
          <w:marRight w:val="0"/>
          <w:marTop w:val="20"/>
          <w:marBottom w:val="20"/>
          <w:divBdr>
            <w:top w:val="none" w:sz="0" w:space="0" w:color="auto"/>
            <w:left w:val="none" w:sz="0" w:space="0" w:color="auto"/>
            <w:bottom w:val="none" w:sz="0" w:space="0" w:color="auto"/>
            <w:right w:val="none" w:sz="0" w:space="0" w:color="auto"/>
          </w:divBdr>
        </w:div>
        <w:div w:id="1379403700">
          <w:marLeft w:val="0"/>
          <w:marRight w:val="0"/>
          <w:marTop w:val="20"/>
          <w:marBottom w:val="20"/>
          <w:divBdr>
            <w:top w:val="none" w:sz="0" w:space="0" w:color="auto"/>
            <w:left w:val="none" w:sz="0" w:space="0" w:color="auto"/>
            <w:bottom w:val="none" w:sz="0" w:space="0" w:color="auto"/>
            <w:right w:val="none" w:sz="0" w:space="0" w:color="auto"/>
          </w:divBdr>
        </w:div>
        <w:div w:id="242375334">
          <w:marLeft w:val="0"/>
          <w:marRight w:val="0"/>
          <w:marTop w:val="20"/>
          <w:marBottom w:val="20"/>
          <w:divBdr>
            <w:top w:val="none" w:sz="0" w:space="0" w:color="auto"/>
            <w:left w:val="none" w:sz="0" w:space="0" w:color="auto"/>
            <w:bottom w:val="none" w:sz="0" w:space="0" w:color="auto"/>
            <w:right w:val="none" w:sz="0" w:space="0" w:color="auto"/>
          </w:divBdr>
        </w:div>
        <w:div w:id="1169825962">
          <w:marLeft w:val="0"/>
          <w:marRight w:val="0"/>
          <w:marTop w:val="20"/>
          <w:marBottom w:val="20"/>
          <w:divBdr>
            <w:top w:val="none" w:sz="0" w:space="0" w:color="auto"/>
            <w:left w:val="none" w:sz="0" w:space="0" w:color="auto"/>
            <w:bottom w:val="none" w:sz="0" w:space="0" w:color="auto"/>
            <w:right w:val="none" w:sz="0" w:space="0" w:color="auto"/>
          </w:divBdr>
        </w:div>
        <w:div w:id="61564131">
          <w:marLeft w:val="720"/>
          <w:marRight w:val="720"/>
          <w:marTop w:val="0"/>
          <w:marBottom w:val="0"/>
          <w:divBdr>
            <w:top w:val="none" w:sz="0" w:space="0" w:color="auto"/>
            <w:left w:val="none" w:sz="0" w:space="0" w:color="auto"/>
            <w:bottom w:val="none" w:sz="0" w:space="0" w:color="auto"/>
            <w:right w:val="none" w:sz="0" w:space="0" w:color="auto"/>
          </w:divBdr>
        </w:div>
        <w:div w:id="21590567">
          <w:marLeft w:val="720"/>
          <w:marRight w:val="720"/>
          <w:marTop w:val="0"/>
          <w:marBottom w:val="60"/>
          <w:divBdr>
            <w:top w:val="none" w:sz="0" w:space="0" w:color="auto"/>
            <w:left w:val="none" w:sz="0" w:space="0" w:color="auto"/>
            <w:bottom w:val="none" w:sz="0" w:space="0" w:color="auto"/>
            <w:right w:val="none" w:sz="0" w:space="0" w:color="auto"/>
          </w:divBdr>
        </w:div>
        <w:div w:id="1675381526">
          <w:marLeft w:val="0"/>
          <w:marRight w:val="0"/>
          <w:marTop w:val="40"/>
          <w:marBottom w:val="40"/>
          <w:divBdr>
            <w:top w:val="none" w:sz="0" w:space="0" w:color="auto"/>
            <w:left w:val="none" w:sz="0" w:space="0" w:color="auto"/>
            <w:bottom w:val="none" w:sz="0" w:space="0" w:color="auto"/>
            <w:right w:val="none" w:sz="0" w:space="0" w:color="auto"/>
          </w:divBdr>
        </w:div>
        <w:div w:id="902986782">
          <w:marLeft w:val="0"/>
          <w:marRight w:val="0"/>
          <w:marTop w:val="40"/>
          <w:marBottom w:val="40"/>
          <w:divBdr>
            <w:top w:val="none" w:sz="0" w:space="0" w:color="auto"/>
            <w:left w:val="none" w:sz="0" w:space="0" w:color="auto"/>
            <w:bottom w:val="none" w:sz="0" w:space="0" w:color="auto"/>
            <w:right w:val="none" w:sz="0" w:space="0" w:color="auto"/>
          </w:divBdr>
        </w:div>
        <w:div w:id="1217855603">
          <w:marLeft w:val="0"/>
          <w:marRight w:val="0"/>
          <w:marTop w:val="40"/>
          <w:marBottom w:val="40"/>
          <w:divBdr>
            <w:top w:val="none" w:sz="0" w:space="0" w:color="auto"/>
            <w:left w:val="none" w:sz="0" w:space="0" w:color="auto"/>
            <w:bottom w:val="none" w:sz="0" w:space="0" w:color="auto"/>
            <w:right w:val="none" w:sz="0" w:space="0" w:color="auto"/>
          </w:divBdr>
        </w:div>
        <w:div w:id="1024134537">
          <w:marLeft w:val="0"/>
          <w:marRight w:val="0"/>
          <w:marTop w:val="40"/>
          <w:marBottom w:val="40"/>
          <w:divBdr>
            <w:top w:val="none" w:sz="0" w:space="0" w:color="auto"/>
            <w:left w:val="none" w:sz="0" w:space="0" w:color="auto"/>
            <w:bottom w:val="none" w:sz="0" w:space="0" w:color="auto"/>
            <w:right w:val="none" w:sz="0" w:space="0" w:color="auto"/>
          </w:divBdr>
        </w:div>
        <w:div w:id="186987535">
          <w:marLeft w:val="0"/>
          <w:marRight w:val="0"/>
          <w:marTop w:val="40"/>
          <w:marBottom w:val="40"/>
          <w:divBdr>
            <w:top w:val="none" w:sz="0" w:space="0" w:color="auto"/>
            <w:left w:val="none" w:sz="0" w:space="0" w:color="auto"/>
            <w:bottom w:val="none" w:sz="0" w:space="0" w:color="auto"/>
            <w:right w:val="none" w:sz="0" w:space="0" w:color="auto"/>
          </w:divBdr>
        </w:div>
        <w:div w:id="2102338274">
          <w:marLeft w:val="720"/>
          <w:marRight w:val="720"/>
          <w:marTop w:val="0"/>
          <w:marBottom w:val="0"/>
          <w:divBdr>
            <w:top w:val="none" w:sz="0" w:space="0" w:color="auto"/>
            <w:left w:val="none" w:sz="0" w:space="0" w:color="auto"/>
            <w:bottom w:val="none" w:sz="0" w:space="0" w:color="auto"/>
            <w:right w:val="none" w:sz="0" w:space="0" w:color="auto"/>
          </w:divBdr>
        </w:div>
        <w:div w:id="1028337902">
          <w:marLeft w:val="720"/>
          <w:marRight w:val="720"/>
          <w:marTop w:val="0"/>
          <w:marBottom w:val="101"/>
          <w:divBdr>
            <w:top w:val="none" w:sz="0" w:space="0" w:color="auto"/>
            <w:left w:val="none" w:sz="0" w:space="0" w:color="auto"/>
            <w:bottom w:val="none" w:sz="0" w:space="0" w:color="auto"/>
            <w:right w:val="none" w:sz="0" w:space="0" w:color="auto"/>
          </w:divBdr>
        </w:div>
        <w:div w:id="987593153">
          <w:marLeft w:val="0"/>
          <w:marRight w:val="0"/>
          <w:marTop w:val="40"/>
          <w:marBottom w:val="40"/>
          <w:divBdr>
            <w:top w:val="none" w:sz="0" w:space="0" w:color="auto"/>
            <w:left w:val="none" w:sz="0" w:space="0" w:color="auto"/>
            <w:bottom w:val="none" w:sz="0" w:space="0" w:color="auto"/>
            <w:right w:val="none" w:sz="0" w:space="0" w:color="auto"/>
          </w:divBdr>
        </w:div>
        <w:div w:id="360939022">
          <w:marLeft w:val="0"/>
          <w:marRight w:val="0"/>
          <w:marTop w:val="40"/>
          <w:marBottom w:val="40"/>
          <w:divBdr>
            <w:top w:val="none" w:sz="0" w:space="0" w:color="auto"/>
            <w:left w:val="none" w:sz="0" w:space="0" w:color="auto"/>
            <w:bottom w:val="none" w:sz="0" w:space="0" w:color="auto"/>
            <w:right w:val="none" w:sz="0" w:space="0" w:color="auto"/>
          </w:divBdr>
        </w:div>
        <w:div w:id="333538747">
          <w:marLeft w:val="0"/>
          <w:marRight w:val="0"/>
          <w:marTop w:val="40"/>
          <w:marBottom w:val="40"/>
          <w:divBdr>
            <w:top w:val="none" w:sz="0" w:space="0" w:color="auto"/>
            <w:left w:val="none" w:sz="0" w:space="0" w:color="auto"/>
            <w:bottom w:val="none" w:sz="0" w:space="0" w:color="auto"/>
            <w:right w:val="none" w:sz="0" w:space="0" w:color="auto"/>
          </w:divBdr>
        </w:div>
        <w:div w:id="1344748482">
          <w:marLeft w:val="0"/>
          <w:marRight w:val="0"/>
          <w:marTop w:val="40"/>
          <w:marBottom w:val="40"/>
          <w:divBdr>
            <w:top w:val="none" w:sz="0" w:space="0" w:color="auto"/>
            <w:left w:val="none" w:sz="0" w:space="0" w:color="auto"/>
            <w:bottom w:val="none" w:sz="0" w:space="0" w:color="auto"/>
            <w:right w:val="none" w:sz="0" w:space="0" w:color="auto"/>
          </w:divBdr>
        </w:div>
        <w:div w:id="850339599">
          <w:marLeft w:val="720"/>
          <w:marRight w:val="720"/>
          <w:marTop w:val="0"/>
          <w:marBottom w:val="0"/>
          <w:divBdr>
            <w:top w:val="none" w:sz="0" w:space="0" w:color="auto"/>
            <w:left w:val="none" w:sz="0" w:space="0" w:color="auto"/>
            <w:bottom w:val="none" w:sz="0" w:space="0" w:color="auto"/>
            <w:right w:val="none" w:sz="0" w:space="0" w:color="auto"/>
          </w:divBdr>
        </w:div>
        <w:div w:id="15085824">
          <w:marLeft w:val="720"/>
          <w:marRight w:val="720"/>
          <w:marTop w:val="0"/>
          <w:marBottom w:val="101"/>
          <w:divBdr>
            <w:top w:val="none" w:sz="0" w:space="0" w:color="auto"/>
            <w:left w:val="none" w:sz="0" w:space="0" w:color="auto"/>
            <w:bottom w:val="none" w:sz="0" w:space="0" w:color="auto"/>
            <w:right w:val="none" w:sz="0" w:space="0" w:color="auto"/>
          </w:divBdr>
        </w:div>
        <w:div w:id="1644505889">
          <w:marLeft w:val="720"/>
          <w:marRight w:val="720"/>
          <w:marTop w:val="0"/>
          <w:marBottom w:val="80"/>
          <w:divBdr>
            <w:top w:val="none" w:sz="0" w:space="0" w:color="auto"/>
            <w:left w:val="none" w:sz="0" w:space="0" w:color="auto"/>
            <w:bottom w:val="none" w:sz="0" w:space="0" w:color="auto"/>
            <w:right w:val="none" w:sz="0" w:space="0" w:color="auto"/>
          </w:divBdr>
        </w:div>
        <w:div w:id="917905786">
          <w:marLeft w:val="720"/>
          <w:marRight w:val="720"/>
          <w:marTop w:val="0"/>
          <w:marBottom w:val="80"/>
          <w:divBdr>
            <w:top w:val="none" w:sz="0" w:space="0" w:color="auto"/>
            <w:left w:val="none" w:sz="0" w:space="0" w:color="auto"/>
            <w:bottom w:val="none" w:sz="0" w:space="0" w:color="auto"/>
            <w:right w:val="none" w:sz="0" w:space="0" w:color="auto"/>
          </w:divBdr>
        </w:div>
        <w:div w:id="1632906744">
          <w:marLeft w:val="720"/>
          <w:marRight w:val="720"/>
          <w:marTop w:val="0"/>
          <w:marBottom w:val="80"/>
          <w:divBdr>
            <w:top w:val="none" w:sz="0" w:space="0" w:color="auto"/>
            <w:left w:val="none" w:sz="0" w:space="0" w:color="auto"/>
            <w:bottom w:val="none" w:sz="0" w:space="0" w:color="auto"/>
            <w:right w:val="none" w:sz="0" w:space="0" w:color="auto"/>
          </w:divBdr>
        </w:div>
        <w:div w:id="516315951">
          <w:marLeft w:val="720"/>
          <w:marRight w:val="720"/>
          <w:marTop w:val="0"/>
          <w:marBottom w:val="80"/>
          <w:divBdr>
            <w:top w:val="none" w:sz="0" w:space="0" w:color="auto"/>
            <w:left w:val="none" w:sz="0" w:space="0" w:color="auto"/>
            <w:bottom w:val="none" w:sz="0" w:space="0" w:color="auto"/>
            <w:right w:val="none" w:sz="0" w:space="0" w:color="auto"/>
          </w:divBdr>
        </w:div>
        <w:div w:id="1228414157">
          <w:marLeft w:val="0"/>
          <w:marRight w:val="0"/>
          <w:marTop w:val="0"/>
          <w:marBottom w:val="80"/>
          <w:divBdr>
            <w:top w:val="none" w:sz="0" w:space="0" w:color="auto"/>
            <w:left w:val="none" w:sz="0" w:space="0" w:color="auto"/>
            <w:bottom w:val="none" w:sz="0" w:space="0" w:color="auto"/>
            <w:right w:val="none" w:sz="0" w:space="0" w:color="auto"/>
          </w:divBdr>
        </w:div>
        <w:div w:id="189484620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907</Words>
  <Characters>4993</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2023-03-24T14:36:00Z</dcterms:created>
  <dcterms:modified xsi:type="dcterms:W3CDTF">2023-03-24T14:37:00Z</dcterms:modified>
</cp:coreProperties>
</file>