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virtual extraordinaria de nueve de febrero de dos mil veintiuno, por el que se emite la ampliación del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febrero de 2021) </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VIRTUAL EXTRAORDINARIA DE NUEVE DE FEBRERO DE DOS MIL VEINTIUNO, POR EL QUE SE EMITE LA AMPLIACIÓN DEL PRONUNCIAMIENTO RESPECTO DE LA VIGENCIA DE LAS CONSTANCIAS O TOMAS DE NOTA DE LAS DIRECTIVAS SINDICALES REGISTRADAS ANTE ESTE TRIBUNAL, CON MOTIVO DE LA EMERGENCIA SANITARIA GENERADA POR EL VIRUS SARS-CoV2 (COVID-19).</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de dos mil veinte,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 por acuerdo dictado en esta misma fecha, se aprobó la ampliación del periodo de vigencia y aplicación de las medidas sanitarias establecidas en los diversos acuerdos de veintisiete de julio, treinta de septiembre, tres de noviembre y uno de diciembre de dos mil veinte, publicados en el Boletín Laboral Burocrático el veintisiete de julio, uno de octubre, cinco de noviembre, once de diciembre de dos mil veinte y nueve de febrero de dos mil vientiuno, respectivamente, hasta el veintiocho de febrero de dos mil veintiuno.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artículo 123 constitucional, apartado B, fracción XII, primer párrafo, establece:</w:t>
      </w:r>
    </w:p>
    <w:p w:rsidR="00000000" w:rsidDel="00000000" w:rsidP="00000000" w:rsidRDefault="00000000" w:rsidRPr="00000000" w14:paraId="0000000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Toda persona tiene derecho al trabajo digno y socialmente útil; al efecto, se promoverán la creación de empleos y la organización social de trabajo, conforme a la ley.</w:t>
      </w:r>
    </w:p>
    <w:p w:rsidR="00000000" w:rsidDel="00000000" w:rsidP="00000000" w:rsidRDefault="00000000" w:rsidRPr="00000000" w14:paraId="0000000C">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0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Entre los Poderes de la Unión y sus trabajadores:</w:t>
      </w:r>
    </w:p>
    <w:p w:rsidR="00000000" w:rsidDel="00000000" w:rsidP="00000000" w:rsidRDefault="00000000" w:rsidRPr="00000000" w14:paraId="0000000E">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0F">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conflictos individuales, colectivos o intersindicales serán sometidos a un Tribunal Federal de Conciliación y Arbitraje integrado según lo prevenido en la ley reglamentaria."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puede advertir, el precepto constitucional transcrito establece que los conflictos individuales, colectivos o intersindicales serán sometidos al Tribunal Federal de Conciliación y Arbitraje.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los artículos 124 y 124 "A" de la Ley Federal de los Trabajadores al Servicio del Estado, la competencia del Pleno del propio Tribunal Federal de Conciliación y Arbitraje, mismos que para mayor referencia, a continuación, se transcriben:</w:t>
      </w:r>
    </w:p>
    <w:p w:rsidR="00000000" w:rsidDel="00000000" w:rsidP="00000000" w:rsidRDefault="00000000" w:rsidRPr="00000000" w14:paraId="00000012">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124</w:t>
      </w:r>
      <w:r w:rsidDel="00000000" w:rsidR="00000000" w:rsidRPr="00000000">
        <w:rPr>
          <w:color w:val="2f2f2f"/>
          <w:sz w:val="18"/>
          <w:szCs w:val="18"/>
          <w:rtl w:val="0"/>
        </w:rPr>
        <w:t xml:space="preserve">.- El Tribunal Federal de Conciliación y Arbitraje será competente para:</w:t>
      </w:r>
    </w:p>
    <w:p w:rsidR="00000000" w:rsidDel="00000000" w:rsidP="00000000" w:rsidRDefault="00000000" w:rsidRPr="00000000" w14:paraId="00000013">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Conocer de los conflictos individuales que se susciten entre titulares de una dependencia o entidad y sus trabajadores.</w:t>
      </w:r>
    </w:p>
    <w:p w:rsidR="00000000" w:rsidDel="00000000" w:rsidP="00000000" w:rsidRDefault="00000000" w:rsidRPr="00000000" w14:paraId="0000001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de los conflictos colectivos que surjan entre el Estado y las organizaciones de trabajadores a su servicio;</w:t>
      </w:r>
    </w:p>
    <w:p w:rsidR="00000000" w:rsidDel="00000000" w:rsidP="00000000" w:rsidRDefault="00000000" w:rsidRPr="00000000" w14:paraId="00000015">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Conceder el registro de los sindicatos</w:t>
      </w:r>
      <w:r w:rsidDel="00000000" w:rsidR="00000000" w:rsidRPr="00000000">
        <w:rPr>
          <w:color w:val="2f2f2f"/>
          <w:sz w:val="18"/>
          <w:szCs w:val="18"/>
          <w:rtl w:val="0"/>
        </w:rPr>
        <w:t xml:space="preserve"> o, en su caso, dictar la cancelación del mismo;</w:t>
      </w:r>
    </w:p>
    <w:p w:rsidR="00000000" w:rsidDel="00000000" w:rsidP="00000000" w:rsidRDefault="00000000" w:rsidRPr="00000000" w14:paraId="00000016">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Conocer de los conflictos sindicales e intersindicales, y</w:t>
      </w:r>
    </w:p>
    <w:p w:rsidR="00000000" w:rsidDel="00000000" w:rsidP="00000000" w:rsidRDefault="00000000" w:rsidRPr="00000000" w14:paraId="00000017">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Efectuar el registro de las Condiciones Generales de Trabajo, Reglamentos de Escalafón, Reglamentos de las Comisiones Mixtas de Seguridad e Higiene y de los</w:t>
      </w:r>
    </w:p>
    <w:p w:rsidR="00000000" w:rsidDel="00000000" w:rsidP="00000000" w:rsidRDefault="00000000" w:rsidRPr="00000000" w14:paraId="00000018">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Estatutos de los Sindicatos</w:t>
      </w:r>
      <w:r w:rsidDel="00000000" w:rsidR="00000000" w:rsidRPr="00000000">
        <w:rPr>
          <w:color w:val="2f2f2f"/>
          <w:sz w:val="18"/>
          <w:szCs w:val="18"/>
          <w:rtl w:val="0"/>
        </w:rPr>
        <w:t xml:space="preserve">.</w:t>
      </w:r>
    </w:p>
    <w:p w:rsidR="00000000" w:rsidDel="00000000" w:rsidP="00000000" w:rsidRDefault="00000000" w:rsidRPr="00000000" w14:paraId="00000019">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124-A</w:t>
      </w:r>
      <w:r w:rsidDel="00000000" w:rsidR="00000000" w:rsidRPr="00000000">
        <w:rPr>
          <w:color w:val="2f2f2f"/>
          <w:sz w:val="18"/>
          <w:szCs w:val="18"/>
          <w:rtl w:val="0"/>
        </w:rPr>
        <w:t xml:space="preserve">.- Al Pleno del Tribunal Federal de Conciliación y Arbitraje corresponde:</w:t>
      </w:r>
    </w:p>
    <w:p w:rsidR="00000000" w:rsidDel="00000000" w:rsidP="00000000" w:rsidRDefault="00000000" w:rsidRPr="00000000" w14:paraId="0000001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Expedir el Reglamento Interior y los manuales de organización del Tribunal;</w:t>
      </w:r>
    </w:p>
    <w:p w:rsidR="00000000" w:rsidDel="00000000" w:rsidP="00000000" w:rsidRDefault="00000000" w:rsidRPr="00000000" w14:paraId="0000001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Uniformar los criterios de carácter procesal de las diversas Salas, procurando evitar sustenten tesis contradictorias;</w:t>
      </w:r>
    </w:p>
    <w:p w:rsidR="00000000" w:rsidDel="00000000" w:rsidP="00000000" w:rsidRDefault="00000000" w:rsidRPr="00000000" w14:paraId="0000001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Tramitar y resolver los asuntos a que se refieren las fracciones II, III, IV y V del artículo anterior</w:t>
      </w:r>
      <w:r w:rsidDel="00000000" w:rsidR="00000000" w:rsidRPr="00000000">
        <w:rPr>
          <w:color w:val="2f2f2f"/>
          <w:sz w:val="18"/>
          <w:szCs w:val="18"/>
          <w:rtl w:val="0"/>
        </w:rPr>
        <w:t xml:space="preserve">;</w:t>
      </w:r>
    </w:p>
    <w:p w:rsidR="00000000" w:rsidDel="00000000" w:rsidP="00000000" w:rsidRDefault="00000000" w:rsidRPr="00000000" w14:paraId="0000001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Determinar, en función de las necesidades del servicio, la ampliación de número de Salas y de Salas Auxiliares que requiera la operación del Tribunal, y</w:t>
      </w:r>
    </w:p>
    <w:p w:rsidR="00000000" w:rsidDel="00000000" w:rsidP="00000000" w:rsidRDefault="00000000" w:rsidRPr="00000000" w14:paraId="0000001E">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demás que le confieran las disposiciones legales aplicables."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los artículos 3, 6 y 8, del Reglamento Interior del Tribunal Federal de Conciliación y Arbitraje, disponen:</w:t>
      </w:r>
    </w:p>
    <w:p w:rsidR="00000000" w:rsidDel="00000000" w:rsidP="00000000" w:rsidRDefault="00000000" w:rsidRPr="00000000" w14:paraId="00000020">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Tribunal es autónomo, con plena jurisdicción y competencia para tramitar y resolver los asuntos a que se refieren las Leyes Reglamentarias del Apartado "B" del Artículo 123 de la Constitución Política de los Estados Unidos Mexicanos.</w:t>
      </w:r>
    </w:p>
    <w:p w:rsidR="00000000" w:rsidDel="00000000" w:rsidP="00000000" w:rsidRDefault="00000000" w:rsidRPr="00000000" w14:paraId="00000021">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2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El Pleno es el órgano supremo del Tribunal y sus disposiciones son obligatorias.</w:t>
      </w:r>
    </w:p>
    <w:p w:rsidR="00000000" w:rsidDel="00000000" w:rsidP="00000000" w:rsidRDefault="00000000" w:rsidRPr="00000000" w14:paraId="00000023">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2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Al Pleno corresponde:</w:t>
      </w:r>
    </w:p>
    <w:p w:rsidR="00000000" w:rsidDel="00000000" w:rsidP="00000000" w:rsidRDefault="00000000" w:rsidRPr="00000000" w14:paraId="00000025">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Determinar, en función de las necesidades del servicio, la ampliación del número de Salas, Unidades Administrativas y Departamentos que requiera la operación del Tribunal;</w:t>
      </w:r>
    </w:p>
    <w:p w:rsidR="00000000" w:rsidDel="00000000" w:rsidP="00000000" w:rsidRDefault="00000000" w:rsidRPr="00000000" w14:paraId="00000026">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y aprobar en su caso el Informe Anual de Actividades del Presidente del Tribunal;</w:t>
      </w:r>
    </w:p>
    <w:p w:rsidR="00000000" w:rsidDel="00000000" w:rsidP="00000000" w:rsidRDefault="00000000" w:rsidRPr="00000000" w14:paraId="00000027">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Nombrar, remover y suspender a los trabajadores del Tribunal en los términos de la Ley, de este Reglamento y de las Condiciones Generales de Trabajo;</w:t>
      </w:r>
    </w:p>
    <w:p w:rsidR="00000000" w:rsidDel="00000000" w:rsidP="00000000" w:rsidRDefault="00000000" w:rsidRPr="00000000" w14:paraId="00000028">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000000" w:rsidDel="00000000" w:rsidP="00000000" w:rsidRDefault="00000000" w:rsidRPr="00000000" w14:paraId="00000029">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Fijar el calendario oficial de labores del Tribunal, procurando hacerlo coincidir con el del Poder Judicial de la Federación; y</w:t>
      </w:r>
    </w:p>
    <w:p w:rsidR="00000000" w:rsidDel="00000000" w:rsidP="00000000" w:rsidRDefault="00000000" w:rsidRPr="00000000" w14:paraId="0000002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demás atribuciones que le confieran las disposiciones legales aplicables.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las disposiciones legales transcritas se desprende que el Tribunal Federal de Conciliación y Arbitraje es un Órgano autónomo, con plena jurisdicción y competencia para tramitar y resolver los asuntos a que se refieren la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En este Tribunal Federal de Conciliación y Arbitraje existen registrados 167 Sindicatos, entre otros, el Sindicato Nacional de Trabajadores de la Educación (SNTE), el Sindicato Nacional de Trabajadores de la Secretaría de Salud (SNTSA) y el Sindicato Único de Trabajadores del Gobierno de la Ciudad de México (SUTGCDMX).</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Titulo Cuarto de la Ley Federal de los Trabajadores al Servicio del Estado, establece que las organizaciones sindicales actúan en representación de sus agremiados para el estudio, mejoramiento y defensa de sus derechos; asimismo, que dichas organizaciones sindicales deben registrarse ante este Tribunal a efecto de que se les expida la toma de nota correspondiente con el objeto de que estén en aptitud de acreditar ante autoridades y particulares la representación que ejercen.</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como se estableció en el primer considerando de la presente resolución, derivado de las medidas sanitarias que se han implementado a nivel nacional para hacer frente a la pandemia del virus SARS-CoV2 (COVID-19), resulta evidente que diversas organizaciones sindicales registradas ante este Tribunal, se han enfrentado a la imposibilidad de elegir y/o solicitar el registro de sus directivas; por lo que, en su caso, estarían en riesgo de no contar con su constancia o toma de nota correspondiente.</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En virtud de que prevalecen las condiciones de emergencia sanitaria en la mayoría de los Estados de la República Mexicana, el Pleno de este Tribunal con el objeto de no dejar en estado de indefensión a los Sindicatos que tiene registrados, previa solicitud de estos proveerá lo que en derecho corresponda, respecto de la vigencia de las constancias o tomas de nota de las directivas sindicales previamente registradas, atendiendo a las particularidades de cada caso.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y, con fundamento en los artículos 3, 6 y 8 del Reglamento Interior del propio Tribunal, en relación con los artículos 124 y 124 "A" de la Ley Federal de los Trabajadores al Servicio del Estado, se emite el siguiente:</w:t>
      </w:r>
    </w:p>
    <w:p w:rsidR="00000000" w:rsidDel="00000000" w:rsidP="00000000" w:rsidRDefault="00000000" w:rsidRPr="00000000" w14:paraId="0000003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Pleno del Tribunal Federal de Conciliación y Arbitraje con el objeto de no dejar en estado de indefensión a los Sindicatos que tiene registrados, previa solicitud de estos proveerá lo que en derecho corresponda, respecto de la vigencia de las constancias o tomas de nota de las directivas sindicales previamente registradas, atendiendo a las particularidades de cada caso, ante la emergencia sanitaria que prevalece en el país.</w:t>
      </w:r>
    </w:p>
    <w:p w:rsidR="00000000" w:rsidDel="00000000" w:rsidP="00000000" w:rsidRDefault="00000000" w:rsidRPr="00000000" w14:paraId="0000003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presente Acuerdo entrará en vigor al día siguiente de su aprobación y su vigencia estará sujeta a la evolución del semáforo epidemiológico en la Ciudad de México y, en su caso, a las disposiciones que ordene el Gobierno Federal, por conducto de la Secretaría de Salud o el Consejo de Salubridad General.</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resolvieron por </w:t>
      </w:r>
      <w:r w:rsidDel="00000000" w:rsidR="00000000" w:rsidRPr="00000000">
        <w:rPr>
          <w:b w:val="1"/>
          <w:sz w:val="18"/>
          <w:szCs w:val="18"/>
          <w:rtl w:val="0"/>
        </w:rPr>
        <w:t xml:space="preserve">U N A N I M I D A D </w:t>
      </w:r>
      <w:r w:rsidDel="00000000" w:rsidR="00000000" w:rsidRPr="00000000">
        <w:rPr>
          <w:color w:val="2f2f2f"/>
          <w:sz w:val="18"/>
          <w:szCs w:val="18"/>
          <w:rtl w:val="0"/>
        </w:rPr>
        <w:t xml:space="preserve">de votos, los Magistrados presentes en el Pleno del Tribunal Federal de Conciliación y Arbitraje, en sesión celebrada en esta fecha y con motivo de la ausencia del Magistrado Presidente de la Primera Sala y de los Magistrados Representantes del Gobierno Federal, ante la Sexta y Octava Salas, ya que no se han hecho los nombramientos correspondientes, de conformidad con la parte conducente del artículo 128, párrafo segundo de la Ley Federal de los Trabajadores al Servicio del Estado.- El Presidente del Tribunal.- La Encargada de la Secretaría General de Acuerdos, en términos del Acuerdo emitido por el Pleno del Tribunal el veintiuno de octubre de dos mil veinte, con fundamento en el artículo 14 del Reglamento Interior del Tribunal Federal de Conciliación y Arbitraje.- Doy fe.</w:t>
      </w:r>
    </w:p>
    <w:p w:rsidR="00000000" w:rsidDel="00000000" w:rsidP="00000000" w:rsidRDefault="00000000" w:rsidRPr="00000000" w14:paraId="0000003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SUSCRITA ENCARGADA DE LA SECRETARÍA GENERAL DE ACUERDOS, MEDIANTE PROVEIDO DE VEINTIUNO DE OCTUBRE DE DOS MIL VEINTE Y CON FUNDAMENTO EN EL ARTÍCULO 14 DEL REGLAMENTO INTERIOR DEL TRIBUNAL FEDERAL DE CONCILIACIÓN Y ARBITRAJE:</w:t>
      </w:r>
    </w:p>
    <w:p w:rsidR="00000000" w:rsidDel="00000000" w:rsidP="00000000" w:rsidRDefault="00000000" w:rsidRPr="00000000" w14:paraId="0000003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CERTIFICA: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nueve de febrero de dos mil veintiuno, emite la ampliación del pronunciamiento respecto de la vigencia de las constancias o tomas de nota de las Directivas Sindicales registradas ante este Tribunal, con motivo de la emergencia sanitaria generada por el virus SARS-CoV2 (COVID-19),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y Ángel Humberto Félix Estrada.- En la Ciudad de México, a los diez días del mes de febrero de dos mil veintiuno.- Doy fe.</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encargada de la Secretaría General de Acuerdos, por Acuerdo Plenario de veintiuno de octubre de dos mil veinte y con fundamento en el artículo 14 del Reglamento Interior del Tribunal Federal de Conciliación y Arbitraje, </w:t>
      </w:r>
      <w:r w:rsidDel="00000000" w:rsidR="00000000" w:rsidRPr="00000000">
        <w:rPr>
          <w:b w:val="1"/>
          <w:color w:val="2f2f2f"/>
          <w:sz w:val="18"/>
          <w:szCs w:val="18"/>
          <w:rtl w:val="0"/>
        </w:rPr>
        <w:t xml:space="preserve">Lizbeth Alin Jasso Coss</w:t>
      </w:r>
      <w:r w:rsidDel="00000000" w:rsidR="00000000" w:rsidRPr="00000000">
        <w:rPr>
          <w:color w:val="2f2f2f"/>
          <w:sz w:val="18"/>
          <w:szCs w:val="18"/>
          <w:rtl w:val="0"/>
        </w:rPr>
        <w:t xml:space="preserve">.- Rúbrica.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