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70" w:rsidRDefault="00DD6670" w:rsidP="00DD6670">
      <w:pPr>
        <w:jc w:val="center"/>
        <w:rPr>
          <w:rFonts w:ascii="Verdana" w:eastAsia="Verdana" w:hAnsi="Verdana" w:cs="Verdana"/>
          <w:b/>
          <w:color w:val="0000FF"/>
          <w:sz w:val="24"/>
          <w:szCs w:val="24"/>
        </w:rPr>
      </w:pPr>
      <w:r w:rsidRPr="00DD6670">
        <w:rPr>
          <w:rFonts w:ascii="Verdana" w:eastAsia="Verdana" w:hAnsi="Verdana" w:cs="Verdana"/>
          <w:b/>
          <w:color w:val="0000FF"/>
          <w:sz w:val="24"/>
          <w:szCs w:val="24"/>
        </w:rPr>
        <w:t xml:space="preserve">ACUERDO por el que se actualizan las cuotas que se especifican en materia del impuesto especial sobre producción y servicios para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diciembre</w:t>
      </w:r>
      <w:r w:rsidRPr="00575D6A">
        <w:rPr>
          <w:rFonts w:ascii="Verdana" w:eastAsia="Verdana" w:hAnsi="Verdana" w:cs="Verdana"/>
          <w:b/>
          <w:color w:val="0000FF"/>
          <w:sz w:val="24"/>
          <w:szCs w:val="24"/>
        </w:rPr>
        <w:t xml:space="preserve"> de 2021)</w:t>
      </w:r>
    </w:p>
    <w:bookmarkEnd w:id="0"/>
    <w:p w:rsidR="00B32171" w:rsidRDefault="00DD6670" w:rsidP="00DD6670">
      <w:pPr>
        <w:jc w:val="both"/>
        <w:rPr>
          <w:rFonts w:ascii="Arial" w:hAnsi="Arial" w:cs="Arial"/>
          <w:b/>
          <w:color w:val="262626" w:themeColor="text1" w:themeTint="D9"/>
          <w:sz w:val="18"/>
        </w:rPr>
      </w:pPr>
      <w:r w:rsidRPr="00DD6670">
        <w:rPr>
          <w:rFonts w:ascii="Arial" w:hAnsi="Arial" w:cs="Arial"/>
          <w:b/>
          <w:color w:val="262626" w:themeColor="text1" w:themeTint="D9"/>
          <w:sz w:val="18"/>
        </w:rPr>
        <w:t>Al margen un sello con el Escudo Nacional, que dice: Estados Unidos Mexicanos.- HACIENDA.- Secretaría de Hacienda y Crédito Público.</w:t>
      </w:r>
    </w:p>
    <w:p w:rsidR="00DD6670" w:rsidRPr="00DD6670" w:rsidRDefault="00DD6670" w:rsidP="00DD66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6670">
        <w:rPr>
          <w:rFonts w:ascii="Times" w:eastAsia="Times New Roman" w:hAnsi="Times" w:cs="Times"/>
          <w:b/>
          <w:bCs/>
          <w:color w:val="2F2F2F"/>
          <w:sz w:val="18"/>
          <w:szCs w:val="18"/>
          <w:lang w:eastAsia="es-MX"/>
        </w:rPr>
        <w:t>Acuerdo 173/2021</w:t>
      </w:r>
    </w:p>
    <w:p w:rsidR="00DD6670" w:rsidRPr="00DD6670" w:rsidRDefault="00DD6670" w:rsidP="00DD6670">
      <w:pPr>
        <w:shd w:val="clear" w:color="auto" w:fill="FFFFFF"/>
        <w:spacing w:after="101" w:line="240" w:lineRule="auto"/>
        <w:jc w:val="center"/>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Acuerdo por el que se actualizan las cuotas que se especifican en materia del impuesto especial</w:t>
      </w:r>
      <w:r w:rsidRPr="00DD6670">
        <w:rPr>
          <w:rFonts w:ascii="Arial" w:eastAsia="Times New Roman" w:hAnsi="Arial" w:cs="Arial"/>
          <w:color w:val="2F2F2F"/>
          <w:sz w:val="18"/>
          <w:szCs w:val="18"/>
          <w:lang w:eastAsia="es-MX"/>
        </w:rPr>
        <w:br/>
      </w:r>
      <w:r w:rsidRPr="00DD6670">
        <w:rPr>
          <w:rFonts w:ascii="Arial" w:eastAsia="Times New Roman" w:hAnsi="Arial" w:cs="Arial"/>
          <w:b/>
          <w:bCs/>
          <w:color w:val="2F2F2F"/>
          <w:sz w:val="18"/>
          <w:szCs w:val="18"/>
          <w:lang w:eastAsia="es-MX"/>
        </w:rPr>
        <w:t>sobre producción y servicios para 2022</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ROGELIO EDUARDO RAMÍREZ DE LA O, Secretario de Hacienda y Crédito Público, con fundamento en los artículos 31, fracción XXXII de la Ley Orgánica de la Administración Pública Federal; 2o., fracción I, incisos C), D), G) y H), y 2o.-A de la Ley del Impuesto Especial sobre Producción y Servicios; y 4o. del Reglamento Interior de la Secretaría de Hacienda y Crédito Público, y</w:t>
      </w:r>
    </w:p>
    <w:p w:rsidR="00DD6670" w:rsidRPr="00DD6670" w:rsidRDefault="00DD6670" w:rsidP="00DD66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6670">
        <w:rPr>
          <w:rFonts w:ascii="Times" w:eastAsia="Times New Roman" w:hAnsi="Times" w:cs="Times"/>
          <w:b/>
          <w:bCs/>
          <w:color w:val="2F2F2F"/>
          <w:sz w:val="18"/>
          <w:szCs w:val="18"/>
          <w:lang w:eastAsia="es-MX"/>
        </w:rPr>
        <w:t>CONSIDERANDO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 xml:space="preserve">Que conforme a lo dispuesto en los artículos 2o., fracción I, incisos C), D), G) y H), y 2o.-A de la Ley del Impuesto Especial sobre Producción y Servicios, las cuotas aplicables a los tabacos labrados, combustibles automotrices, bebidas </w:t>
      </w:r>
      <w:proofErr w:type="spellStart"/>
      <w:r w:rsidRPr="00DD6670">
        <w:rPr>
          <w:rFonts w:ascii="Arial" w:eastAsia="Times New Roman" w:hAnsi="Arial" w:cs="Arial"/>
          <w:color w:val="2F2F2F"/>
          <w:sz w:val="18"/>
          <w:szCs w:val="18"/>
          <w:lang w:eastAsia="es-MX"/>
        </w:rPr>
        <w:t>saborizadas</w:t>
      </w:r>
      <w:proofErr w:type="spellEnd"/>
      <w:r w:rsidRPr="00DD6670">
        <w:rPr>
          <w:rFonts w:ascii="Arial" w:eastAsia="Times New Roman" w:hAnsi="Arial" w:cs="Arial"/>
          <w:color w:val="2F2F2F"/>
          <w:sz w:val="18"/>
          <w:szCs w:val="18"/>
          <w:lang w:eastAsia="es-MX"/>
        </w:rPr>
        <w:t>, combustibles fósiles y las cuotas aplicables a las gasolinas y al diésel que se destinan a las entidades federativas, se actualizarán anualmente y entrarán en vigor a partir del 1 de enero de cada año;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Que la actualización se llevará a cabo aplicando el factor de actualización correspondiente al período comprendido desde el mes de diciembre del penúltimo año hasta el mes de diciembre inmediato anterior a aquél por el que se efectúa la actualización, factor que se obtendrá de conformidad con lo dispuesto por el artículo 17-A del Código Fiscal de la Federación;</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 xml:space="preserve">Que las cuotas aplicables a los tabacos labrados, combustibles automotrices, bebidas </w:t>
      </w:r>
      <w:proofErr w:type="spellStart"/>
      <w:r w:rsidRPr="00DD6670">
        <w:rPr>
          <w:rFonts w:ascii="Arial" w:eastAsia="Times New Roman" w:hAnsi="Arial" w:cs="Arial"/>
          <w:color w:val="2F2F2F"/>
          <w:sz w:val="18"/>
          <w:szCs w:val="18"/>
          <w:lang w:eastAsia="es-MX"/>
        </w:rPr>
        <w:t>saborizadas</w:t>
      </w:r>
      <w:proofErr w:type="spellEnd"/>
      <w:r w:rsidRPr="00DD6670">
        <w:rPr>
          <w:rFonts w:ascii="Arial" w:eastAsia="Times New Roman" w:hAnsi="Arial" w:cs="Arial"/>
          <w:color w:val="2F2F2F"/>
          <w:sz w:val="18"/>
          <w:szCs w:val="18"/>
          <w:lang w:eastAsia="es-MX"/>
        </w:rPr>
        <w:t>, combustibles fósiles y las cuotas aplicables a las gasolinas y al diésel que se destinan a las entidades federativas fueron actualizadas por última vez mediante el "Acuerdo por el que se actualizan las cuotas que se especifican en materia del impuesto especial sobre producción y servicios" publicado en el Diario Oficial de la Federación el 24 de diciembre de 2020;</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Que la Secretaría de Hacienda y Crédito Público publicará el factor de actualización en el Diario Oficial de la Federación durante el mes de diciembre de cada año; y</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 xml:space="preserve">Que con base en lo anterior, se actualizan las cuotas aplicables a los tabacos labrados, combustibles automotrices, bebidas </w:t>
      </w:r>
      <w:proofErr w:type="spellStart"/>
      <w:r w:rsidRPr="00DD6670">
        <w:rPr>
          <w:rFonts w:ascii="Arial" w:eastAsia="Times New Roman" w:hAnsi="Arial" w:cs="Arial"/>
          <w:color w:val="2F2F2F"/>
          <w:sz w:val="18"/>
          <w:szCs w:val="18"/>
          <w:lang w:eastAsia="es-MX"/>
        </w:rPr>
        <w:t>saborizadas</w:t>
      </w:r>
      <w:proofErr w:type="spellEnd"/>
      <w:r w:rsidRPr="00DD6670">
        <w:rPr>
          <w:rFonts w:ascii="Arial" w:eastAsia="Times New Roman" w:hAnsi="Arial" w:cs="Arial"/>
          <w:color w:val="2F2F2F"/>
          <w:sz w:val="18"/>
          <w:szCs w:val="18"/>
          <w:lang w:eastAsia="es-MX"/>
        </w:rPr>
        <w:t>, combustibles fósiles, así como las cuotas aplicables a las gasolinas y el diésel destinadas a las entidades federativas, por lo que se expide el siguiente</w:t>
      </w:r>
    </w:p>
    <w:p w:rsidR="00DD6670" w:rsidRPr="00DD6670" w:rsidRDefault="00DD6670" w:rsidP="00DD66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6670">
        <w:rPr>
          <w:rFonts w:ascii="Times" w:eastAsia="Times New Roman" w:hAnsi="Times" w:cs="Times"/>
          <w:b/>
          <w:bCs/>
          <w:color w:val="2F2F2F"/>
          <w:sz w:val="18"/>
          <w:szCs w:val="18"/>
          <w:lang w:eastAsia="es-MX"/>
        </w:rPr>
        <w:t>ACUERDO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PRIMERO.-</w:t>
      </w:r>
      <w:r w:rsidRPr="00DD6670">
        <w:rPr>
          <w:rFonts w:ascii="Arial" w:eastAsia="Times New Roman" w:hAnsi="Arial" w:cs="Arial"/>
          <w:color w:val="2F2F2F"/>
          <w:sz w:val="18"/>
          <w:szCs w:val="18"/>
          <w:lang w:eastAsia="es-MX"/>
        </w:rPr>
        <w:t> El factor de actualización aplicable para el año de 2022 a las cuotas a las que se refieren los artículos 2o., fracción I, incisos C), segundo párrafo; D), G), segundo párrafo y H), y 2o.-A, fracciones I, II y III de la Ley del Impuesto Especial sobre Producción y Servicios, es de 1.0737, resultado de dividir el Índice Nacional de Precios al Consumidor del mes de noviembre de 2021, publicado en el Diario Oficial de la Federación el 10 de diciembre de 2021 que fue de 116.884 puntos, y el Índice Nacional de Precios al Consumidor correspondiente al mes de noviembre de 2020, publicado en el Diario Oficial de la Federación el 10 de diciembre de 2020 que fue de 108.856 puntos, procedimiento establecido conforme a lo dispuesto por el artículo 17-A del Código Fiscal de la Federación.</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SEGUNDO.- </w:t>
      </w:r>
      <w:r w:rsidRPr="00DD6670">
        <w:rPr>
          <w:rFonts w:ascii="Arial" w:eastAsia="Times New Roman" w:hAnsi="Arial" w:cs="Arial"/>
          <w:color w:val="2F2F2F"/>
          <w:sz w:val="18"/>
          <w:szCs w:val="18"/>
          <w:lang w:eastAsia="es-MX"/>
        </w:rPr>
        <w:t>Conforme al factor de actualización mencionado en el artículo Primero de este Acuerdo, la cuota por cigarro aplicable a tabacos labrados a que se refiere el artículo 2o., fracción I, inciso C), segundo párrafo de la Ley del Impuesto Especial sobre Producción y Servicios, que estará vigente a partir del 1 de enero de 2022, es de $0.5484 por cigarro.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TERCERO.-</w:t>
      </w:r>
      <w:r w:rsidRPr="00DD6670">
        <w:rPr>
          <w:rFonts w:ascii="Arial" w:eastAsia="Times New Roman" w:hAnsi="Arial" w:cs="Arial"/>
          <w:color w:val="2F2F2F"/>
          <w:sz w:val="18"/>
          <w:szCs w:val="18"/>
          <w:lang w:eastAsia="es-MX"/>
        </w:rPr>
        <w:t> Conforme al factor de actualización mencionado en el artículo Primero de este Acuerdo, las cuotas aplicables a los combustibles automotrices a que se refiere el artículo 2o., fracción I,</w:t>
      </w:r>
    </w:p>
    <w:p w:rsidR="00DD6670" w:rsidRPr="00DD6670" w:rsidRDefault="00DD6670" w:rsidP="00DD667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D6670">
        <w:rPr>
          <w:rFonts w:ascii="Arial" w:eastAsia="Times New Roman" w:hAnsi="Arial" w:cs="Arial"/>
          <w:color w:val="2F2F2F"/>
          <w:sz w:val="18"/>
          <w:szCs w:val="18"/>
          <w:lang w:eastAsia="es-MX"/>
        </w:rPr>
        <w:t>inciso</w:t>
      </w:r>
      <w:proofErr w:type="gramEnd"/>
      <w:r w:rsidRPr="00DD6670">
        <w:rPr>
          <w:rFonts w:ascii="Arial" w:eastAsia="Times New Roman" w:hAnsi="Arial" w:cs="Arial"/>
          <w:color w:val="2F2F2F"/>
          <w:sz w:val="18"/>
          <w:szCs w:val="18"/>
          <w:lang w:eastAsia="es-MX"/>
        </w:rPr>
        <w:t xml:space="preserve"> D) de la Ley del Impuesto Especial sobre Producción y Servicios, que estarán vigentes a partir del 1 de enero de 2022, son las siguientes:</w:t>
      </w:r>
    </w:p>
    <w:p w:rsidR="00DD6670" w:rsidRPr="00DD6670" w:rsidRDefault="00DD6670" w:rsidP="00DD6670">
      <w:pPr>
        <w:shd w:val="clear" w:color="auto" w:fill="FFFFFF"/>
        <w:spacing w:after="101" w:line="240" w:lineRule="auto"/>
        <w:ind w:hanging="432"/>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1.</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Combustibles fósiles</w:t>
      </w:r>
      <w:r w:rsidRPr="00DD6670">
        <w:rPr>
          <w:rFonts w:ascii="Arial" w:eastAsia="Times New Roman" w:hAnsi="Arial" w:cs="Arial"/>
          <w:color w:val="2F2F2F"/>
          <w:sz w:val="20"/>
          <w:szCs w:val="20"/>
          <w:lang w:eastAsia="es-MX"/>
        </w:rPr>
        <w:t>                                           </w:t>
      </w:r>
      <w:r w:rsidRPr="00DD6670">
        <w:rPr>
          <w:rFonts w:ascii="Arial" w:eastAsia="Times New Roman" w:hAnsi="Arial" w:cs="Arial"/>
          <w:b/>
          <w:bCs/>
          <w:color w:val="2F2F2F"/>
          <w:sz w:val="18"/>
          <w:szCs w:val="18"/>
          <w:lang w:eastAsia="es-MX"/>
        </w:rPr>
        <w:t>Cuota</w:t>
      </w:r>
      <w:r w:rsidRPr="00DD6670">
        <w:rPr>
          <w:rFonts w:ascii="Arial" w:eastAsia="Times New Roman" w:hAnsi="Arial" w:cs="Arial"/>
          <w:color w:val="2F2F2F"/>
          <w:sz w:val="20"/>
          <w:szCs w:val="20"/>
          <w:lang w:eastAsia="es-MX"/>
        </w:rPr>
        <w:t>     </w:t>
      </w:r>
      <w:r w:rsidRPr="00DD6670">
        <w:rPr>
          <w:rFonts w:ascii="Arial" w:eastAsia="Times New Roman" w:hAnsi="Arial" w:cs="Arial"/>
          <w:b/>
          <w:bCs/>
          <w:color w:val="2F2F2F"/>
          <w:sz w:val="18"/>
          <w:szCs w:val="18"/>
          <w:lang w:eastAsia="es-MX"/>
        </w:rPr>
        <w:t>Unidad de medida</w:t>
      </w:r>
    </w:p>
    <w:p w:rsidR="00DD6670" w:rsidRPr="00DD6670" w:rsidRDefault="00DD6670" w:rsidP="00DD6670">
      <w:pPr>
        <w:shd w:val="clear" w:color="auto" w:fill="FFFFFF"/>
        <w:spacing w:after="101" w:line="240" w:lineRule="auto"/>
        <w:ind w:hanging="360"/>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lastRenderedPageBreak/>
        <w:t>a.</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Gasolina menor a 91 octanos</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5.4917</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pesos por litro.</w:t>
      </w:r>
    </w:p>
    <w:p w:rsidR="00DD6670" w:rsidRPr="00DD6670" w:rsidRDefault="00DD6670" w:rsidP="00DD6670">
      <w:pPr>
        <w:shd w:val="clear" w:color="auto" w:fill="FFFFFF"/>
        <w:spacing w:after="101" w:line="240" w:lineRule="auto"/>
        <w:ind w:hanging="360"/>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b.</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Gasolina mayor o igual a 91 octanos </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4.6375</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pesos por litro.</w:t>
      </w:r>
    </w:p>
    <w:p w:rsidR="00DD6670" w:rsidRPr="00DD6670" w:rsidRDefault="00DD6670" w:rsidP="00DD6670">
      <w:pPr>
        <w:shd w:val="clear" w:color="auto" w:fill="FFFFFF"/>
        <w:spacing w:after="101" w:line="240" w:lineRule="auto"/>
        <w:ind w:hanging="360"/>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c.</w:t>
      </w:r>
      <w:r w:rsidRPr="00DD6670">
        <w:rPr>
          <w:rFonts w:ascii="Arial" w:eastAsia="Times New Roman" w:hAnsi="Arial" w:cs="Arial"/>
          <w:color w:val="2F2F2F"/>
          <w:sz w:val="20"/>
          <w:szCs w:val="20"/>
          <w:lang w:eastAsia="es-MX"/>
        </w:rPr>
        <w:t>   </w:t>
      </w:r>
      <w:proofErr w:type="gramStart"/>
      <w:r w:rsidRPr="00DD6670">
        <w:rPr>
          <w:rFonts w:ascii="Arial" w:eastAsia="Times New Roman" w:hAnsi="Arial" w:cs="Arial"/>
          <w:color w:val="2F2F2F"/>
          <w:sz w:val="18"/>
          <w:szCs w:val="18"/>
          <w:lang w:eastAsia="es-MX"/>
        </w:rPr>
        <w:t>Diésel ...................................................</w:t>
      </w:r>
      <w:proofErr w:type="gramEnd"/>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6.0354</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pesos por litro.</w:t>
      </w:r>
    </w:p>
    <w:p w:rsidR="00DD6670" w:rsidRPr="00DD6670" w:rsidRDefault="00DD6670" w:rsidP="00DD6670">
      <w:pPr>
        <w:shd w:val="clear" w:color="auto" w:fill="FFFFFF"/>
        <w:spacing w:after="101" w:line="240" w:lineRule="auto"/>
        <w:ind w:hanging="432"/>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2.</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 xml:space="preserve">Combustibles no </w:t>
      </w:r>
      <w:proofErr w:type="gramStart"/>
      <w:r w:rsidRPr="00DD6670">
        <w:rPr>
          <w:rFonts w:ascii="Arial" w:eastAsia="Times New Roman" w:hAnsi="Arial" w:cs="Arial"/>
          <w:color w:val="2F2F2F"/>
          <w:sz w:val="18"/>
          <w:szCs w:val="18"/>
          <w:lang w:eastAsia="es-MX"/>
        </w:rPr>
        <w:t>fósiles </w:t>
      </w:r>
      <w:r w:rsidRPr="00DD6670">
        <w:rPr>
          <w:rFonts w:ascii="Arial" w:eastAsia="Times New Roman" w:hAnsi="Arial" w:cs="Arial"/>
          <w:color w:val="2F2F2F"/>
          <w:sz w:val="20"/>
          <w:szCs w:val="20"/>
          <w:lang w:eastAsia="es-MX"/>
        </w:rPr>
        <w:t>................................</w:t>
      </w:r>
      <w:proofErr w:type="gramEnd"/>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4.6375</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pesos por litro.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CUARTO.-</w:t>
      </w:r>
      <w:r w:rsidRPr="00DD6670">
        <w:rPr>
          <w:rFonts w:ascii="Arial" w:eastAsia="Times New Roman" w:hAnsi="Arial" w:cs="Arial"/>
          <w:color w:val="2F2F2F"/>
          <w:sz w:val="18"/>
          <w:szCs w:val="18"/>
          <w:lang w:eastAsia="es-MX"/>
        </w:rPr>
        <w:t xml:space="preserve"> Conforme al factor de actualización mencionado en el artículo Primero de este Acuerdo, la cuota por litro aplicable a bebidas </w:t>
      </w:r>
      <w:proofErr w:type="spellStart"/>
      <w:r w:rsidRPr="00DD6670">
        <w:rPr>
          <w:rFonts w:ascii="Arial" w:eastAsia="Times New Roman" w:hAnsi="Arial" w:cs="Arial"/>
          <w:color w:val="2F2F2F"/>
          <w:sz w:val="18"/>
          <w:szCs w:val="18"/>
          <w:lang w:eastAsia="es-MX"/>
        </w:rPr>
        <w:t>saborizadas</w:t>
      </w:r>
      <w:proofErr w:type="spellEnd"/>
      <w:r w:rsidRPr="00DD6670">
        <w:rPr>
          <w:rFonts w:ascii="Arial" w:eastAsia="Times New Roman" w:hAnsi="Arial" w:cs="Arial"/>
          <w:color w:val="2F2F2F"/>
          <w:sz w:val="18"/>
          <w:szCs w:val="18"/>
          <w:lang w:eastAsia="es-MX"/>
        </w:rPr>
        <w:t xml:space="preserve"> a que se refiere el artículo 2o., fracción I, inciso G), segundo párrafo de la Ley del Impuesto Especial sobre Producción y Servicios, que estará vigente a partir del 1 de enero de 2022, es de $1.3996 por litro.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QUINTO.-</w:t>
      </w:r>
      <w:r w:rsidRPr="00DD6670">
        <w:rPr>
          <w:rFonts w:ascii="Arial" w:eastAsia="Times New Roman" w:hAnsi="Arial" w:cs="Arial"/>
          <w:color w:val="2F2F2F"/>
          <w:sz w:val="18"/>
          <w:szCs w:val="18"/>
          <w:lang w:eastAsia="es-MX"/>
        </w:rPr>
        <w:t> Conforme al factor de actualización mencionado en el artículo Primero de este Acuerdo, las cuotas aplicables a los combustibles fósiles a que se refiere el artículo 2o., fracción I, inciso H) de la Ley del Impuesto Especial sobre Producción y Servicios, que estarán vigentes a partir del 1 de enero de 2022, son las siguientes:</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Combustibles Fósiles</w:t>
      </w:r>
      <w:r w:rsidRPr="00DD6670">
        <w:rPr>
          <w:rFonts w:ascii="Arial" w:eastAsia="Times New Roman" w:hAnsi="Arial" w:cs="Arial"/>
          <w:color w:val="2F2F2F"/>
          <w:sz w:val="20"/>
          <w:szCs w:val="20"/>
          <w:lang w:eastAsia="es-MX"/>
        </w:rPr>
        <w:t>                                     </w:t>
      </w:r>
      <w:r w:rsidRPr="00DD6670">
        <w:rPr>
          <w:rFonts w:ascii="Arial" w:eastAsia="Times New Roman" w:hAnsi="Arial" w:cs="Arial"/>
          <w:b/>
          <w:bCs/>
          <w:color w:val="2F2F2F"/>
          <w:sz w:val="18"/>
          <w:szCs w:val="18"/>
          <w:lang w:eastAsia="es-MX"/>
        </w:rPr>
        <w:t>Cuota</w:t>
      </w:r>
      <w:r w:rsidRPr="00DD6670">
        <w:rPr>
          <w:rFonts w:ascii="Arial" w:eastAsia="Times New Roman" w:hAnsi="Arial" w:cs="Arial"/>
          <w:color w:val="2F2F2F"/>
          <w:sz w:val="20"/>
          <w:szCs w:val="20"/>
          <w:lang w:eastAsia="es-MX"/>
        </w:rPr>
        <w:t>         </w:t>
      </w:r>
      <w:r w:rsidRPr="00DD6670">
        <w:rPr>
          <w:rFonts w:ascii="Arial" w:eastAsia="Times New Roman" w:hAnsi="Arial" w:cs="Arial"/>
          <w:b/>
          <w:bCs/>
          <w:color w:val="2F2F2F"/>
          <w:sz w:val="18"/>
          <w:szCs w:val="18"/>
          <w:lang w:eastAsia="es-MX"/>
        </w:rPr>
        <w:t>Unidad de medida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1562"/>
        <w:gridCol w:w="3357"/>
      </w:tblGrid>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1</w:t>
            </w:r>
            <w:r w:rsidRPr="00DD6670">
              <w:rPr>
                <w:rFonts w:ascii="Arial" w:eastAsia="Times New Roman" w:hAnsi="Arial" w:cs="Arial"/>
                <w:color w:val="000000"/>
                <w:sz w:val="18"/>
                <w:szCs w:val="18"/>
                <w:lang w:eastAsia="es-MX"/>
              </w:rPr>
              <w:t xml:space="preserve">. </w:t>
            </w:r>
            <w:proofErr w:type="gramStart"/>
            <w:r w:rsidRPr="00DD6670">
              <w:rPr>
                <w:rFonts w:ascii="Arial" w:eastAsia="Times New Roman" w:hAnsi="Arial" w:cs="Arial"/>
                <w:color w:val="000000"/>
                <w:sz w:val="18"/>
                <w:szCs w:val="18"/>
                <w:lang w:eastAsia="es-MX"/>
              </w:rPr>
              <w:t>Propano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8.2987</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2</w:t>
            </w:r>
            <w:r w:rsidRPr="00DD6670">
              <w:rPr>
                <w:rFonts w:ascii="Arial" w:eastAsia="Times New Roman" w:hAnsi="Arial" w:cs="Arial"/>
                <w:color w:val="000000"/>
                <w:sz w:val="18"/>
                <w:szCs w:val="18"/>
                <w:lang w:eastAsia="es-MX"/>
              </w:rPr>
              <w:t xml:space="preserve">. </w:t>
            </w:r>
            <w:proofErr w:type="gramStart"/>
            <w:r w:rsidRPr="00DD6670">
              <w:rPr>
                <w:rFonts w:ascii="Arial" w:eastAsia="Times New Roman" w:hAnsi="Arial" w:cs="Arial"/>
                <w:color w:val="000000"/>
                <w:sz w:val="18"/>
                <w:szCs w:val="18"/>
                <w:lang w:eastAsia="es-MX"/>
              </w:rPr>
              <w:t>Butano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10.7394</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3</w:t>
            </w:r>
            <w:r w:rsidRPr="00DD6670">
              <w:rPr>
                <w:rFonts w:ascii="Arial" w:eastAsia="Times New Roman" w:hAnsi="Arial" w:cs="Arial"/>
                <w:color w:val="000000"/>
                <w:sz w:val="18"/>
                <w:szCs w:val="18"/>
                <w:lang w:eastAsia="es-MX"/>
              </w:rPr>
              <w:t xml:space="preserve">. Gasolinas y </w:t>
            </w:r>
            <w:proofErr w:type="spellStart"/>
            <w:proofErr w:type="gramStart"/>
            <w:r w:rsidRPr="00DD6670">
              <w:rPr>
                <w:rFonts w:ascii="Arial" w:eastAsia="Times New Roman" w:hAnsi="Arial" w:cs="Arial"/>
                <w:color w:val="000000"/>
                <w:sz w:val="18"/>
                <w:szCs w:val="18"/>
                <w:lang w:eastAsia="es-MX"/>
              </w:rPr>
              <w:t>gasavión</w:t>
            </w:r>
            <w:proofErr w:type="spellEnd"/>
            <w:r w:rsidRPr="00DD6670">
              <w:rPr>
                <w:rFonts w:ascii="Arial" w:eastAsia="Times New Roman" w:hAnsi="Arial" w:cs="Arial"/>
                <w:color w:val="000000"/>
                <w:sz w:val="18"/>
                <w:szCs w:val="18"/>
                <w:lang w:eastAsia="es-MX"/>
              </w:rPr>
              <w:t>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14.5560</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b/>
                <w:bCs/>
                <w:color w:val="000000"/>
                <w:sz w:val="18"/>
                <w:szCs w:val="18"/>
                <w:lang w:eastAsia="es-MX"/>
              </w:rPr>
              <w:t>4</w:t>
            </w:r>
            <w:r w:rsidRPr="00DD6670">
              <w:rPr>
                <w:rFonts w:ascii="Arial" w:eastAsia="Times New Roman" w:hAnsi="Arial" w:cs="Arial"/>
                <w:color w:val="000000"/>
                <w:sz w:val="18"/>
                <w:szCs w:val="18"/>
                <w:lang w:eastAsia="es-MX"/>
              </w:rPr>
              <w:t>.Turbosina</w:t>
            </w:r>
            <w:proofErr w:type="gramEnd"/>
            <w:r w:rsidRPr="00DD6670">
              <w:rPr>
                <w:rFonts w:ascii="Arial" w:eastAsia="Times New Roman" w:hAnsi="Arial" w:cs="Arial"/>
                <w:color w:val="000000"/>
                <w:sz w:val="18"/>
                <w:szCs w:val="18"/>
                <w:lang w:eastAsia="es-MX"/>
              </w:rPr>
              <w:t xml:space="preserve"> y otros kerosenos .</w:t>
            </w:r>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17.3851</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5</w:t>
            </w:r>
            <w:r w:rsidRPr="00DD6670">
              <w:rPr>
                <w:rFonts w:ascii="Arial" w:eastAsia="Times New Roman" w:hAnsi="Arial" w:cs="Arial"/>
                <w:color w:val="000000"/>
                <w:sz w:val="18"/>
                <w:szCs w:val="18"/>
                <w:lang w:eastAsia="es-MX"/>
              </w:rPr>
              <w:t>. Diésel</w:t>
            </w:r>
            <w:r w:rsidRPr="00DD6670">
              <w:rPr>
                <w:rFonts w:ascii="Arial" w:eastAsia="Times New Roman" w:hAnsi="Arial" w:cs="Arial"/>
                <w:color w:val="000000"/>
                <w:sz w:val="20"/>
                <w:szCs w:val="20"/>
                <w:lang w:eastAsia="es-MX"/>
              </w:rPr>
              <w:t>............................................</w:t>
            </w:r>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17.6624</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6</w:t>
            </w:r>
            <w:r w:rsidRPr="00DD6670">
              <w:rPr>
                <w:rFonts w:ascii="Arial" w:eastAsia="Times New Roman" w:hAnsi="Arial" w:cs="Arial"/>
                <w:color w:val="000000"/>
                <w:sz w:val="18"/>
                <w:szCs w:val="18"/>
                <w:lang w:eastAsia="es-MX"/>
              </w:rPr>
              <w:t xml:space="preserve">. </w:t>
            </w:r>
            <w:proofErr w:type="gramStart"/>
            <w:r w:rsidRPr="00DD6670">
              <w:rPr>
                <w:rFonts w:ascii="Arial" w:eastAsia="Times New Roman" w:hAnsi="Arial" w:cs="Arial"/>
                <w:color w:val="000000"/>
                <w:sz w:val="18"/>
                <w:szCs w:val="18"/>
                <w:lang w:eastAsia="es-MX"/>
              </w:rPr>
              <w:t>Combustóleo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18.8496</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centavos</w:t>
            </w:r>
            <w:proofErr w:type="gramEnd"/>
            <w:r w:rsidRPr="00DD6670">
              <w:rPr>
                <w:rFonts w:ascii="Arial" w:eastAsia="Times New Roman" w:hAnsi="Arial" w:cs="Arial"/>
                <w:color w:val="000000"/>
                <w:sz w:val="18"/>
                <w:szCs w:val="18"/>
                <w:lang w:eastAsia="es-MX"/>
              </w:rPr>
              <w:t xml:space="preserve"> por litro.</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7</w:t>
            </w:r>
            <w:r w:rsidRPr="00DD6670">
              <w:rPr>
                <w:rFonts w:ascii="Arial" w:eastAsia="Times New Roman" w:hAnsi="Arial" w:cs="Arial"/>
                <w:color w:val="000000"/>
                <w:sz w:val="18"/>
                <w:szCs w:val="18"/>
                <w:lang w:eastAsia="es-MX"/>
              </w:rPr>
              <w:t xml:space="preserve">. Coque de </w:t>
            </w:r>
            <w:proofErr w:type="gramStart"/>
            <w:r w:rsidRPr="00DD6670">
              <w:rPr>
                <w:rFonts w:ascii="Arial" w:eastAsia="Times New Roman" w:hAnsi="Arial" w:cs="Arial"/>
                <w:color w:val="000000"/>
                <w:sz w:val="18"/>
                <w:szCs w:val="18"/>
                <w:lang w:eastAsia="es-MX"/>
              </w:rPr>
              <w:t>petróleo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21.8784</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pesos</w:t>
            </w:r>
            <w:proofErr w:type="gramEnd"/>
            <w:r w:rsidRPr="00DD6670">
              <w:rPr>
                <w:rFonts w:ascii="Arial" w:eastAsia="Times New Roman" w:hAnsi="Arial" w:cs="Arial"/>
                <w:color w:val="000000"/>
                <w:sz w:val="18"/>
                <w:szCs w:val="18"/>
                <w:lang w:eastAsia="es-MX"/>
              </w:rPr>
              <w:t xml:space="preserve"> por tonelada.</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8</w:t>
            </w:r>
            <w:r w:rsidRPr="00DD6670">
              <w:rPr>
                <w:rFonts w:ascii="Arial" w:eastAsia="Times New Roman" w:hAnsi="Arial" w:cs="Arial"/>
                <w:color w:val="000000"/>
                <w:sz w:val="18"/>
                <w:szCs w:val="18"/>
                <w:lang w:eastAsia="es-MX"/>
              </w:rPr>
              <w:t xml:space="preserve">. Coque de </w:t>
            </w:r>
            <w:proofErr w:type="gramStart"/>
            <w:r w:rsidRPr="00DD6670">
              <w:rPr>
                <w:rFonts w:ascii="Arial" w:eastAsia="Times New Roman" w:hAnsi="Arial" w:cs="Arial"/>
                <w:color w:val="000000"/>
                <w:sz w:val="18"/>
                <w:szCs w:val="18"/>
                <w:lang w:eastAsia="es-MX"/>
              </w:rPr>
              <w:t>carbón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51.2901</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pesos</w:t>
            </w:r>
            <w:proofErr w:type="gramEnd"/>
            <w:r w:rsidRPr="00DD6670">
              <w:rPr>
                <w:rFonts w:ascii="Arial" w:eastAsia="Times New Roman" w:hAnsi="Arial" w:cs="Arial"/>
                <w:color w:val="000000"/>
                <w:sz w:val="18"/>
                <w:szCs w:val="18"/>
                <w:lang w:eastAsia="es-MX"/>
              </w:rPr>
              <w:t xml:space="preserve"> por tonelada.</w:t>
            </w:r>
          </w:p>
        </w:tc>
      </w:tr>
      <w:tr w:rsidR="00DD6670" w:rsidRPr="00DD6670" w:rsidTr="00DD6670">
        <w:trPr>
          <w:trHeight w:val="366"/>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9</w:t>
            </w:r>
            <w:r w:rsidRPr="00DD6670">
              <w:rPr>
                <w:rFonts w:ascii="Arial" w:eastAsia="Times New Roman" w:hAnsi="Arial" w:cs="Arial"/>
                <w:color w:val="000000"/>
                <w:sz w:val="18"/>
                <w:szCs w:val="18"/>
                <w:lang w:eastAsia="es-MX"/>
              </w:rPr>
              <w:t xml:space="preserve">. Carbón </w:t>
            </w:r>
            <w:proofErr w:type="gramStart"/>
            <w:r w:rsidRPr="00DD6670">
              <w:rPr>
                <w:rFonts w:ascii="Arial" w:eastAsia="Times New Roman" w:hAnsi="Arial" w:cs="Arial"/>
                <w:color w:val="000000"/>
                <w:sz w:val="18"/>
                <w:szCs w:val="18"/>
                <w:lang w:eastAsia="es-MX"/>
              </w:rPr>
              <w:t>mineral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38.6201</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pesos</w:t>
            </w:r>
            <w:proofErr w:type="gramEnd"/>
            <w:r w:rsidRPr="00DD6670">
              <w:rPr>
                <w:rFonts w:ascii="Arial" w:eastAsia="Times New Roman" w:hAnsi="Arial" w:cs="Arial"/>
                <w:color w:val="000000"/>
                <w:sz w:val="18"/>
                <w:szCs w:val="18"/>
                <w:lang w:eastAsia="es-MX"/>
              </w:rPr>
              <w:t xml:space="preserve"> por tonelada.</w:t>
            </w:r>
          </w:p>
        </w:tc>
      </w:tr>
      <w:tr w:rsidR="00DD6670" w:rsidRPr="00DD6670" w:rsidTr="00DD6670">
        <w:trPr>
          <w:trHeight w:val="631"/>
        </w:trPr>
        <w:tc>
          <w:tcPr>
            <w:tcW w:w="3793"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r w:rsidRPr="00DD6670">
              <w:rPr>
                <w:rFonts w:ascii="Arial" w:eastAsia="Times New Roman" w:hAnsi="Arial" w:cs="Arial"/>
                <w:b/>
                <w:bCs/>
                <w:color w:val="000000"/>
                <w:sz w:val="18"/>
                <w:szCs w:val="18"/>
                <w:lang w:eastAsia="es-MX"/>
              </w:rPr>
              <w:t>10</w:t>
            </w:r>
            <w:r w:rsidRPr="00DD6670">
              <w:rPr>
                <w:rFonts w:ascii="Arial" w:eastAsia="Times New Roman" w:hAnsi="Arial" w:cs="Arial"/>
                <w:color w:val="000000"/>
                <w:sz w:val="18"/>
                <w:szCs w:val="18"/>
                <w:lang w:eastAsia="es-MX"/>
              </w:rPr>
              <w:t xml:space="preserve">. Otros combustibles </w:t>
            </w:r>
            <w:proofErr w:type="gramStart"/>
            <w:r w:rsidRPr="00DD6670">
              <w:rPr>
                <w:rFonts w:ascii="Arial" w:eastAsia="Times New Roman" w:hAnsi="Arial" w:cs="Arial"/>
                <w:color w:val="000000"/>
                <w:sz w:val="18"/>
                <w:szCs w:val="18"/>
                <w:lang w:eastAsia="es-MX"/>
              </w:rPr>
              <w:t>fósiles </w:t>
            </w:r>
            <w:r w:rsidRPr="00DD6670">
              <w:rPr>
                <w:rFonts w:ascii="Arial" w:eastAsia="Times New Roman" w:hAnsi="Arial" w:cs="Arial"/>
                <w:color w:val="000000"/>
                <w:sz w:val="20"/>
                <w:szCs w:val="20"/>
                <w:lang w:eastAsia="es-MX"/>
              </w:rPr>
              <w:t>...............</w:t>
            </w:r>
            <w:proofErr w:type="gramEnd"/>
          </w:p>
        </w:tc>
        <w:tc>
          <w:tcPr>
            <w:tcW w:w="1562"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right"/>
              <w:rPr>
                <w:rFonts w:ascii="Arial" w:eastAsia="Times New Roman" w:hAnsi="Arial" w:cs="Arial"/>
                <w:color w:val="000000"/>
                <w:sz w:val="18"/>
                <w:szCs w:val="18"/>
                <w:lang w:eastAsia="es-MX"/>
              </w:rPr>
            </w:pPr>
            <w:r w:rsidRPr="00DD6670">
              <w:rPr>
                <w:rFonts w:ascii="Arial" w:eastAsia="Times New Roman" w:hAnsi="Arial" w:cs="Arial"/>
                <w:color w:val="000000"/>
                <w:sz w:val="18"/>
                <w:szCs w:val="18"/>
                <w:lang w:eastAsia="es-MX"/>
              </w:rPr>
              <w:t>55.8277</w:t>
            </w:r>
          </w:p>
        </w:tc>
        <w:tc>
          <w:tcPr>
            <w:tcW w:w="3357" w:type="dxa"/>
            <w:shd w:val="clear" w:color="auto" w:fill="FFFFFF"/>
            <w:tcMar>
              <w:top w:w="0" w:type="dxa"/>
              <w:left w:w="70" w:type="dxa"/>
              <w:bottom w:w="0" w:type="dxa"/>
              <w:right w:w="70" w:type="dxa"/>
            </w:tcMar>
            <w:hideMark/>
          </w:tcPr>
          <w:p w:rsidR="00DD6670" w:rsidRPr="00DD6670" w:rsidRDefault="00DD6670" w:rsidP="00DD6670">
            <w:pPr>
              <w:spacing w:after="101" w:line="240" w:lineRule="auto"/>
              <w:jc w:val="both"/>
              <w:rPr>
                <w:rFonts w:ascii="Arial" w:eastAsia="Times New Roman" w:hAnsi="Arial" w:cs="Arial"/>
                <w:color w:val="000000"/>
                <w:sz w:val="18"/>
                <w:szCs w:val="18"/>
                <w:lang w:eastAsia="es-MX"/>
              </w:rPr>
            </w:pPr>
            <w:proofErr w:type="gramStart"/>
            <w:r w:rsidRPr="00DD6670">
              <w:rPr>
                <w:rFonts w:ascii="Arial" w:eastAsia="Times New Roman" w:hAnsi="Arial" w:cs="Arial"/>
                <w:color w:val="000000"/>
                <w:sz w:val="18"/>
                <w:szCs w:val="18"/>
                <w:lang w:eastAsia="es-MX"/>
              </w:rPr>
              <w:t>pesos</w:t>
            </w:r>
            <w:proofErr w:type="gramEnd"/>
            <w:r w:rsidRPr="00DD6670">
              <w:rPr>
                <w:rFonts w:ascii="Arial" w:eastAsia="Times New Roman" w:hAnsi="Arial" w:cs="Arial"/>
                <w:color w:val="000000"/>
                <w:sz w:val="18"/>
                <w:szCs w:val="18"/>
                <w:lang w:eastAsia="es-MX"/>
              </w:rPr>
              <w:t xml:space="preserve"> por tonelada de carbono que contenga el combustible.</w:t>
            </w:r>
          </w:p>
        </w:tc>
      </w:tr>
    </w:tbl>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 </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ARTÍCULO SEXTO.- </w:t>
      </w:r>
      <w:r w:rsidRPr="00DD6670">
        <w:rPr>
          <w:rFonts w:ascii="Arial" w:eastAsia="Times New Roman" w:hAnsi="Arial" w:cs="Arial"/>
          <w:color w:val="2F2F2F"/>
          <w:sz w:val="18"/>
          <w:szCs w:val="18"/>
          <w:lang w:eastAsia="es-MX"/>
        </w:rPr>
        <w:t>Conforme al factor de actualización mencionado en el artículo Primero de este Acuerdo, las cuotas aplicables a las gasolinas y el diésel previstas en el artículo 2o.-A, fracciones I, II y III de la Ley del Impuesto Especial sobre Producción y Servicios, que estarán vigentes a partir del 1 de enero de 2022, son las siguientes:</w:t>
      </w:r>
    </w:p>
    <w:p w:rsidR="00DD6670" w:rsidRPr="00DD6670" w:rsidRDefault="00DD6670" w:rsidP="00DD6670">
      <w:pPr>
        <w:shd w:val="clear" w:color="auto" w:fill="FFFFFF"/>
        <w:spacing w:after="101" w:line="240" w:lineRule="auto"/>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Combustibles </w:t>
      </w:r>
      <w:r w:rsidRPr="00DD6670">
        <w:rPr>
          <w:rFonts w:ascii="Arial" w:eastAsia="Times New Roman" w:hAnsi="Arial" w:cs="Arial"/>
          <w:color w:val="2F2F2F"/>
          <w:sz w:val="20"/>
          <w:szCs w:val="20"/>
          <w:lang w:eastAsia="es-MX"/>
        </w:rPr>
        <w:t>                                          </w:t>
      </w:r>
      <w:r w:rsidRPr="00DD6670">
        <w:rPr>
          <w:rFonts w:ascii="Arial" w:eastAsia="Times New Roman" w:hAnsi="Arial" w:cs="Arial"/>
          <w:b/>
          <w:bCs/>
          <w:color w:val="2F2F2F"/>
          <w:sz w:val="18"/>
          <w:szCs w:val="18"/>
          <w:lang w:eastAsia="es-MX"/>
        </w:rPr>
        <w:t>Cuota</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 </w:t>
      </w:r>
      <w:r w:rsidRPr="00DD6670">
        <w:rPr>
          <w:rFonts w:ascii="Arial" w:eastAsia="Times New Roman" w:hAnsi="Arial" w:cs="Arial"/>
          <w:b/>
          <w:bCs/>
          <w:color w:val="2F2F2F"/>
          <w:sz w:val="18"/>
          <w:szCs w:val="18"/>
          <w:lang w:eastAsia="es-MX"/>
        </w:rPr>
        <w:t>Unidad de medida</w:t>
      </w:r>
    </w:p>
    <w:p w:rsidR="00DD6670" w:rsidRPr="00DD6670" w:rsidRDefault="00DD6670" w:rsidP="00DD6670">
      <w:pPr>
        <w:shd w:val="clear" w:color="auto" w:fill="FFFFFF"/>
        <w:spacing w:after="101" w:line="240" w:lineRule="auto"/>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Gasolina menor a 91 octanos </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48.4720</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centavos por litro.</w:t>
      </w:r>
    </w:p>
    <w:p w:rsidR="00DD6670" w:rsidRPr="00DD6670" w:rsidRDefault="00DD6670" w:rsidP="00DD6670">
      <w:pPr>
        <w:shd w:val="clear" w:color="auto" w:fill="FFFFFF"/>
        <w:spacing w:after="101" w:line="240" w:lineRule="auto"/>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Gasolina mayor o igual a 91 octanos</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59.1449</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centavos por litro.</w:t>
      </w:r>
    </w:p>
    <w:p w:rsidR="00DD6670" w:rsidRPr="00DD6670" w:rsidRDefault="00DD6670" w:rsidP="00DD6670">
      <w:pPr>
        <w:shd w:val="clear" w:color="auto" w:fill="FFFFFF"/>
        <w:spacing w:after="101" w:line="240" w:lineRule="auto"/>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Diésel </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40.2288</w:t>
      </w:r>
      <w:r w:rsidRPr="00DD6670">
        <w:rPr>
          <w:rFonts w:ascii="Arial" w:eastAsia="Times New Roman" w:hAnsi="Arial" w:cs="Arial"/>
          <w:color w:val="2F2F2F"/>
          <w:sz w:val="20"/>
          <w:szCs w:val="20"/>
          <w:lang w:eastAsia="es-MX"/>
        </w:rPr>
        <w:t>       </w:t>
      </w:r>
      <w:r w:rsidRPr="00DD6670">
        <w:rPr>
          <w:rFonts w:ascii="Arial" w:eastAsia="Times New Roman" w:hAnsi="Arial" w:cs="Arial"/>
          <w:color w:val="2F2F2F"/>
          <w:sz w:val="18"/>
          <w:szCs w:val="18"/>
          <w:lang w:eastAsia="es-MX"/>
        </w:rPr>
        <w:t>centavos por litro.</w:t>
      </w:r>
    </w:p>
    <w:p w:rsidR="00DD6670" w:rsidRPr="00DD6670" w:rsidRDefault="00DD6670" w:rsidP="00DD667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6670">
        <w:rPr>
          <w:rFonts w:ascii="Times" w:eastAsia="Times New Roman" w:hAnsi="Times" w:cs="Times"/>
          <w:b/>
          <w:bCs/>
          <w:color w:val="2F2F2F"/>
          <w:sz w:val="18"/>
          <w:szCs w:val="18"/>
          <w:lang w:eastAsia="es-MX"/>
        </w:rPr>
        <w:t>TRANSITORIO</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b/>
          <w:bCs/>
          <w:color w:val="2F2F2F"/>
          <w:sz w:val="18"/>
          <w:szCs w:val="18"/>
          <w:lang w:eastAsia="es-MX"/>
        </w:rPr>
        <w:t>ÚNICO.- </w:t>
      </w:r>
      <w:r w:rsidRPr="00DD6670">
        <w:rPr>
          <w:rFonts w:ascii="Arial" w:eastAsia="Times New Roman" w:hAnsi="Arial" w:cs="Arial"/>
          <w:color w:val="2F2F2F"/>
          <w:sz w:val="18"/>
          <w:szCs w:val="18"/>
          <w:lang w:eastAsia="es-MX"/>
        </w:rPr>
        <w:t>El presente Acuerdo entrará en vigor el 1 de enero de 2022.</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Atentamente.</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 </w:t>
      </w:r>
    </w:p>
    <w:p w:rsidR="00DD6670" w:rsidRPr="00DD6670" w:rsidRDefault="00DD6670" w:rsidP="00DD6670">
      <w:pPr>
        <w:shd w:val="clear" w:color="auto" w:fill="FFFFFF"/>
        <w:spacing w:after="101" w:line="240" w:lineRule="auto"/>
        <w:ind w:firstLine="288"/>
        <w:jc w:val="both"/>
        <w:rPr>
          <w:rFonts w:ascii="Arial" w:eastAsia="Times New Roman" w:hAnsi="Arial" w:cs="Arial"/>
          <w:color w:val="2F2F2F"/>
          <w:sz w:val="18"/>
          <w:szCs w:val="18"/>
          <w:lang w:eastAsia="es-MX"/>
        </w:rPr>
      </w:pPr>
      <w:r w:rsidRPr="00DD6670">
        <w:rPr>
          <w:rFonts w:ascii="Arial" w:eastAsia="Times New Roman" w:hAnsi="Arial" w:cs="Arial"/>
          <w:color w:val="2F2F2F"/>
          <w:sz w:val="18"/>
          <w:szCs w:val="18"/>
          <w:lang w:eastAsia="es-MX"/>
        </w:rPr>
        <w:t>Ciudad de México, a 16 de diciembre de 2021.- En ausencia del Secretario de Hacienda y Crédito Público y con fundamento en el artículo 105 del Reglamento Interior de esta Secretaría, el Subsecretario de Hacienda y Crédito Público, </w:t>
      </w:r>
      <w:r w:rsidRPr="00DD6670">
        <w:rPr>
          <w:rFonts w:ascii="Arial" w:eastAsia="Times New Roman" w:hAnsi="Arial" w:cs="Arial"/>
          <w:b/>
          <w:bCs/>
          <w:color w:val="2F2F2F"/>
          <w:sz w:val="18"/>
          <w:szCs w:val="18"/>
          <w:lang w:eastAsia="es-MX"/>
        </w:rPr>
        <w:t xml:space="preserve">Gabriel </w:t>
      </w:r>
      <w:proofErr w:type="spellStart"/>
      <w:r w:rsidRPr="00DD6670">
        <w:rPr>
          <w:rFonts w:ascii="Arial" w:eastAsia="Times New Roman" w:hAnsi="Arial" w:cs="Arial"/>
          <w:b/>
          <w:bCs/>
          <w:color w:val="2F2F2F"/>
          <w:sz w:val="18"/>
          <w:szCs w:val="18"/>
          <w:lang w:eastAsia="es-MX"/>
        </w:rPr>
        <w:t>Yorio</w:t>
      </w:r>
      <w:proofErr w:type="spellEnd"/>
      <w:r w:rsidRPr="00DD6670">
        <w:rPr>
          <w:rFonts w:ascii="Arial" w:eastAsia="Times New Roman" w:hAnsi="Arial" w:cs="Arial"/>
          <w:b/>
          <w:bCs/>
          <w:color w:val="2F2F2F"/>
          <w:sz w:val="18"/>
          <w:szCs w:val="18"/>
          <w:lang w:eastAsia="es-MX"/>
        </w:rPr>
        <w:t xml:space="preserve"> González</w:t>
      </w:r>
      <w:r w:rsidRPr="00DD6670">
        <w:rPr>
          <w:rFonts w:ascii="Arial" w:eastAsia="Times New Roman" w:hAnsi="Arial" w:cs="Arial"/>
          <w:color w:val="2F2F2F"/>
          <w:sz w:val="18"/>
          <w:szCs w:val="18"/>
          <w:lang w:eastAsia="es-MX"/>
        </w:rPr>
        <w:t>.- Rúbrica.</w:t>
      </w:r>
    </w:p>
    <w:sectPr w:rsidR="00DD6670" w:rsidRPr="00DD66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70"/>
    <w:rsid w:val="00857D96"/>
    <w:rsid w:val="00C500C3"/>
    <w:rsid w:val="00DD6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3187">
      <w:bodyDiv w:val="1"/>
      <w:marLeft w:val="0"/>
      <w:marRight w:val="0"/>
      <w:marTop w:val="0"/>
      <w:marBottom w:val="0"/>
      <w:divBdr>
        <w:top w:val="none" w:sz="0" w:space="0" w:color="auto"/>
        <w:left w:val="none" w:sz="0" w:space="0" w:color="auto"/>
        <w:bottom w:val="none" w:sz="0" w:space="0" w:color="auto"/>
        <w:right w:val="none" w:sz="0" w:space="0" w:color="auto"/>
      </w:divBdr>
      <w:divsChild>
        <w:div w:id="503514300">
          <w:marLeft w:val="0"/>
          <w:marRight w:val="0"/>
          <w:marTop w:val="101"/>
          <w:marBottom w:val="101"/>
          <w:divBdr>
            <w:top w:val="none" w:sz="0" w:space="0" w:color="auto"/>
            <w:left w:val="none" w:sz="0" w:space="0" w:color="auto"/>
            <w:bottom w:val="none" w:sz="0" w:space="0" w:color="auto"/>
            <w:right w:val="none" w:sz="0" w:space="0" w:color="auto"/>
          </w:divBdr>
        </w:div>
        <w:div w:id="924656716">
          <w:marLeft w:val="0"/>
          <w:marRight w:val="0"/>
          <w:marTop w:val="0"/>
          <w:marBottom w:val="101"/>
          <w:divBdr>
            <w:top w:val="none" w:sz="0" w:space="0" w:color="auto"/>
            <w:left w:val="none" w:sz="0" w:space="0" w:color="auto"/>
            <w:bottom w:val="none" w:sz="0" w:space="0" w:color="auto"/>
            <w:right w:val="none" w:sz="0" w:space="0" w:color="auto"/>
          </w:divBdr>
        </w:div>
        <w:div w:id="264967150">
          <w:marLeft w:val="0"/>
          <w:marRight w:val="0"/>
          <w:marTop w:val="0"/>
          <w:marBottom w:val="101"/>
          <w:divBdr>
            <w:top w:val="none" w:sz="0" w:space="0" w:color="auto"/>
            <w:left w:val="none" w:sz="0" w:space="0" w:color="auto"/>
            <w:bottom w:val="none" w:sz="0" w:space="0" w:color="auto"/>
            <w:right w:val="none" w:sz="0" w:space="0" w:color="auto"/>
          </w:divBdr>
        </w:div>
        <w:div w:id="629440482">
          <w:marLeft w:val="0"/>
          <w:marRight w:val="0"/>
          <w:marTop w:val="101"/>
          <w:marBottom w:val="101"/>
          <w:divBdr>
            <w:top w:val="none" w:sz="0" w:space="0" w:color="auto"/>
            <w:left w:val="none" w:sz="0" w:space="0" w:color="auto"/>
            <w:bottom w:val="none" w:sz="0" w:space="0" w:color="auto"/>
            <w:right w:val="none" w:sz="0" w:space="0" w:color="auto"/>
          </w:divBdr>
        </w:div>
        <w:div w:id="566459453">
          <w:marLeft w:val="0"/>
          <w:marRight w:val="0"/>
          <w:marTop w:val="0"/>
          <w:marBottom w:val="101"/>
          <w:divBdr>
            <w:top w:val="none" w:sz="0" w:space="0" w:color="auto"/>
            <w:left w:val="none" w:sz="0" w:space="0" w:color="auto"/>
            <w:bottom w:val="none" w:sz="0" w:space="0" w:color="auto"/>
            <w:right w:val="none" w:sz="0" w:space="0" w:color="auto"/>
          </w:divBdr>
        </w:div>
        <w:div w:id="1347756530">
          <w:marLeft w:val="0"/>
          <w:marRight w:val="0"/>
          <w:marTop w:val="0"/>
          <w:marBottom w:val="101"/>
          <w:divBdr>
            <w:top w:val="none" w:sz="0" w:space="0" w:color="auto"/>
            <w:left w:val="none" w:sz="0" w:space="0" w:color="auto"/>
            <w:bottom w:val="none" w:sz="0" w:space="0" w:color="auto"/>
            <w:right w:val="none" w:sz="0" w:space="0" w:color="auto"/>
          </w:divBdr>
        </w:div>
        <w:div w:id="1123577672">
          <w:marLeft w:val="0"/>
          <w:marRight w:val="0"/>
          <w:marTop w:val="0"/>
          <w:marBottom w:val="101"/>
          <w:divBdr>
            <w:top w:val="none" w:sz="0" w:space="0" w:color="auto"/>
            <w:left w:val="none" w:sz="0" w:space="0" w:color="auto"/>
            <w:bottom w:val="none" w:sz="0" w:space="0" w:color="auto"/>
            <w:right w:val="none" w:sz="0" w:space="0" w:color="auto"/>
          </w:divBdr>
        </w:div>
        <w:div w:id="1403865406">
          <w:marLeft w:val="0"/>
          <w:marRight w:val="0"/>
          <w:marTop w:val="0"/>
          <w:marBottom w:val="101"/>
          <w:divBdr>
            <w:top w:val="none" w:sz="0" w:space="0" w:color="auto"/>
            <w:left w:val="none" w:sz="0" w:space="0" w:color="auto"/>
            <w:bottom w:val="none" w:sz="0" w:space="0" w:color="auto"/>
            <w:right w:val="none" w:sz="0" w:space="0" w:color="auto"/>
          </w:divBdr>
        </w:div>
        <w:div w:id="1532844662">
          <w:marLeft w:val="0"/>
          <w:marRight w:val="0"/>
          <w:marTop w:val="0"/>
          <w:marBottom w:val="101"/>
          <w:divBdr>
            <w:top w:val="none" w:sz="0" w:space="0" w:color="auto"/>
            <w:left w:val="none" w:sz="0" w:space="0" w:color="auto"/>
            <w:bottom w:val="none" w:sz="0" w:space="0" w:color="auto"/>
            <w:right w:val="none" w:sz="0" w:space="0" w:color="auto"/>
          </w:divBdr>
        </w:div>
        <w:div w:id="1986349950">
          <w:marLeft w:val="0"/>
          <w:marRight w:val="0"/>
          <w:marTop w:val="101"/>
          <w:marBottom w:val="101"/>
          <w:divBdr>
            <w:top w:val="none" w:sz="0" w:space="0" w:color="auto"/>
            <w:left w:val="none" w:sz="0" w:space="0" w:color="auto"/>
            <w:bottom w:val="none" w:sz="0" w:space="0" w:color="auto"/>
            <w:right w:val="none" w:sz="0" w:space="0" w:color="auto"/>
          </w:divBdr>
        </w:div>
        <w:div w:id="937298347">
          <w:marLeft w:val="0"/>
          <w:marRight w:val="0"/>
          <w:marTop w:val="0"/>
          <w:marBottom w:val="101"/>
          <w:divBdr>
            <w:top w:val="none" w:sz="0" w:space="0" w:color="auto"/>
            <w:left w:val="none" w:sz="0" w:space="0" w:color="auto"/>
            <w:bottom w:val="none" w:sz="0" w:space="0" w:color="auto"/>
            <w:right w:val="none" w:sz="0" w:space="0" w:color="auto"/>
          </w:divBdr>
        </w:div>
        <w:div w:id="1785420201">
          <w:marLeft w:val="0"/>
          <w:marRight w:val="0"/>
          <w:marTop w:val="0"/>
          <w:marBottom w:val="101"/>
          <w:divBdr>
            <w:top w:val="none" w:sz="0" w:space="0" w:color="auto"/>
            <w:left w:val="none" w:sz="0" w:space="0" w:color="auto"/>
            <w:bottom w:val="none" w:sz="0" w:space="0" w:color="auto"/>
            <w:right w:val="none" w:sz="0" w:space="0" w:color="auto"/>
          </w:divBdr>
        </w:div>
        <w:div w:id="1519545594">
          <w:marLeft w:val="0"/>
          <w:marRight w:val="0"/>
          <w:marTop w:val="0"/>
          <w:marBottom w:val="101"/>
          <w:divBdr>
            <w:top w:val="none" w:sz="0" w:space="0" w:color="auto"/>
            <w:left w:val="none" w:sz="0" w:space="0" w:color="auto"/>
            <w:bottom w:val="none" w:sz="0" w:space="0" w:color="auto"/>
            <w:right w:val="none" w:sz="0" w:space="0" w:color="auto"/>
          </w:divBdr>
        </w:div>
        <w:div w:id="1236470561">
          <w:marLeft w:val="0"/>
          <w:marRight w:val="0"/>
          <w:marTop w:val="0"/>
          <w:marBottom w:val="101"/>
          <w:divBdr>
            <w:top w:val="none" w:sz="0" w:space="0" w:color="auto"/>
            <w:left w:val="none" w:sz="0" w:space="0" w:color="auto"/>
            <w:bottom w:val="none" w:sz="0" w:space="0" w:color="auto"/>
            <w:right w:val="none" w:sz="0" w:space="0" w:color="auto"/>
          </w:divBdr>
        </w:div>
        <w:div w:id="2120370973">
          <w:marLeft w:val="720"/>
          <w:marRight w:val="0"/>
          <w:marTop w:val="0"/>
          <w:marBottom w:val="101"/>
          <w:divBdr>
            <w:top w:val="none" w:sz="0" w:space="0" w:color="auto"/>
            <w:left w:val="none" w:sz="0" w:space="0" w:color="auto"/>
            <w:bottom w:val="none" w:sz="0" w:space="0" w:color="auto"/>
            <w:right w:val="none" w:sz="0" w:space="0" w:color="auto"/>
          </w:divBdr>
        </w:div>
        <w:div w:id="808321537">
          <w:marLeft w:val="1080"/>
          <w:marRight w:val="0"/>
          <w:marTop w:val="0"/>
          <w:marBottom w:val="101"/>
          <w:divBdr>
            <w:top w:val="none" w:sz="0" w:space="0" w:color="auto"/>
            <w:left w:val="none" w:sz="0" w:space="0" w:color="auto"/>
            <w:bottom w:val="none" w:sz="0" w:space="0" w:color="auto"/>
            <w:right w:val="none" w:sz="0" w:space="0" w:color="auto"/>
          </w:divBdr>
        </w:div>
        <w:div w:id="1752118058">
          <w:marLeft w:val="1080"/>
          <w:marRight w:val="0"/>
          <w:marTop w:val="0"/>
          <w:marBottom w:val="101"/>
          <w:divBdr>
            <w:top w:val="none" w:sz="0" w:space="0" w:color="auto"/>
            <w:left w:val="none" w:sz="0" w:space="0" w:color="auto"/>
            <w:bottom w:val="none" w:sz="0" w:space="0" w:color="auto"/>
            <w:right w:val="none" w:sz="0" w:space="0" w:color="auto"/>
          </w:divBdr>
        </w:div>
        <w:div w:id="1456756360">
          <w:marLeft w:val="1080"/>
          <w:marRight w:val="0"/>
          <w:marTop w:val="0"/>
          <w:marBottom w:val="101"/>
          <w:divBdr>
            <w:top w:val="none" w:sz="0" w:space="0" w:color="auto"/>
            <w:left w:val="none" w:sz="0" w:space="0" w:color="auto"/>
            <w:bottom w:val="none" w:sz="0" w:space="0" w:color="auto"/>
            <w:right w:val="none" w:sz="0" w:space="0" w:color="auto"/>
          </w:divBdr>
        </w:div>
        <w:div w:id="852374772">
          <w:marLeft w:val="720"/>
          <w:marRight w:val="0"/>
          <w:marTop w:val="0"/>
          <w:marBottom w:val="101"/>
          <w:divBdr>
            <w:top w:val="none" w:sz="0" w:space="0" w:color="auto"/>
            <w:left w:val="none" w:sz="0" w:space="0" w:color="auto"/>
            <w:bottom w:val="none" w:sz="0" w:space="0" w:color="auto"/>
            <w:right w:val="none" w:sz="0" w:space="0" w:color="auto"/>
          </w:divBdr>
        </w:div>
        <w:div w:id="2053455277">
          <w:marLeft w:val="0"/>
          <w:marRight w:val="0"/>
          <w:marTop w:val="0"/>
          <w:marBottom w:val="101"/>
          <w:divBdr>
            <w:top w:val="none" w:sz="0" w:space="0" w:color="auto"/>
            <w:left w:val="none" w:sz="0" w:space="0" w:color="auto"/>
            <w:bottom w:val="none" w:sz="0" w:space="0" w:color="auto"/>
            <w:right w:val="none" w:sz="0" w:space="0" w:color="auto"/>
          </w:divBdr>
        </w:div>
        <w:div w:id="690187795">
          <w:marLeft w:val="0"/>
          <w:marRight w:val="0"/>
          <w:marTop w:val="0"/>
          <w:marBottom w:val="101"/>
          <w:divBdr>
            <w:top w:val="none" w:sz="0" w:space="0" w:color="auto"/>
            <w:left w:val="none" w:sz="0" w:space="0" w:color="auto"/>
            <w:bottom w:val="none" w:sz="0" w:space="0" w:color="auto"/>
            <w:right w:val="none" w:sz="0" w:space="0" w:color="auto"/>
          </w:divBdr>
        </w:div>
        <w:div w:id="136647255">
          <w:marLeft w:val="0"/>
          <w:marRight w:val="0"/>
          <w:marTop w:val="0"/>
          <w:marBottom w:val="101"/>
          <w:divBdr>
            <w:top w:val="none" w:sz="0" w:space="0" w:color="auto"/>
            <w:left w:val="none" w:sz="0" w:space="0" w:color="auto"/>
            <w:bottom w:val="none" w:sz="0" w:space="0" w:color="auto"/>
            <w:right w:val="none" w:sz="0" w:space="0" w:color="auto"/>
          </w:divBdr>
        </w:div>
        <w:div w:id="604001512">
          <w:marLeft w:val="0"/>
          <w:marRight w:val="0"/>
          <w:marTop w:val="0"/>
          <w:marBottom w:val="101"/>
          <w:divBdr>
            <w:top w:val="none" w:sz="0" w:space="0" w:color="auto"/>
            <w:left w:val="none" w:sz="0" w:space="0" w:color="auto"/>
            <w:bottom w:val="none" w:sz="0" w:space="0" w:color="auto"/>
            <w:right w:val="none" w:sz="0" w:space="0" w:color="auto"/>
          </w:divBdr>
        </w:div>
        <w:div w:id="1698584091">
          <w:marLeft w:val="0"/>
          <w:marRight w:val="319"/>
          <w:marTop w:val="0"/>
          <w:marBottom w:val="101"/>
          <w:divBdr>
            <w:top w:val="none" w:sz="0" w:space="0" w:color="auto"/>
            <w:left w:val="none" w:sz="0" w:space="0" w:color="auto"/>
            <w:bottom w:val="none" w:sz="0" w:space="0" w:color="auto"/>
            <w:right w:val="none" w:sz="0" w:space="0" w:color="auto"/>
          </w:divBdr>
        </w:div>
        <w:div w:id="1767921057">
          <w:marLeft w:val="0"/>
          <w:marRight w:val="0"/>
          <w:marTop w:val="0"/>
          <w:marBottom w:val="101"/>
          <w:divBdr>
            <w:top w:val="none" w:sz="0" w:space="0" w:color="auto"/>
            <w:left w:val="none" w:sz="0" w:space="0" w:color="auto"/>
            <w:bottom w:val="none" w:sz="0" w:space="0" w:color="auto"/>
            <w:right w:val="none" w:sz="0" w:space="0" w:color="auto"/>
          </w:divBdr>
        </w:div>
        <w:div w:id="611403735">
          <w:marLeft w:val="0"/>
          <w:marRight w:val="0"/>
          <w:marTop w:val="0"/>
          <w:marBottom w:val="101"/>
          <w:divBdr>
            <w:top w:val="none" w:sz="0" w:space="0" w:color="auto"/>
            <w:left w:val="none" w:sz="0" w:space="0" w:color="auto"/>
            <w:bottom w:val="none" w:sz="0" w:space="0" w:color="auto"/>
            <w:right w:val="none" w:sz="0" w:space="0" w:color="auto"/>
          </w:divBdr>
        </w:div>
        <w:div w:id="455411771">
          <w:marLeft w:val="0"/>
          <w:marRight w:val="319"/>
          <w:marTop w:val="0"/>
          <w:marBottom w:val="101"/>
          <w:divBdr>
            <w:top w:val="none" w:sz="0" w:space="0" w:color="auto"/>
            <w:left w:val="none" w:sz="0" w:space="0" w:color="auto"/>
            <w:bottom w:val="none" w:sz="0" w:space="0" w:color="auto"/>
            <w:right w:val="none" w:sz="0" w:space="0" w:color="auto"/>
          </w:divBdr>
        </w:div>
        <w:div w:id="962811406">
          <w:marLeft w:val="0"/>
          <w:marRight w:val="0"/>
          <w:marTop w:val="0"/>
          <w:marBottom w:val="101"/>
          <w:divBdr>
            <w:top w:val="none" w:sz="0" w:space="0" w:color="auto"/>
            <w:left w:val="none" w:sz="0" w:space="0" w:color="auto"/>
            <w:bottom w:val="none" w:sz="0" w:space="0" w:color="auto"/>
            <w:right w:val="none" w:sz="0" w:space="0" w:color="auto"/>
          </w:divBdr>
        </w:div>
        <w:div w:id="2033800303">
          <w:marLeft w:val="0"/>
          <w:marRight w:val="0"/>
          <w:marTop w:val="0"/>
          <w:marBottom w:val="101"/>
          <w:divBdr>
            <w:top w:val="none" w:sz="0" w:space="0" w:color="auto"/>
            <w:left w:val="none" w:sz="0" w:space="0" w:color="auto"/>
            <w:bottom w:val="none" w:sz="0" w:space="0" w:color="auto"/>
            <w:right w:val="none" w:sz="0" w:space="0" w:color="auto"/>
          </w:divBdr>
        </w:div>
        <w:div w:id="1217398303">
          <w:marLeft w:val="0"/>
          <w:marRight w:val="319"/>
          <w:marTop w:val="0"/>
          <w:marBottom w:val="101"/>
          <w:divBdr>
            <w:top w:val="none" w:sz="0" w:space="0" w:color="auto"/>
            <w:left w:val="none" w:sz="0" w:space="0" w:color="auto"/>
            <w:bottom w:val="none" w:sz="0" w:space="0" w:color="auto"/>
            <w:right w:val="none" w:sz="0" w:space="0" w:color="auto"/>
          </w:divBdr>
        </w:div>
        <w:div w:id="1482498550">
          <w:marLeft w:val="0"/>
          <w:marRight w:val="0"/>
          <w:marTop w:val="0"/>
          <w:marBottom w:val="101"/>
          <w:divBdr>
            <w:top w:val="none" w:sz="0" w:space="0" w:color="auto"/>
            <w:left w:val="none" w:sz="0" w:space="0" w:color="auto"/>
            <w:bottom w:val="none" w:sz="0" w:space="0" w:color="auto"/>
            <w:right w:val="none" w:sz="0" w:space="0" w:color="auto"/>
          </w:divBdr>
        </w:div>
        <w:div w:id="2021471783">
          <w:marLeft w:val="0"/>
          <w:marRight w:val="0"/>
          <w:marTop w:val="0"/>
          <w:marBottom w:val="101"/>
          <w:divBdr>
            <w:top w:val="none" w:sz="0" w:space="0" w:color="auto"/>
            <w:left w:val="none" w:sz="0" w:space="0" w:color="auto"/>
            <w:bottom w:val="none" w:sz="0" w:space="0" w:color="auto"/>
            <w:right w:val="none" w:sz="0" w:space="0" w:color="auto"/>
          </w:divBdr>
        </w:div>
        <w:div w:id="292173202">
          <w:marLeft w:val="0"/>
          <w:marRight w:val="319"/>
          <w:marTop w:val="0"/>
          <w:marBottom w:val="101"/>
          <w:divBdr>
            <w:top w:val="none" w:sz="0" w:space="0" w:color="auto"/>
            <w:left w:val="none" w:sz="0" w:space="0" w:color="auto"/>
            <w:bottom w:val="none" w:sz="0" w:space="0" w:color="auto"/>
            <w:right w:val="none" w:sz="0" w:space="0" w:color="auto"/>
          </w:divBdr>
        </w:div>
        <w:div w:id="907573004">
          <w:marLeft w:val="0"/>
          <w:marRight w:val="0"/>
          <w:marTop w:val="0"/>
          <w:marBottom w:val="101"/>
          <w:divBdr>
            <w:top w:val="none" w:sz="0" w:space="0" w:color="auto"/>
            <w:left w:val="none" w:sz="0" w:space="0" w:color="auto"/>
            <w:bottom w:val="none" w:sz="0" w:space="0" w:color="auto"/>
            <w:right w:val="none" w:sz="0" w:space="0" w:color="auto"/>
          </w:divBdr>
        </w:div>
        <w:div w:id="540826585">
          <w:marLeft w:val="0"/>
          <w:marRight w:val="0"/>
          <w:marTop w:val="0"/>
          <w:marBottom w:val="101"/>
          <w:divBdr>
            <w:top w:val="none" w:sz="0" w:space="0" w:color="auto"/>
            <w:left w:val="none" w:sz="0" w:space="0" w:color="auto"/>
            <w:bottom w:val="none" w:sz="0" w:space="0" w:color="auto"/>
            <w:right w:val="none" w:sz="0" w:space="0" w:color="auto"/>
          </w:divBdr>
        </w:div>
        <w:div w:id="733700115">
          <w:marLeft w:val="0"/>
          <w:marRight w:val="319"/>
          <w:marTop w:val="0"/>
          <w:marBottom w:val="101"/>
          <w:divBdr>
            <w:top w:val="none" w:sz="0" w:space="0" w:color="auto"/>
            <w:left w:val="none" w:sz="0" w:space="0" w:color="auto"/>
            <w:bottom w:val="none" w:sz="0" w:space="0" w:color="auto"/>
            <w:right w:val="none" w:sz="0" w:space="0" w:color="auto"/>
          </w:divBdr>
        </w:div>
        <w:div w:id="1841115871">
          <w:marLeft w:val="0"/>
          <w:marRight w:val="0"/>
          <w:marTop w:val="0"/>
          <w:marBottom w:val="101"/>
          <w:divBdr>
            <w:top w:val="none" w:sz="0" w:space="0" w:color="auto"/>
            <w:left w:val="none" w:sz="0" w:space="0" w:color="auto"/>
            <w:bottom w:val="none" w:sz="0" w:space="0" w:color="auto"/>
            <w:right w:val="none" w:sz="0" w:space="0" w:color="auto"/>
          </w:divBdr>
        </w:div>
        <w:div w:id="617109353">
          <w:marLeft w:val="0"/>
          <w:marRight w:val="0"/>
          <w:marTop w:val="0"/>
          <w:marBottom w:val="101"/>
          <w:divBdr>
            <w:top w:val="none" w:sz="0" w:space="0" w:color="auto"/>
            <w:left w:val="none" w:sz="0" w:space="0" w:color="auto"/>
            <w:bottom w:val="none" w:sz="0" w:space="0" w:color="auto"/>
            <w:right w:val="none" w:sz="0" w:space="0" w:color="auto"/>
          </w:divBdr>
        </w:div>
        <w:div w:id="2006662163">
          <w:marLeft w:val="0"/>
          <w:marRight w:val="319"/>
          <w:marTop w:val="0"/>
          <w:marBottom w:val="101"/>
          <w:divBdr>
            <w:top w:val="none" w:sz="0" w:space="0" w:color="auto"/>
            <w:left w:val="none" w:sz="0" w:space="0" w:color="auto"/>
            <w:bottom w:val="none" w:sz="0" w:space="0" w:color="auto"/>
            <w:right w:val="none" w:sz="0" w:space="0" w:color="auto"/>
          </w:divBdr>
        </w:div>
        <w:div w:id="1003817702">
          <w:marLeft w:val="0"/>
          <w:marRight w:val="0"/>
          <w:marTop w:val="0"/>
          <w:marBottom w:val="101"/>
          <w:divBdr>
            <w:top w:val="none" w:sz="0" w:space="0" w:color="auto"/>
            <w:left w:val="none" w:sz="0" w:space="0" w:color="auto"/>
            <w:bottom w:val="none" w:sz="0" w:space="0" w:color="auto"/>
            <w:right w:val="none" w:sz="0" w:space="0" w:color="auto"/>
          </w:divBdr>
        </w:div>
        <w:div w:id="928923915">
          <w:marLeft w:val="0"/>
          <w:marRight w:val="0"/>
          <w:marTop w:val="0"/>
          <w:marBottom w:val="101"/>
          <w:divBdr>
            <w:top w:val="none" w:sz="0" w:space="0" w:color="auto"/>
            <w:left w:val="none" w:sz="0" w:space="0" w:color="auto"/>
            <w:bottom w:val="none" w:sz="0" w:space="0" w:color="auto"/>
            <w:right w:val="none" w:sz="0" w:space="0" w:color="auto"/>
          </w:divBdr>
        </w:div>
        <w:div w:id="1350256454">
          <w:marLeft w:val="0"/>
          <w:marRight w:val="319"/>
          <w:marTop w:val="0"/>
          <w:marBottom w:val="101"/>
          <w:divBdr>
            <w:top w:val="none" w:sz="0" w:space="0" w:color="auto"/>
            <w:left w:val="none" w:sz="0" w:space="0" w:color="auto"/>
            <w:bottom w:val="none" w:sz="0" w:space="0" w:color="auto"/>
            <w:right w:val="none" w:sz="0" w:space="0" w:color="auto"/>
          </w:divBdr>
        </w:div>
        <w:div w:id="1634024222">
          <w:marLeft w:val="0"/>
          <w:marRight w:val="0"/>
          <w:marTop w:val="0"/>
          <w:marBottom w:val="101"/>
          <w:divBdr>
            <w:top w:val="none" w:sz="0" w:space="0" w:color="auto"/>
            <w:left w:val="none" w:sz="0" w:space="0" w:color="auto"/>
            <w:bottom w:val="none" w:sz="0" w:space="0" w:color="auto"/>
            <w:right w:val="none" w:sz="0" w:space="0" w:color="auto"/>
          </w:divBdr>
        </w:div>
        <w:div w:id="245456430">
          <w:marLeft w:val="0"/>
          <w:marRight w:val="0"/>
          <w:marTop w:val="0"/>
          <w:marBottom w:val="101"/>
          <w:divBdr>
            <w:top w:val="none" w:sz="0" w:space="0" w:color="auto"/>
            <w:left w:val="none" w:sz="0" w:space="0" w:color="auto"/>
            <w:bottom w:val="none" w:sz="0" w:space="0" w:color="auto"/>
            <w:right w:val="none" w:sz="0" w:space="0" w:color="auto"/>
          </w:divBdr>
        </w:div>
        <w:div w:id="599409953">
          <w:marLeft w:val="0"/>
          <w:marRight w:val="319"/>
          <w:marTop w:val="0"/>
          <w:marBottom w:val="101"/>
          <w:divBdr>
            <w:top w:val="none" w:sz="0" w:space="0" w:color="auto"/>
            <w:left w:val="none" w:sz="0" w:space="0" w:color="auto"/>
            <w:bottom w:val="none" w:sz="0" w:space="0" w:color="auto"/>
            <w:right w:val="none" w:sz="0" w:space="0" w:color="auto"/>
          </w:divBdr>
        </w:div>
        <w:div w:id="651175613">
          <w:marLeft w:val="0"/>
          <w:marRight w:val="0"/>
          <w:marTop w:val="0"/>
          <w:marBottom w:val="101"/>
          <w:divBdr>
            <w:top w:val="none" w:sz="0" w:space="0" w:color="auto"/>
            <w:left w:val="none" w:sz="0" w:space="0" w:color="auto"/>
            <w:bottom w:val="none" w:sz="0" w:space="0" w:color="auto"/>
            <w:right w:val="none" w:sz="0" w:space="0" w:color="auto"/>
          </w:divBdr>
        </w:div>
        <w:div w:id="1138111461">
          <w:marLeft w:val="0"/>
          <w:marRight w:val="0"/>
          <w:marTop w:val="0"/>
          <w:marBottom w:val="101"/>
          <w:divBdr>
            <w:top w:val="none" w:sz="0" w:space="0" w:color="auto"/>
            <w:left w:val="none" w:sz="0" w:space="0" w:color="auto"/>
            <w:bottom w:val="none" w:sz="0" w:space="0" w:color="auto"/>
            <w:right w:val="none" w:sz="0" w:space="0" w:color="auto"/>
          </w:divBdr>
        </w:div>
        <w:div w:id="2016036264">
          <w:marLeft w:val="0"/>
          <w:marRight w:val="319"/>
          <w:marTop w:val="0"/>
          <w:marBottom w:val="101"/>
          <w:divBdr>
            <w:top w:val="none" w:sz="0" w:space="0" w:color="auto"/>
            <w:left w:val="none" w:sz="0" w:space="0" w:color="auto"/>
            <w:bottom w:val="none" w:sz="0" w:space="0" w:color="auto"/>
            <w:right w:val="none" w:sz="0" w:space="0" w:color="auto"/>
          </w:divBdr>
        </w:div>
        <w:div w:id="1590234428">
          <w:marLeft w:val="0"/>
          <w:marRight w:val="0"/>
          <w:marTop w:val="0"/>
          <w:marBottom w:val="101"/>
          <w:divBdr>
            <w:top w:val="none" w:sz="0" w:space="0" w:color="auto"/>
            <w:left w:val="none" w:sz="0" w:space="0" w:color="auto"/>
            <w:bottom w:val="none" w:sz="0" w:space="0" w:color="auto"/>
            <w:right w:val="none" w:sz="0" w:space="0" w:color="auto"/>
          </w:divBdr>
        </w:div>
        <w:div w:id="1133596701">
          <w:marLeft w:val="0"/>
          <w:marRight w:val="0"/>
          <w:marTop w:val="0"/>
          <w:marBottom w:val="101"/>
          <w:divBdr>
            <w:top w:val="none" w:sz="0" w:space="0" w:color="auto"/>
            <w:left w:val="none" w:sz="0" w:space="0" w:color="auto"/>
            <w:bottom w:val="none" w:sz="0" w:space="0" w:color="auto"/>
            <w:right w:val="none" w:sz="0" w:space="0" w:color="auto"/>
          </w:divBdr>
        </w:div>
        <w:div w:id="66416625">
          <w:marLeft w:val="0"/>
          <w:marRight w:val="319"/>
          <w:marTop w:val="0"/>
          <w:marBottom w:val="101"/>
          <w:divBdr>
            <w:top w:val="none" w:sz="0" w:space="0" w:color="auto"/>
            <w:left w:val="none" w:sz="0" w:space="0" w:color="auto"/>
            <w:bottom w:val="none" w:sz="0" w:space="0" w:color="auto"/>
            <w:right w:val="none" w:sz="0" w:space="0" w:color="auto"/>
          </w:divBdr>
        </w:div>
        <w:div w:id="730999111">
          <w:marLeft w:val="0"/>
          <w:marRight w:val="0"/>
          <w:marTop w:val="0"/>
          <w:marBottom w:val="101"/>
          <w:divBdr>
            <w:top w:val="none" w:sz="0" w:space="0" w:color="auto"/>
            <w:left w:val="none" w:sz="0" w:space="0" w:color="auto"/>
            <w:bottom w:val="none" w:sz="0" w:space="0" w:color="auto"/>
            <w:right w:val="none" w:sz="0" w:space="0" w:color="auto"/>
          </w:divBdr>
        </w:div>
        <w:div w:id="1859931885">
          <w:marLeft w:val="0"/>
          <w:marRight w:val="0"/>
          <w:marTop w:val="0"/>
          <w:marBottom w:val="101"/>
          <w:divBdr>
            <w:top w:val="none" w:sz="0" w:space="0" w:color="auto"/>
            <w:left w:val="none" w:sz="0" w:space="0" w:color="auto"/>
            <w:bottom w:val="none" w:sz="0" w:space="0" w:color="auto"/>
            <w:right w:val="none" w:sz="0" w:space="0" w:color="auto"/>
          </w:divBdr>
        </w:div>
        <w:div w:id="2052462705">
          <w:marLeft w:val="0"/>
          <w:marRight w:val="0"/>
          <w:marTop w:val="0"/>
          <w:marBottom w:val="101"/>
          <w:divBdr>
            <w:top w:val="none" w:sz="0" w:space="0" w:color="auto"/>
            <w:left w:val="none" w:sz="0" w:space="0" w:color="auto"/>
            <w:bottom w:val="none" w:sz="0" w:space="0" w:color="auto"/>
            <w:right w:val="none" w:sz="0" w:space="0" w:color="auto"/>
          </w:divBdr>
        </w:div>
        <w:div w:id="944923884">
          <w:marLeft w:val="720"/>
          <w:marRight w:val="0"/>
          <w:marTop w:val="0"/>
          <w:marBottom w:val="101"/>
          <w:divBdr>
            <w:top w:val="none" w:sz="0" w:space="0" w:color="auto"/>
            <w:left w:val="none" w:sz="0" w:space="0" w:color="auto"/>
            <w:bottom w:val="none" w:sz="0" w:space="0" w:color="auto"/>
            <w:right w:val="none" w:sz="0" w:space="0" w:color="auto"/>
          </w:divBdr>
        </w:div>
        <w:div w:id="1739789832">
          <w:marLeft w:val="720"/>
          <w:marRight w:val="0"/>
          <w:marTop w:val="0"/>
          <w:marBottom w:val="101"/>
          <w:divBdr>
            <w:top w:val="none" w:sz="0" w:space="0" w:color="auto"/>
            <w:left w:val="none" w:sz="0" w:space="0" w:color="auto"/>
            <w:bottom w:val="none" w:sz="0" w:space="0" w:color="auto"/>
            <w:right w:val="none" w:sz="0" w:space="0" w:color="auto"/>
          </w:divBdr>
        </w:div>
        <w:div w:id="960771680">
          <w:marLeft w:val="720"/>
          <w:marRight w:val="0"/>
          <w:marTop w:val="0"/>
          <w:marBottom w:val="101"/>
          <w:divBdr>
            <w:top w:val="none" w:sz="0" w:space="0" w:color="auto"/>
            <w:left w:val="none" w:sz="0" w:space="0" w:color="auto"/>
            <w:bottom w:val="none" w:sz="0" w:space="0" w:color="auto"/>
            <w:right w:val="none" w:sz="0" w:space="0" w:color="auto"/>
          </w:divBdr>
        </w:div>
        <w:div w:id="203372440">
          <w:marLeft w:val="720"/>
          <w:marRight w:val="0"/>
          <w:marTop w:val="0"/>
          <w:marBottom w:val="101"/>
          <w:divBdr>
            <w:top w:val="none" w:sz="0" w:space="0" w:color="auto"/>
            <w:left w:val="none" w:sz="0" w:space="0" w:color="auto"/>
            <w:bottom w:val="none" w:sz="0" w:space="0" w:color="auto"/>
            <w:right w:val="none" w:sz="0" w:space="0" w:color="auto"/>
          </w:divBdr>
        </w:div>
        <w:div w:id="1572810294">
          <w:marLeft w:val="0"/>
          <w:marRight w:val="0"/>
          <w:marTop w:val="101"/>
          <w:marBottom w:val="101"/>
          <w:divBdr>
            <w:top w:val="none" w:sz="0" w:space="0" w:color="auto"/>
            <w:left w:val="none" w:sz="0" w:space="0" w:color="auto"/>
            <w:bottom w:val="none" w:sz="0" w:space="0" w:color="auto"/>
            <w:right w:val="none" w:sz="0" w:space="0" w:color="auto"/>
          </w:divBdr>
        </w:div>
        <w:div w:id="1831289200">
          <w:marLeft w:val="0"/>
          <w:marRight w:val="0"/>
          <w:marTop w:val="0"/>
          <w:marBottom w:val="101"/>
          <w:divBdr>
            <w:top w:val="none" w:sz="0" w:space="0" w:color="auto"/>
            <w:left w:val="none" w:sz="0" w:space="0" w:color="auto"/>
            <w:bottom w:val="none" w:sz="0" w:space="0" w:color="auto"/>
            <w:right w:val="none" w:sz="0" w:space="0" w:color="auto"/>
          </w:divBdr>
        </w:div>
        <w:div w:id="1854689977">
          <w:marLeft w:val="0"/>
          <w:marRight w:val="0"/>
          <w:marTop w:val="0"/>
          <w:marBottom w:val="101"/>
          <w:divBdr>
            <w:top w:val="none" w:sz="0" w:space="0" w:color="auto"/>
            <w:left w:val="none" w:sz="0" w:space="0" w:color="auto"/>
            <w:bottom w:val="none" w:sz="0" w:space="0" w:color="auto"/>
            <w:right w:val="none" w:sz="0" w:space="0" w:color="auto"/>
          </w:divBdr>
        </w:div>
        <w:div w:id="434986488">
          <w:marLeft w:val="0"/>
          <w:marRight w:val="0"/>
          <w:marTop w:val="0"/>
          <w:marBottom w:val="101"/>
          <w:divBdr>
            <w:top w:val="none" w:sz="0" w:space="0" w:color="auto"/>
            <w:left w:val="none" w:sz="0" w:space="0" w:color="auto"/>
            <w:bottom w:val="none" w:sz="0" w:space="0" w:color="auto"/>
            <w:right w:val="none" w:sz="0" w:space="0" w:color="auto"/>
          </w:divBdr>
        </w:div>
        <w:div w:id="1472907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1116</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2021-12-23T14:36:00Z</dcterms:created>
  <dcterms:modified xsi:type="dcterms:W3CDTF">2021-12-23T14:38:00Z</dcterms:modified>
</cp:coreProperties>
</file>