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el otorgamiento del subsidio para la Segunda Etapa de Implementación de la Reforma al Sistema de Justicia Laboral, que celebran la Secretaría del Trabajo y Previsión Social y el Estado de Querétaro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TRABAJO.- Secretaría del Trabajo y Previsión Social.</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EL OTORGAMIENTO DEL SUBSIDIO PARA LA "</w:t>
      </w:r>
      <w:r w:rsidDel="00000000" w:rsidR="00000000" w:rsidRPr="00000000">
        <w:rPr>
          <w:i w:val="1"/>
          <w:color w:val="2f2f2f"/>
          <w:sz w:val="16"/>
          <w:szCs w:val="16"/>
          <w:rtl w:val="0"/>
        </w:rPr>
        <w:t xml:space="preserve">SEGUNDA ETAPA DE IMPLEMENTACIÓN DE LA REFORMA AL SISTEMA DE JUSTICIA LABORAL" </w:t>
      </w:r>
      <w:r w:rsidDel="00000000" w:rsidR="00000000" w:rsidRPr="00000000">
        <w:rPr>
          <w:color w:val="2f2f2f"/>
          <w:sz w:val="16"/>
          <w:szCs w:val="16"/>
          <w:rtl w:val="0"/>
        </w:rPr>
        <w:t xml:space="preserve">QUE CELEBRAN, POR UNA PARTE, EL EJECUTIVO FEDERAL, POR CONDUCTO DE LA SECRETARÍA DEL TRABAJO Y PREVISIÓN SOCIAL, EN LO SUCESIVO "LA SECRETARÍA", REPRESENTADA POR EL TITULAR DE LA UNIDAD DE ENLACE PARA LA REFORMA AL SISTEMA DE JUSTICIA LABORAL, C. ESTEBAN MARTÍNEZ MEJÍA, Y POR EL TITULAR DE LA UNIDAD DE ADMINISTRACIÓN Y FINANZAS, C. MARCO ANTONIO HERNÁNDEZ MARTÍNEZ, Y POR OTRA PARTE, EL GOBIERNO DEL ESTADO DE QUERÉTARO, EN ADELANTE "EL GOBIERNO DEL ESTADO", REPRESENTADO POR EL SECRETARIO DE GOBIERNO, C. JUAN MARTÍN GRANADOS TORRES, EL TITULAR DE LA SECRETARÍA DEL TRABAJO E INSTANCIA ESTATAL RESPONSABLE DEL PROYECTO, C. MARIO FERNANDO RAMÍREZ RETOLAZA; LA SECRETARIA DE PLANEACIÓN Y FINANZAS, C. MARTHA LORENA LEAL RUIZ; Y EL C. JOSÉ ANTONIO ORTEGA CERBÓN, MAGISTRADO PRESIDENTE DEL PODER JUDICIAL DEL ESTADO DE QUERÉTARO; A QUIENES CUANDO ACTÚEN CONJUNTAMENTE SE LES DESIGNARÁ COMO "LAS PARTES", AL TENOR DE LOS SIGUIENTES ANTECEDENTES, DECLARACIONES Y CLÁUSULAS: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Con fecha 24 de febrero de 2017, se publicó en el Diario Oficial de la Federación (DOF)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 fecha 1° de mayo de 2019, se publicó en el DOF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orden de ideas, detalló que la implementación se realizaría en tres etapas, iniciando la primera de ellas el 18 de noviembre de 2020 en 8 Entidades Federativas.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El 30 de noviembre de 2020, se publicó en el DOF el Presupuesto de Egresos de la Federación para el Ejercicio Fiscal 2021; en el cual se asignaron a la Secretaría del Trabajo y Previsión Social los recursos suficientes para atender su estructura programática, dentro la cual se encuentra el </w:t>
      </w:r>
      <w:r w:rsidDel="00000000" w:rsidR="00000000" w:rsidRPr="00000000">
        <w:rPr>
          <w:i w:val="1"/>
          <w:color w:val="2f2f2f"/>
          <w:sz w:val="18"/>
          <w:szCs w:val="18"/>
          <w:rtl w:val="0"/>
        </w:rPr>
        <w:t xml:space="preserve">"Programa Presupuestario U 100 Subsidios a las Entidades federativas para la implementación de la Reforma al Sistema de Justicia Laboral"</w:t>
      </w:r>
      <w:r w:rsidDel="00000000" w:rsidR="00000000" w:rsidRPr="00000000">
        <w:rPr>
          <w:color w:val="2f2f2f"/>
          <w:sz w:val="18"/>
          <w:szCs w:val="18"/>
          <w:rtl w:val="0"/>
        </w:rPr>
        <w:t xml:space="preserve">, en el cual se consideran recursos para coadyuvar con las Entidades federativas que forman parte de la segunda etapa de implementación de la Reforma al Sistema de Justicia Laboral.</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Derivado de la fracción anterior, el 29 de diciembre de 2020 se publicaron en el DOF los </w:t>
      </w:r>
      <w:r w:rsidDel="00000000" w:rsidR="00000000" w:rsidRPr="00000000">
        <w:rPr>
          <w:i w:val="1"/>
          <w:color w:val="2f2f2f"/>
          <w:sz w:val="18"/>
          <w:szCs w:val="18"/>
          <w:rtl w:val="0"/>
        </w:rPr>
        <w:t xml:space="preserve">Lineamientos por los que se establecen las bases y requisitos que deberán cumplir las Entidades Federativas para acceder al subsidio destinado a la segunda etapa de la implementación de la Reforma al Sistema de Justicia Laboral (Lineamientos), </w:t>
      </w:r>
      <w:r w:rsidDel="00000000" w:rsidR="00000000" w:rsidRPr="00000000">
        <w:rPr>
          <w:color w:val="2f2f2f"/>
          <w:sz w:val="18"/>
          <w:szCs w:val="18"/>
          <w:rtl w:val="0"/>
        </w:rPr>
        <w:t xml:space="preserve">y el día 17 de marzo del presente año, se publicó en el Diario Oficial de la Federación, la modificación a dichos lineamientos.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Identificar con precisión la población objetivo; b) Incorporar mecanismos periódicos de seguimiento, supervisión y evaluación; c) Prever la temporalidad en su otorgamiento y d) Reportar su ejercicio.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Que, del cumplimiento en tiempo y forma de los requisitos señalados en los Lineamientos, el Comité de Evaluación determinó aprobar los Proyectos presentados por el Estado de Querétaro, por lo que autorizó la cantidad de $ 49´135,232.38 (cuarenta y nueve millones ciento treinta y cinco mil doscientos treinta y dos pesos 38/100 M.N.) para la instalación de los Centros de Conciliación y Tribunales Laborales Locales.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Dicha situación se notificó a la Entidad Federativa mediante resolución del Comité de Evaluación el 29 de abril de 2021, por lo que, en cumplimiento con lo establecido en el numeral Décimo noveno, Vigésimo tercero y Vigésimo cuarto de los Lineamientos, se celebra el presente instrumento para la transferencia de los recursos referidos en la fracción anterior.</w:t>
      </w:r>
    </w:p>
    <w:p w:rsidR="00000000" w:rsidDel="00000000" w:rsidP="00000000" w:rsidRDefault="00000000" w:rsidRPr="00000000" w14:paraId="000000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18"/>
          <w:szCs w:val="18"/>
          <w:rtl w:val="0"/>
        </w:rPr>
        <w:t xml:space="preserve"> 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18"/>
          <w:szCs w:val="18"/>
          <w:rtl w:val="0"/>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18"/>
          <w:szCs w:val="18"/>
          <w:rtl w:val="0"/>
        </w:rPr>
        <w:t xml:space="preserve"> 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18"/>
          <w:szCs w:val="18"/>
          <w:rtl w:val="0"/>
        </w:rPr>
        <w:t xml:space="preserve"> 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18"/>
          <w:szCs w:val="18"/>
          <w:rtl w:val="0"/>
        </w:rPr>
        <w:t xml:space="preserve"> Para dar cumplimiento al presente Convenio de Coordinación, cuenta con los recursos económicos suficientes para la implementación de la segunda etapa de la Reforma en Materia de Justicia Laboral, Libertad Sindical y Negociación Colectiva, publicada en el DOF el 1º de mayo de 2019, para crear los Centros de Conciliación Locales y Tribunales Laborales Locales.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18"/>
          <w:szCs w:val="18"/>
          <w:rtl w:val="0"/>
        </w:rPr>
        <w:t xml:space="preserve"> Para efectos derivados del presente Convenio, señala como su domicilio el ubicado en Calle La Morena, número 804, Piso 5, Colonia Narvarte Poniente, Alcaldía Benito Juárez, Código Postal 03020, en la Ciudad de México.</w:t>
      </w:r>
    </w:p>
    <w:p w:rsidR="00000000" w:rsidDel="00000000" w:rsidP="00000000" w:rsidRDefault="00000000" w:rsidRPr="00000000" w14:paraId="000000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"EL GOBIERNO DEL ESTADO" declara que:</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18"/>
          <w:szCs w:val="18"/>
          <w:rtl w:val="0"/>
        </w:rPr>
        <w:t xml:space="preserve"> Con fundamento en los artículos 40, 41 primer párrafo, 42, fracción I, 43 y 116 de la Constitución Política de los Estados Unidos Mexicanos; así como el artículo 1 de la Constitución Política del Estado de Querétaro, es un Estado libre y soberano en todo lo concerniente a su régimen interior y forma parte integrante de la Federación.</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18"/>
          <w:szCs w:val="18"/>
          <w:rtl w:val="0"/>
        </w:rPr>
        <w:t xml:space="preserve"> Asiste en la suscripción del presente Convenio de Coordinación el Titular de la Secretaría de Gobierno, Juan Martín Granados Torres, con fundamento en los artículos 19, 23 fracción XII de la Ley Orgánica de la Administración Pública del Estado de Querétaro y artículo 6 fracción XVI del Reglamento Interior de la Secretaría General de Gobierno.</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18"/>
          <w:szCs w:val="18"/>
          <w:rtl w:val="0"/>
        </w:rPr>
        <w:t xml:space="preserve"> La Lic. Martha Lorena Leal Ruiz, por disposición del Gobernador del Estado, Francisco Domínguez Servién, fue designada el día 2 de febrero de 2021, Secretaria de Planeación y Finanzas del Poder Ejecutivo del Estado, por lo que cuenta con las atribuciones necesarias para participar, en el ámbito de su competencia, en la suscripción del presente instrumento jurídico, de conformidad con lo establecido por los artículo 19, fracción II y 22, fracciones IV y XXVI de la Ley Orgánica del Poder Ejecutivo del Estado de Querétaro; 55 de la Ley para el Manejo de los Recursos Públicos del Estado de Querétaro, 1 y 5 del Reglamento Interior de la Secretaría de Planeación y Finanzas y 69 de la Ley General de Contabilidad Gubernamental.</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18"/>
          <w:szCs w:val="18"/>
          <w:rtl w:val="0"/>
        </w:rPr>
        <w:t xml:space="preserve"> De conformidad con lo dispuesto en los artículos 28 fracción 1 de la Ley Orgánica del Poder Ejecutivo del Estado de Querétaro; artículo 8 fracción VIII del Reglamento Interior de la Secretaría de Trabajo, Mario Fernando Ramírez Retolaza, en su carácter de Secretario de Trabajo del Estado de Querétaro, se encuentra facultado para suscribir el presente Convenio y fungirá como Instancia Estatal Responsable del gobierno local, encargado de la implementación del Nuevo Sistema de Justicia Laboral.</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18"/>
          <w:szCs w:val="18"/>
          <w:rtl w:val="0"/>
        </w:rPr>
        <w:t xml:space="preserve"> 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18"/>
          <w:szCs w:val="18"/>
          <w:rtl w:val="0"/>
        </w:rPr>
        <w:t xml:space="preserve"> Para los efectos del presente instrumento, tiene como domicilio legal el ubicado en Calle Madero #70 en la Colonia Centro Histórico en Querétaro, Qro.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II.7.</w:t>
      </w:r>
      <w:r w:rsidDel="00000000" w:rsidR="00000000" w:rsidRPr="00000000">
        <w:rPr>
          <w:color w:val="2f2f2f"/>
          <w:sz w:val="18"/>
          <w:szCs w:val="18"/>
          <w:rtl w:val="0"/>
        </w:rPr>
        <w:t xml:space="preserve"> José Antonio Ortega Cerbón, Magistrado Presidente del Poder Judicial del Estado de Querétaro, cuenta con facultades para suscribir el presente instrumento jurídico en términos de lo dispuesto en los artículos 25 y 27 de la Constitución Política del Estado Libre y Soberano de Querétaro y 26 fracciones I y XV, de la Ley Orgánica del Poder Judicial del Estado de Querétaro.</w:t>
      </w:r>
    </w:p>
    <w:p w:rsidR="00000000" w:rsidDel="00000000" w:rsidP="00000000" w:rsidRDefault="00000000" w:rsidRPr="00000000" w14:paraId="000000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Reconocen en forma recíproca la personalidad con la que se ostentan y comparecen a la suscripción de este Convenio.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18"/>
          <w:szCs w:val="18"/>
          <w:rtl w:val="0"/>
        </w:rPr>
        <w:t xml:space="preserve">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18"/>
          <w:szCs w:val="18"/>
          <w:rtl w:val="0"/>
        </w:rPr>
        <w:t xml:space="preserve">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18"/>
          <w:szCs w:val="18"/>
          <w:rtl w:val="0"/>
        </w:rPr>
        <w:t xml:space="preserve"> Se obligan al cumplimiento de los preceptos establecidos en los Lineamientos y las leyes aplicables en la materia.</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 lo anterior, "LAS PARTES" sujetan su compromiso a la forma y términos que se establecen en las siguientes:</w:t>
      </w:r>
    </w:p>
    <w:p w:rsidR="00000000" w:rsidDel="00000000" w:rsidP="00000000" w:rsidRDefault="00000000" w:rsidRPr="00000000" w14:paraId="0000003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OBJETO. El presente Convenio de Coordinación tiene por objeto el otorgamiento de los recursos autorizados al Estado de Querétaro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ASIGNACIÓN DE LOS RECURSOS. Para el cumplimiento del objeto señalado en la cláusula anterior, "LA SECRETARÍA" asignará la cantidad de $ 49,135,232.38 (cuarenta y un nueve millones ciento treinta y cinco mil doscientos treinta y dos pesos 38/100 M.N.) correspondiente al recurso autorizado por el Comité de Evaluación, de los cuales $17,136,193.84 (diecisiete millones ciento treinta y seis mil ciento noventa y tres pesos 84/100 M.N.) serán destinados para la creación de los Centros de Conciliación Locales; y $31´999,038.54 (treinta y un millones novecientos noventa y nueve mil treinta y ocho pesos 54/100 M.N.) para la creación de los Tribunales Laborales Locales.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ejecución del Proyecto y el ejercicio de los recursos serán responsabilidad de la Secretaría del Trabajo y del Poder Judicial del Estado, según corresponda.</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se radicarán a "EL GOBIERNO DEL ESTADO", a través de su Secretaría de Planeación y Finanzas,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2.463871610321"/>
        <w:gridCol w:w="7453.047939413302"/>
        <w:tblGridChange w:id="0">
          <w:tblGrid>
            <w:gridCol w:w="1572.463871610321"/>
            <w:gridCol w:w="7453.047939413302"/>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jc w:val="both"/>
              <w:rPr>
                <w:sz w:val="18"/>
                <w:szCs w:val="18"/>
              </w:rPr>
            </w:pPr>
            <w:r w:rsidDel="00000000" w:rsidR="00000000" w:rsidRPr="00000000">
              <w:rPr>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both"/>
              <w:rPr>
                <w:sz w:val="18"/>
                <w:szCs w:val="18"/>
              </w:rPr>
            </w:pPr>
            <w:r w:rsidDel="00000000" w:rsidR="00000000" w:rsidRPr="00000000">
              <w:rPr>
                <w:sz w:val="18"/>
                <w:szCs w:val="18"/>
                <w:rtl w:val="0"/>
              </w:rPr>
              <w:t xml:space="preserve">22001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both"/>
              <w:rPr>
                <w:sz w:val="18"/>
                <w:szCs w:val="18"/>
              </w:rPr>
            </w:pPr>
            <w:r w:rsidDel="00000000" w:rsidR="00000000" w:rsidRPr="00000000">
              <w:rPr>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both"/>
              <w:rPr>
                <w:sz w:val="18"/>
                <w:szCs w:val="18"/>
              </w:rPr>
            </w:pPr>
            <w:r w:rsidDel="00000000" w:rsidR="00000000" w:rsidRPr="00000000">
              <w:rPr>
                <w:sz w:val="18"/>
                <w:szCs w:val="18"/>
                <w:rtl w:val="0"/>
              </w:rPr>
              <w:t xml:space="preserve">BANBAJÍO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both"/>
              <w:rPr>
                <w:sz w:val="18"/>
                <w:szCs w:val="18"/>
              </w:rPr>
            </w:pPr>
            <w:r w:rsidDel="00000000" w:rsidR="00000000" w:rsidRPr="00000000">
              <w:rPr>
                <w:sz w:val="18"/>
                <w:szCs w:val="18"/>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ind w:left="80" w:firstLine="0"/>
              <w:jc w:val="both"/>
              <w:rPr>
                <w:sz w:val="18"/>
                <w:szCs w:val="18"/>
              </w:rPr>
            </w:pPr>
            <w:r w:rsidDel="00000000" w:rsidR="00000000" w:rsidRPr="00000000">
              <w:rPr>
                <w:sz w:val="18"/>
                <w:szCs w:val="18"/>
                <w:rtl w:val="0"/>
              </w:rPr>
              <w:t xml:space="preserve">237601190118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80" w:firstLine="0"/>
              <w:jc w:val="both"/>
              <w:rPr>
                <w:sz w:val="18"/>
                <w:szCs w:val="18"/>
              </w:rPr>
            </w:pPr>
            <w:r w:rsidDel="00000000" w:rsidR="00000000" w:rsidRPr="00000000">
              <w:rPr>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both"/>
              <w:rPr>
                <w:sz w:val="18"/>
                <w:szCs w:val="18"/>
              </w:rPr>
            </w:pPr>
            <w:r w:rsidDel="00000000" w:rsidR="00000000" w:rsidRPr="00000000">
              <w:rPr>
                <w:sz w:val="18"/>
                <w:szCs w:val="18"/>
                <w:rtl w:val="0"/>
              </w:rPr>
              <w:t xml:space="preserve">030680900025782738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both"/>
              <w:rPr>
                <w:sz w:val="18"/>
                <w:szCs w:val="18"/>
              </w:rPr>
            </w:pPr>
            <w:r w:rsidDel="00000000" w:rsidR="00000000" w:rsidRPr="00000000">
              <w:rPr>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GEQ-790916-MJ0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both"/>
              <w:rPr>
                <w:sz w:val="18"/>
                <w:szCs w:val="18"/>
              </w:rPr>
            </w:pPr>
            <w:r w:rsidDel="00000000" w:rsidR="00000000" w:rsidRPr="00000000">
              <w:rPr>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both"/>
              <w:rPr>
                <w:sz w:val="18"/>
                <w:szCs w:val="18"/>
              </w:rPr>
            </w:pPr>
            <w:r w:rsidDel="00000000" w:rsidR="00000000" w:rsidRPr="00000000">
              <w:rPr>
                <w:sz w:val="18"/>
                <w:szCs w:val="18"/>
                <w:rtl w:val="0"/>
              </w:rPr>
              <w:t xml:space="preserve">Andador 5 de mayo Esq. Pasteur, Col. Centro C.P. 76000, Querétaro, Qro.</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80" w:firstLine="0"/>
              <w:jc w:val="both"/>
              <w:rPr>
                <w:sz w:val="18"/>
                <w:szCs w:val="18"/>
              </w:rPr>
            </w:pPr>
            <w:r w:rsidDel="00000000" w:rsidR="00000000" w:rsidRPr="00000000">
              <w:rPr>
                <w:sz w:val="18"/>
                <w:szCs w:val="18"/>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80" w:firstLine="0"/>
              <w:jc w:val="both"/>
              <w:rPr>
                <w:sz w:val="18"/>
                <w:szCs w:val="18"/>
              </w:rPr>
            </w:pPr>
            <w:r w:rsidDel="00000000" w:rsidR="00000000" w:rsidRPr="00000000">
              <w:rPr>
                <w:sz w:val="18"/>
                <w:szCs w:val="18"/>
                <w:rtl w:val="0"/>
              </w:rPr>
              <w:t xml:space="preserve">"Proyecto para la Implementación de la segunda etapa de la Reforma al Sistema de Justicia Laboral en el Estado de Querétaro"</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Planeación y Fianzas del Poder Ejecutivo del Estado de Querétaro, se compromete a transferir al Poder Judicial del estado la cantidad requerida, en la cuenta que aperturó conforme a lo que establece el numeral Vigésimo segundo, inciso b, y que se identifica con los siguientes datos: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6615"/>
        <w:tblGridChange w:id="0">
          <w:tblGrid>
            <w:gridCol w:w="2190"/>
            <w:gridCol w:w="66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80" w:firstLine="0"/>
              <w:jc w:val="both"/>
              <w:rPr>
                <w:sz w:val="18"/>
                <w:szCs w:val="18"/>
              </w:rPr>
            </w:pPr>
            <w:r w:rsidDel="00000000" w:rsidR="00000000" w:rsidRPr="00000000">
              <w:rPr>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jc w:val="both"/>
              <w:rPr>
                <w:sz w:val="18"/>
                <w:szCs w:val="18"/>
              </w:rPr>
            </w:pPr>
            <w:r w:rsidDel="00000000" w:rsidR="00000000" w:rsidRPr="00000000">
              <w:rPr>
                <w:sz w:val="18"/>
                <w:szCs w:val="18"/>
                <w:rtl w:val="0"/>
              </w:rPr>
              <w:t xml:space="preserve">680 Querétaro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100" w:lineRule="auto"/>
              <w:ind w:left="80" w:firstLine="0"/>
              <w:jc w:val="both"/>
              <w:rPr>
                <w:sz w:val="18"/>
                <w:szCs w:val="18"/>
              </w:rPr>
            </w:pPr>
            <w:r w:rsidDel="00000000" w:rsidR="00000000" w:rsidRPr="00000000">
              <w:rPr>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80" w:firstLine="0"/>
              <w:jc w:val="both"/>
              <w:rPr>
                <w:sz w:val="18"/>
                <w:szCs w:val="18"/>
              </w:rPr>
            </w:pPr>
            <w:r w:rsidDel="00000000" w:rsidR="00000000" w:rsidRPr="00000000">
              <w:rPr>
                <w:sz w:val="18"/>
                <w:szCs w:val="18"/>
                <w:rtl w:val="0"/>
              </w:rPr>
              <w:t xml:space="preserve">BBVA Bancomer, S.A., Institución de Banca Múltiple</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80" w:firstLine="0"/>
              <w:jc w:val="both"/>
              <w:rPr>
                <w:sz w:val="18"/>
                <w:szCs w:val="18"/>
              </w:rPr>
            </w:pPr>
            <w:r w:rsidDel="00000000" w:rsidR="00000000" w:rsidRPr="00000000">
              <w:rPr>
                <w:sz w:val="18"/>
                <w:szCs w:val="18"/>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00116855474</w:t>
            </w:r>
          </w:p>
        </w:tc>
      </w:tr>
    </w:tbl>
    <w:p w:rsidR="00000000" w:rsidDel="00000000" w:rsidP="00000000" w:rsidRDefault="00000000" w:rsidRPr="00000000" w14:paraId="0000004C">
      <w:pPr>
        <w:rPr/>
      </w:pPr>
      <w:r w:rsidDel="00000000" w:rsidR="00000000" w:rsidRPr="00000000">
        <w:rPr>
          <w:rtl w:val="0"/>
        </w:rPr>
      </w:r>
    </w:p>
    <w:tbl>
      <w:tblPr>
        <w:tblStyle w:val="Table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4.0531561461796"/>
        <w:gridCol w:w="7121.458654877443"/>
        <w:tblGridChange w:id="0">
          <w:tblGrid>
            <w:gridCol w:w="1904.0531561461796"/>
            <w:gridCol w:w="7121.458654877443"/>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80" w:firstLine="0"/>
              <w:jc w:val="both"/>
              <w:rPr>
                <w:sz w:val="18"/>
                <w:szCs w:val="18"/>
              </w:rPr>
            </w:pPr>
            <w:r w:rsidDel="00000000" w:rsidR="00000000" w:rsidRPr="00000000">
              <w:rPr>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100" w:lineRule="auto"/>
              <w:ind w:left="80" w:firstLine="0"/>
              <w:jc w:val="both"/>
              <w:rPr>
                <w:sz w:val="18"/>
                <w:szCs w:val="18"/>
              </w:rPr>
            </w:pPr>
            <w:r w:rsidDel="00000000" w:rsidR="00000000" w:rsidRPr="00000000">
              <w:rPr>
                <w:sz w:val="18"/>
                <w:szCs w:val="18"/>
                <w:rtl w:val="0"/>
              </w:rPr>
              <w:t xml:space="preserve">012680001168554740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100" w:lineRule="auto"/>
              <w:ind w:left="80" w:firstLine="0"/>
              <w:jc w:val="both"/>
              <w:rPr>
                <w:sz w:val="18"/>
                <w:szCs w:val="18"/>
              </w:rPr>
            </w:pPr>
            <w:r w:rsidDel="00000000" w:rsidR="00000000" w:rsidRPr="00000000">
              <w:rPr>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100" w:lineRule="auto"/>
              <w:ind w:left="80" w:firstLine="0"/>
              <w:jc w:val="both"/>
              <w:rPr>
                <w:sz w:val="18"/>
                <w:szCs w:val="18"/>
              </w:rPr>
            </w:pPr>
            <w:r w:rsidDel="00000000" w:rsidR="00000000" w:rsidRPr="00000000">
              <w:rPr>
                <w:sz w:val="18"/>
                <w:szCs w:val="18"/>
                <w:rtl w:val="0"/>
              </w:rPr>
              <w:t xml:space="preserve">PJE-081231-K21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80" w:firstLine="0"/>
              <w:jc w:val="both"/>
              <w:rPr>
                <w:sz w:val="18"/>
                <w:szCs w:val="18"/>
              </w:rPr>
            </w:pPr>
            <w:r w:rsidDel="00000000" w:rsidR="00000000" w:rsidRPr="00000000">
              <w:rPr>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100" w:lineRule="auto"/>
              <w:ind w:left="80" w:firstLine="0"/>
              <w:jc w:val="both"/>
              <w:rPr>
                <w:sz w:val="18"/>
                <w:szCs w:val="18"/>
              </w:rPr>
            </w:pPr>
            <w:r w:rsidDel="00000000" w:rsidR="00000000" w:rsidRPr="00000000">
              <w:rPr>
                <w:sz w:val="18"/>
                <w:szCs w:val="18"/>
                <w:rtl w:val="0"/>
              </w:rPr>
              <w:t xml:space="preserve">Pasteur Sur # 4, Col. Centro, C.P. 76000, Querétaro, Qro.</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100" w:lineRule="auto"/>
              <w:ind w:left="80" w:firstLine="0"/>
              <w:jc w:val="both"/>
              <w:rPr>
                <w:sz w:val="18"/>
                <w:szCs w:val="18"/>
              </w:rPr>
            </w:pPr>
            <w:r w:rsidDel="00000000" w:rsidR="00000000" w:rsidRPr="00000000">
              <w:rPr>
                <w:sz w:val="18"/>
                <w:szCs w:val="18"/>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100" w:lineRule="auto"/>
              <w:ind w:left="80" w:firstLine="0"/>
              <w:jc w:val="both"/>
              <w:rPr>
                <w:i w:val="1"/>
                <w:sz w:val="18"/>
                <w:szCs w:val="18"/>
              </w:rPr>
            </w:pPr>
            <w:r w:rsidDel="00000000" w:rsidR="00000000" w:rsidRPr="00000000">
              <w:rPr>
                <w:i w:val="1"/>
                <w:sz w:val="18"/>
                <w:szCs w:val="18"/>
                <w:rtl w:val="0"/>
              </w:rPr>
              <w:t xml:space="preserve">"Proyecto para la creación de Tribunales Laborales Locales en el Estado de Querétaro"</w:t>
            </w:r>
          </w:p>
        </w:tc>
      </w:tr>
    </w:tbl>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un requisito indispensable que "EL GOBIERNO DEL ESTADO" remita, a través de su Secretaría de Planeación y Finanzas, a "LA SECRETARÍA" la solicitud de transferencia de recursos con los requisitos señalados en el numeral Vigésimo quinto, de los Lineamientos.</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Posteriormente, dentro de los diez días hábiles siguientes a la transferencia de los recursos "EL GOBIERNO DEL ESTADO" deberá emitir el recibo electrónico correspondiente por el monto depositado, mismo que deberá estar validado por el Secretario de Planeación y Finanzas, cumplir con los requisitos establecidos en el artículo 29-A del Código Fiscal de la Federación y enviarlo a "LA SECRETARÍA" vía correo electrónico a la dirección reforma.laboral@stps.gob.mx, así como adjuntarlo en la Plataforma.</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asignados a la Entidad Federativa se encuentran sujetos a la disponibilidad de estos en términos del Presupuesto de Egresos de la Federación 2021,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COMPROMISO DE "LAS PARTES". Además de lo previsto en los Lineamientos, para la realización del objeto del presente Convenio, "LAS PARTES" se comprometen a lo siguiente:</w:t>
      </w:r>
    </w:p>
    <w:p w:rsidR="00000000" w:rsidDel="00000000" w:rsidP="00000000" w:rsidRDefault="00000000" w:rsidRPr="00000000" w14:paraId="000000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0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establecido en la LFPRH, su Reglamento y demás legislación aplicable en materia de subsidios.</w:t>
      </w:r>
    </w:p>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todos los acuerdos del CCIRSJL y los que deriven de las Reuniones de coordinación para la segunda etapa de la implementación de la reforma al Sistema de Justicia Laboral.</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COMPROMISOS DE "LA SECRETARÍA". "LA SECRETARÍA", a través de la UERSJL, se obliga a:</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000000" w:rsidDel="00000000" w:rsidP="00000000" w:rsidRDefault="00000000" w:rsidRPr="00000000" w14:paraId="0000006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06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0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el DOF el presente Convenio, una vez firmado por "LAS PARTES", para los efectos legales conducentes.</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COMPROMISOS DE "EL GOBIERNO DEL ESTADO". "EL GOBIERNO DEL ESTADO" se compromete a:</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por conducto de la Secretaría del Trabajo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el recurso federal de conformidad con lo establecido en los Proyectos presentados, a más tardar el 1º de octubre de 2021.</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Iniciar las acciones para dar cumplimiento a los objetivos y metas definidas en los Proyectos presentados y en el Plan calendarizado, una vez que se firme el presente Convenio.</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resguardar y conservar la documentación justificativa y comprobatoria de las erogaciones cubiertas con los recursos federales que le sean entregados por concepto de subsidios.</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contabilidad y en la Cuenta Pública local, conforme sean devengados y ejercidos los recursos, y dar cumplimiento a las disposiciones federales aplicables respecto de la administración de éstos.</w:t>
      </w:r>
    </w:p>
    <w:p w:rsidR="00000000" w:rsidDel="00000000" w:rsidP="00000000" w:rsidRDefault="00000000" w:rsidRPr="00000000" w14:paraId="000000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resguardar los expedientes relacionados con la ejecución y comprobación de los Proyectos financiados con los recursos otorgados objeto del presente instrumento.</w:t>
      </w:r>
    </w:p>
    <w:p w:rsidR="00000000" w:rsidDel="00000000" w:rsidP="00000000" w:rsidRDefault="00000000" w:rsidRPr="00000000" w14:paraId="0000007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Reportar trimestralmente por rubro, conforme al Plan calendarizado lo siguiente:</w:t>
      </w:r>
    </w:p>
    <w:p w:rsidR="00000000" w:rsidDel="00000000" w:rsidP="00000000" w:rsidRDefault="00000000" w:rsidRPr="00000000" w14:paraId="000000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sobre el ejercicio, destino y resultados obtenidos con los recursos del subsidio;</w:t>
      </w:r>
    </w:p>
    <w:p w:rsidR="00000000" w:rsidDel="00000000" w:rsidP="00000000" w:rsidRDefault="00000000" w:rsidRPr="00000000" w14:paraId="0000007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disponibilidad financiera con la que cuente y el recurso del subsidio autorizado, comprometido, devengado, ejercido pagado y disponible el cual deberá ser validado por la Secretaría de Planeación y Finanzas y soportado con la documentación inherente al Proyecto que corresponda (instalación de Centros de Conciliación o Tribunales Laborales locales).</w:t>
      </w:r>
    </w:p>
    <w:p w:rsidR="00000000" w:rsidDel="00000000" w:rsidP="00000000" w:rsidRDefault="00000000" w:rsidRPr="00000000" w14:paraId="0000007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instrumentos contractuales correspondientes a los procesos de adjudicación realizados en el periodo reportado.</w:t>
      </w:r>
    </w:p>
    <w:p w:rsidR="00000000" w:rsidDel="00000000" w:rsidP="00000000" w:rsidRDefault="00000000" w:rsidRPr="00000000" w14:paraId="0000007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comprobantes fiscales en términos de las leyes aplicables y la verificación de estos en la página de Sistema de Administración Tributaria (SAT).</w:t>
      </w:r>
    </w:p>
    <w:p w:rsidR="00000000" w:rsidDel="00000000" w:rsidP="00000000" w:rsidRDefault="00000000" w:rsidRPr="00000000" w14:paraId="0000007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de cuenta bancarios del periodo reportado.</w:t>
      </w:r>
    </w:p>
    <w:p w:rsidR="00000000" w:rsidDel="00000000" w:rsidP="00000000" w:rsidRDefault="00000000" w:rsidRPr="00000000" w14:paraId="0000007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grado de avance de los Proyectos medidos con base en las metas e indicadores que se muestren en el formato de la Plataforma que "LA SECRETARÍA" habilite para tal fin.</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reportes también deberán hacer mención del avance del Proyecto con su debido soporte documental.</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los Lineamientos, presentar a "LA SECRETARÍA", a más tardar el 16 de octubre de 2021, el Acta de cierre del Proyecto, firmada por las autoridades responsables, la cual deberá cumplir con los requisitos que se establecen en el numeral Trigésimo octavo, inciso p, de los Lineamientos.</w:t>
      </w:r>
    </w:p>
    <w:p w:rsidR="00000000" w:rsidDel="00000000" w:rsidP="00000000" w:rsidRDefault="00000000" w:rsidRPr="00000000" w14:paraId="000000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m.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SECRETARÍA" el cambio de los servidores públicos con injerencia directa en la aplicación de los Lineamientos, que se realice en la Entidad Federativa hasta el 16 de octubre de 2021,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SECRETARÍA" sobre cualquier cambio de la persona designada como Enlace, así como del personal responsable del seguimiento del Subsidio, en un plazo no mayor a 20 días hábiles contados a partir del cambio correspondiente, proporcionando los datos de contacto de quien asumirá dichas funciones.</w:t>
      </w:r>
    </w:p>
    <w:p w:rsidR="00000000" w:rsidDel="00000000" w:rsidP="00000000" w:rsidRDefault="00000000" w:rsidRPr="00000000" w14:paraId="0000007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y observar en todo momento las disposiciones de la LFPRH, el RLFPRH, el Presupuesto de Egresos de la Federación 2021, y demás legislación aplicable a la materia.</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ENLACES. Las o los servidores públicos que fungirán como enlaces entre "LAS PARTES" serán, por "EL GOBIERNO DEL ESTADO" el designado por el Secretario de Trabajo o su homólogo y el designado por el Presidente del Tribunal Superior de Justicia del Estado, y por "LA SECRETARÍA" la persona designada por la UERSJL.</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través de las personas enlaces se efectuarán todas las comunicaciones derivadas de la operación del presente Convenio de Coordinación, quienes serán responsables internos de las actividades encomendadas.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 anterior deberá atender lo dispuesto en el numeral Trigésimo octavo, inciso f, de los Lineamientos.</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2021, deberán ser reintegrados a la Tesorería de la Federación en términos de lo dispuesto en el capítulo X de los Lineamientos.</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 SECRETARÍA", la documentación original que deberá conservar y que estará bajo su resguardo es la que señalan los numerales Quinto, Décimo cuarto, Décimo sexto, Vigésimo quinto, Trigésimo octavo, incisos f y p, de los Lineamientos.</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REINTEGRO DE LOS RECURSOS. En caso de que "EL GOBIERNO DEL ESTADO" no erogue los recursos federales asignados, los recursos remanentes o saldos disponibles que presente al 31 de agosto de 2021, deberá de notificarlo por escrito a la UERSJL de "LA SECRETARÍA" a más tardar el 15 de septiembre de 2021,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30 de septiembre de 2021, a través de los medios señalados en los Lineamientos.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GOBIERNO DEL ESTADO" estará obligado a reintegrar a la Tesorería de la Federación aquellos recursos que no sean aplicados a los fines para los que le fueron autorizados.</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reintegro de los recursos a la Tesorería de la Federación se regirá conforme a lo dispuesto en el capítulo X de los Lineamientos, la LFPRH, el RLFPRH y las demás disposiciones aplicables en la materia.</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w:t>
      </w:r>
      <w:r w:rsidDel="00000000" w:rsidR="00000000" w:rsidRPr="00000000">
        <w:rPr>
          <w:color w:val="2f2f2f"/>
          <w:sz w:val="18"/>
          <w:szCs w:val="18"/>
          <w:rtl w:val="0"/>
        </w:rPr>
        <w:t xml:space="preserve"> 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TERCERA. </w:t>
      </w:r>
      <w:r w:rsidDel="00000000" w:rsidR="00000000" w:rsidRPr="00000000">
        <w:rPr>
          <w:color w:val="2f2f2f"/>
          <w:sz w:val="18"/>
          <w:szCs w:val="18"/>
          <w:rtl w:val="0"/>
        </w:rPr>
        <w:t xml:space="preserve">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CUARTA.</w:t>
      </w:r>
      <w:r w:rsidDel="00000000" w:rsidR="00000000" w:rsidRPr="00000000">
        <w:rPr>
          <w:color w:val="2f2f2f"/>
          <w:sz w:val="18"/>
          <w:szCs w:val="18"/>
          <w:rtl w:val="0"/>
        </w:rPr>
        <w:t xml:space="preserve"> 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QUINTA.</w:t>
      </w:r>
      <w:r w:rsidDel="00000000" w:rsidR="00000000" w:rsidRPr="00000000">
        <w:rPr>
          <w:color w:val="2f2f2f"/>
          <w:sz w:val="18"/>
          <w:szCs w:val="18"/>
          <w:rtl w:val="0"/>
        </w:rPr>
        <w:t xml:space="preserve"> 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cambios a los Convenios de Coordinación que "EL GOBIERNO DEL ESTADO" pretenda realizar solo podrán llevarse a cabo bajo los siguientes supuestos: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La adición o eliminación de algún rubro en los Proyectos; y</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La modificación de los montos destinados a cada rubro de los diferentes Proyectos.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deberán contemplar los objetivos establecidos en la Solicitud de acceso al subsidio.</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Convenios Modificatorios deberán presentarse al Comité para su evaluación y, de ser el caso, para la aprobación de los cambios a los Proyectos. En caso de ser aprobado y de haberse publicado previamente un Convenio de Coordinación en el DOF, las modificaciones se publicarán en un plazo no mayor a 20 días hábiles a partir de su suscripción.</w:t>
      </w:r>
    </w:p>
    <w:p w:rsidR="00000000" w:rsidDel="00000000" w:rsidP="00000000" w:rsidRDefault="00000000" w:rsidRPr="00000000" w14:paraId="0000009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SEXTA.</w:t>
      </w:r>
      <w:r w:rsidDel="00000000" w:rsidR="00000000" w:rsidRPr="00000000">
        <w:rPr>
          <w:color w:val="2f2f2f"/>
          <w:sz w:val="18"/>
          <w:szCs w:val="18"/>
          <w:rtl w:val="0"/>
        </w:rPr>
        <w:t xml:space="preserve"> TERMINACIÓN ANTICIPADA. El presente Convenio de Coordinación podrá darse por terminado anticipadamente, cuando se presente alguno de los siguientes supuestos:</w:t>
      </w:r>
    </w:p>
    <w:p w:rsidR="00000000" w:rsidDel="00000000" w:rsidP="00000000" w:rsidRDefault="00000000" w:rsidRPr="00000000" w14:paraId="0000009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9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En caso de que no se subsanen las inconsistencias que haya detectado "LA SECRETARÍA" a través de la UERSJL en los reportes trimestrales que presente "EL GOBIERNO DEL ESTADO".</w:t>
      </w:r>
    </w:p>
    <w:p w:rsidR="00000000" w:rsidDel="00000000" w:rsidP="00000000" w:rsidRDefault="00000000" w:rsidRPr="00000000" w14:paraId="0000009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000000" w:rsidDel="00000000" w:rsidP="00000000" w:rsidRDefault="00000000" w:rsidRPr="00000000" w14:paraId="0000009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SÉPTIMA.</w:t>
      </w:r>
      <w:r w:rsidDel="00000000" w:rsidR="00000000" w:rsidRPr="00000000">
        <w:rPr>
          <w:color w:val="2f2f2f"/>
          <w:sz w:val="18"/>
          <w:szCs w:val="18"/>
          <w:rtl w:val="0"/>
        </w:rPr>
        <w:t xml:space="preserve"> VIGENCIA. El presente Convenio entrará en vigor a partir del día de su firma y permanecerá vigente hasta el 16 de octubre de 2021.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9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OCTAVA.</w:t>
      </w:r>
      <w:r w:rsidDel="00000000" w:rsidR="00000000" w:rsidRPr="00000000">
        <w:rPr>
          <w:color w:val="2f2f2f"/>
          <w:sz w:val="18"/>
          <w:szCs w:val="18"/>
          <w:rtl w:val="0"/>
        </w:rPr>
        <w:t xml:space="preserve"> 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A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NOVENA.</w:t>
      </w:r>
      <w:r w:rsidDel="00000000" w:rsidR="00000000" w:rsidRPr="00000000">
        <w:rPr>
          <w:color w:val="2f2f2f"/>
          <w:sz w:val="18"/>
          <w:szCs w:val="18"/>
          <w:rtl w:val="0"/>
        </w:rPr>
        <w:t xml:space="preserve"> TRANSPARENCIA. "LAS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A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0A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00000" w:rsidDel="00000000" w:rsidP="00000000" w:rsidRDefault="00000000" w:rsidRPr="00000000" w14:paraId="000000A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000000" w:rsidDel="00000000" w:rsidP="00000000" w:rsidRDefault="00000000" w:rsidRPr="00000000" w14:paraId="000000A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Leído y ratificado el presente instrumento jurídico y enteradas las partes de su contenido, alcance y fuerza legal, lo suscriben en 5 ejemplares en la Ciudad de México, a los seis días del mes de mayo de dos mil veintiuno.- Poder Ejecutivo Federal, STPS: el Titular de la Unidad de Enlace para la Reforma al Sistema de Justicia Laboral, </w:t>
      </w:r>
      <w:r w:rsidDel="00000000" w:rsidR="00000000" w:rsidRPr="00000000">
        <w:rPr>
          <w:b w:val="1"/>
          <w:color w:val="2f2f2f"/>
          <w:sz w:val="18"/>
          <w:szCs w:val="18"/>
          <w:rtl w:val="0"/>
        </w:rPr>
        <w:t xml:space="preserve">Esteban Martínez Mejía</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Gobierno del Estado: el Titular de la Secretaría de Gobierno, </w:t>
      </w:r>
      <w:r w:rsidDel="00000000" w:rsidR="00000000" w:rsidRPr="00000000">
        <w:rPr>
          <w:b w:val="1"/>
          <w:color w:val="2f2f2f"/>
          <w:sz w:val="18"/>
          <w:szCs w:val="18"/>
          <w:rtl w:val="0"/>
        </w:rPr>
        <w:t xml:space="preserve">Juan Martín Granados Torres</w:t>
      </w:r>
      <w:r w:rsidDel="00000000" w:rsidR="00000000" w:rsidRPr="00000000">
        <w:rPr>
          <w:color w:val="2f2f2f"/>
          <w:sz w:val="18"/>
          <w:szCs w:val="18"/>
          <w:rtl w:val="0"/>
        </w:rPr>
        <w:t xml:space="preserve">.- Rúbrica.- El Titular de la Secretaría del Trabajo e Instancia Estatal Responsable del Proyecto, </w:t>
      </w:r>
      <w:r w:rsidDel="00000000" w:rsidR="00000000" w:rsidRPr="00000000">
        <w:rPr>
          <w:b w:val="1"/>
          <w:color w:val="2f2f2f"/>
          <w:sz w:val="18"/>
          <w:szCs w:val="18"/>
          <w:rtl w:val="0"/>
        </w:rPr>
        <w:t xml:space="preserve">Mario Fernando Ramírez Retolaza</w:t>
      </w:r>
      <w:r w:rsidDel="00000000" w:rsidR="00000000" w:rsidRPr="00000000">
        <w:rPr>
          <w:color w:val="2f2f2f"/>
          <w:sz w:val="18"/>
          <w:szCs w:val="18"/>
          <w:rtl w:val="0"/>
        </w:rPr>
        <w:t xml:space="preserve">.- Rúbrica.- La Titular de la Secretaría de Planeación y Finanzas del Estado de Querétaro, </w:t>
      </w:r>
      <w:r w:rsidDel="00000000" w:rsidR="00000000" w:rsidRPr="00000000">
        <w:rPr>
          <w:b w:val="1"/>
          <w:color w:val="2f2f2f"/>
          <w:sz w:val="18"/>
          <w:szCs w:val="18"/>
          <w:rtl w:val="0"/>
        </w:rPr>
        <w:t xml:space="preserve">Martha Lorena Leal Ruíz</w:t>
      </w:r>
      <w:r w:rsidDel="00000000" w:rsidR="00000000" w:rsidRPr="00000000">
        <w:rPr>
          <w:color w:val="2f2f2f"/>
          <w:sz w:val="18"/>
          <w:szCs w:val="18"/>
          <w:rtl w:val="0"/>
        </w:rPr>
        <w:t xml:space="preserve">.- Rúbrica.- El Magistrado Presidente del Poder Judicial del Estado de Querétaro, </w:t>
      </w:r>
      <w:r w:rsidDel="00000000" w:rsidR="00000000" w:rsidRPr="00000000">
        <w:rPr>
          <w:b w:val="1"/>
          <w:color w:val="2f2f2f"/>
          <w:sz w:val="18"/>
          <w:szCs w:val="18"/>
          <w:rtl w:val="0"/>
        </w:rPr>
        <w:t xml:space="preserve">José Antonio Ortega Cerbón</w:t>
      </w:r>
      <w:r w:rsidDel="00000000" w:rsidR="00000000" w:rsidRPr="00000000">
        <w:rPr>
          <w:color w:val="2f2f2f"/>
          <w:sz w:val="18"/>
          <w:szCs w:val="18"/>
          <w:rtl w:val="0"/>
        </w:rPr>
        <w:t xml:space="preserve">.- Rúbrica.</w:t>
      </w:r>
    </w:p>
    <w:p w:rsidR="00000000" w:rsidDel="00000000" w:rsidP="00000000" w:rsidRDefault="00000000" w:rsidRPr="00000000" w14:paraId="000000A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