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9" w:rsidRPr="00C21589" w:rsidRDefault="00C21589" w:rsidP="00C21589">
      <w:pPr>
        <w:jc w:val="center"/>
        <w:rPr>
          <w:rFonts w:ascii="Verdana" w:hAnsi="Verdana"/>
          <w:b/>
          <w:bCs/>
          <w:color w:val="0070C0"/>
          <w:sz w:val="24"/>
        </w:rPr>
      </w:pPr>
      <w:r w:rsidRPr="00C21589">
        <w:rPr>
          <w:rFonts w:ascii="Verdana" w:hAnsi="Verdana"/>
          <w:b/>
          <w:bCs/>
          <w:color w:val="0070C0"/>
          <w:sz w:val="24"/>
        </w:rPr>
        <w:t>Acuerdo que modifica al diverso por el que la Secretaría de Economía emite reglas y criterios de carácter general en materia de Comercio Exterior.</w:t>
      </w:r>
    </w:p>
    <w:p w:rsidR="006D37B6" w:rsidRDefault="00EE4078" w:rsidP="00EE4078">
      <w:pPr>
        <w:jc w:val="center"/>
        <w:rPr>
          <w:rFonts w:ascii="Verdana" w:hAnsi="Verdana"/>
          <w:b/>
          <w:bCs/>
          <w:color w:val="0070C0"/>
          <w:sz w:val="24"/>
        </w:rPr>
      </w:pPr>
      <w:r w:rsidRPr="00EE4078">
        <w:rPr>
          <w:rFonts w:ascii="Verdana" w:hAnsi="Verdana"/>
          <w:b/>
          <w:bCs/>
          <w:color w:val="0070C0"/>
          <w:sz w:val="24"/>
        </w:rPr>
        <w:t xml:space="preserve"> </w:t>
      </w:r>
      <w:r w:rsidR="006D37B6" w:rsidRPr="00EE4078">
        <w:rPr>
          <w:rFonts w:ascii="Verdana" w:hAnsi="Verdana"/>
          <w:b/>
          <w:bCs/>
          <w:color w:val="0070C0"/>
          <w:sz w:val="24"/>
        </w:rPr>
        <w:t>(DOF del 31 de enero de 2020)</w:t>
      </w:r>
    </w:p>
    <w:p w:rsidR="00C21589" w:rsidRPr="00C21589" w:rsidRDefault="00C21589" w:rsidP="00C21589">
      <w:pPr>
        <w:jc w:val="both"/>
        <w:rPr>
          <w:rFonts w:ascii="Verdana" w:hAnsi="Verdana"/>
          <w:b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Al margen un sello con el Escudo Nacional, que dice: Estados Unidos Mexicanos.- ECONOMÍA.- Secretaría de Economía.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Con fundamento en los artículos 34 fracciones I, V y XXXIII de la Ley Orgánica de la Administración Pública Federal; 4o. fracción III, 5o. fracciones III y XII, 17, 20 y 26 de la Ley de Comercio Exterior; 36-A fracciones I inciso c) y II inciso b) de la Ley Aduanera; 5 fracción XVII del Reglamento Interior de la Secretaría de Economía, y</w:t>
      </w:r>
    </w:p>
    <w:p w:rsidR="00C21589" w:rsidRPr="00C21589" w:rsidRDefault="00C21589" w:rsidP="00C21589">
      <w:pPr>
        <w:jc w:val="both"/>
        <w:rPr>
          <w:rFonts w:ascii="Verdana" w:hAnsi="Verdana"/>
          <w:b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CONSIDERANDO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Que el Acuerdo por el que la Secretaría de Economía emite reglas y criterios de carácter general en materia de Comercio Exterior (Acuerdo), publicado en el Diario Oficial de la Federación el 31 de diciembre de 2012 y sus diversas modificaciones, tiene por objeto dar a conocer las reglas que establecen disposiciones de carácter general y los criterios necesarios para el cumplimiento de las leyes, acuerdos o tratados comerciales internacionales, reglamentos, decretos, acuerdos y demás ordenamientos generales competencia de esta Secretaría, agrupándolos de modo que faciliten al usuario su aplicación.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Que mediante el Anexo 2.4.1 del Acuerdo se identifican las fracciones arancelarias de la Tarifa de la Ley de los Impuestos Generales de Importación y de Exportación, cuyas mercancías están sujetas al cumplimiento de Normas Oficiales Mexicanas en el punto de su entrada al país y en el de su salida.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Que conforme a lo dispuesto por los artículos 20 y 26 de la Ley de Comercio Exterior, sólo podrán hacerse cumplir en el punto de entrada de la mercancía al país, las normas oficiales mexicanas determinadas por la Secretaría de Economía, y las mercancías sujetas a dichas normas deberán estar identificadas en términos de sus fracciones arancelarias y de la nomenclatura que les corresponda, conforme a la Tarifa respectiva.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Que mediante Decreto publicado el 6 de noviembre de 2019 en el Diario Oficial de la Federación, se modificó la Tarifa de la Ley de los Impuestos Generales de Importación y de Exportación, con el cual se crearon, modificaron y suprimieron diversas fracciones arancelarias que clasifican pescados, crustáceos, moluscos y demás invertebrados acuáticos y sus preparaciones en el capítulo 16, entre otros, por lo que resulta necesario actualizar el marco normativo aplicable, y en consecuencia reflejar las modificaciones a la citada Tarifa dentro del Anexo 2.4.1 del Acuerdo, para contar con un marco jurídico que brinde certeza a los particulares y operadores de comercio exterior.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lastRenderedPageBreak/>
        <w:t>Que en cumplimiento a lo señalado por la Ley de Comercio Exterior, las disposiciones del presente instrumento fueron sometidas a la consideración de la Comisión de Comercio Exterior y opinadas por la misma, por lo que se expide el siguiente:</w:t>
      </w:r>
    </w:p>
    <w:p w:rsidR="00C21589" w:rsidRPr="00C21589" w:rsidRDefault="00C21589" w:rsidP="00C21589">
      <w:pPr>
        <w:jc w:val="both"/>
        <w:rPr>
          <w:rFonts w:ascii="Verdana" w:hAnsi="Verdana"/>
          <w:b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ACUERDO QUE MODIFICA AL DIVERSO POR EL QUE LA SECRETARÍA DE ECONOMÍA EMITE</w:t>
      </w:r>
      <w:r w:rsidRPr="00C21589">
        <w:rPr>
          <w:rFonts w:ascii="Verdana" w:hAnsi="Verdana"/>
          <w:b/>
          <w:bCs/>
          <w:sz w:val="20"/>
        </w:rPr>
        <w:br/>
        <w:t>REGLAS Y CRITERIOS DE CARÁCTER GENERAL EN MATERIA DE COMERCIO EXTERIOR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Primero.- </w:t>
      </w:r>
      <w:r w:rsidRPr="00C21589">
        <w:rPr>
          <w:rFonts w:ascii="Verdana" w:hAnsi="Verdana"/>
          <w:bCs/>
          <w:sz w:val="20"/>
        </w:rPr>
        <w:t>Se </w:t>
      </w:r>
      <w:r w:rsidRPr="00C21589">
        <w:rPr>
          <w:rFonts w:ascii="Verdana" w:hAnsi="Verdana"/>
          <w:b/>
          <w:bCs/>
          <w:sz w:val="20"/>
        </w:rPr>
        <w:t>adicionan </w:t>
      </w:r>
      <w:r w:rsidRPr="00C21589">
        <w:rPr>
          <w:rFonts w:ascii="Verdana" w:hAnsi="Verdana"/>
          <w:bCs/>
          <w:sz w:val="20"/>
        </w:rPr>
        <w:t>a la fracción VIII del numeral 3 del Anexo 2.4.1 del Acuerdo por el que la Secretaría de Economía emite reglas y criterios de carácter general en materia de Comercio Exterior, publicado en el Diario Oficial de la Federación el 31 de diciembre de 2012 y sus posteriores modificaciones, las fracciones arancelarias que se indican, en el orden que les corresponda según su numeración: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"</w:t>
      </w:r>
      <w:r w:rsidRPr="00C21589">
        <w:rPr>
          <w:rFonts w:ascii="Verdana" w:hAnsi="Verdana"/>
          <w:b/>
          <w:bCs/>
          <w:sz w:val="20"/>
        </w:rPr>
        <w:t>Anexo 2.4.1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1.- </w:t>
      </w:r>
      <w:r w:rsidRPr="00C21589">
        <w:rPr>
          <w:rFonts w:ascii="Verdana" w:hAnsi="Verdana"/>
          <w:bCs/>
          <w:sz w:val="20"/>
        </w:rPr>
        <w:t>y</w:t>
      </w:r>
      <w:r w:rsidRPr="00C21589">
        <w:rPr>
          <w:rFonts w:ascii="Verdana" w:hAnsi="Verdana"/>
          <w:b/>
          <w:bCs/>
          <w:sz w:val="20"/>
        </w:rPr>
        <w:t> 2.</w:t>
      </w:r>
      <w:proofErr w:type="gramStart"/>
      <w:r w:rsidRPr="00C21589">
        <w:rPr>
          <w:rFonts w:ascii="Verdana" w:hAnsi="Verdana"/>
          <w:b/>
          <w:bCs/>
          <w:sz w:val="20"/>
        </w:rPr>
        <w:t>- ...</w:t>
      </w:r>
      <w:proofErr w:type="gramEnd"/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3.</w:t>
      </w:r>
      <w:proofErr w:type="gramStart"/>
      <w:r w:rsidRPr="00C21589">
        <w:rPr>
          <w:rFonts w:ascii="Verdana" w:hAnsi="Verdana"/>
          <w:b/>
          <w:bCs/>
          <w:sz w:val="20"/>
        </w:rPr>
        <w:t>- ...</w:t>
      </w:r>
      <w:proofErr w:type="gramEnd"/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I. </w:t>
      </w:r>
      <w:r w:rsidRPr="00C21589">
        <w:rPr>
          <w:rFonts w:ascii="Verdana" w:hAnsi="Verdana"/>
          <w:bCs/>
          <w:sz w:val="20"/>
        </w:rPr>
        <w:t>a</w:t>
      </w:r>
      <w:r w:rsidRPr="00C21589">
        <w:rPr>
          <w:rFonts w:ascii="Verdana" w:hAnsi="Verdana"/>
          <w:b/>
          <w:bCs/>
          <w:sz w:val="20"/>
        </w:rPr>
        <w:t> VII. 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VIII</w:t>
      </w:r>
      <w:proofErr w:type="gramStart"/>
      <w:r w:rsidRPr="00C21589">
        <w:rPr>
          <w:rFonts w:ascii="Verdana" w:hAnsi="Verdana"/>
          <w:b/>
          <w:bCs/>
          <w:sz w:val="20"/>
        </w:rPr>
        <w:t>. ...</w:t>
      </w:r>
      <w:proofErr w:type="gramEnd"/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002"/>
      </w:tblGrid>
      <w:tr w:rsidR="00C21589" w:rsidRPr="00C21589" w:rsidTr="00C21589">
        <w:trPr>
          <w:trHeight w:val="45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Fracción</w:t>
            </w:r>
            <w:r w:rsidRPr="00C21589">
              <w:rPr>
                <w:rFonts w:ascii="Verdana" w:hAnsi="Verdana"/>
                <w:bCs/>
                <w:sz w:val="20"/>
              </w:rPr>
              <w:br/>
            </w:r>
            <w:r w:rsidRPr="00C21589">
              <w:rPr>
                <w:rFonts w:ascii="Verdana" w:hAnsi="Verdana"/>
                <w:b/>
                <w:bCs/>
                <w:sz w:val="20"/>
              </w:rPr>
              <w:t>arancelaria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Descripción</w:t>
            </w:r>
          </w:p>
        </w:tc>
      </w:tr>
      <w:tr w:rsidR="00C21589" w:rsidRPr="00C21589" w:rsidTr="00C21589">
        <w:trPr>
          <w:trHeight w:val="23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  <w:tr w:rsidR="00C21589" w:rsidRPr="00C21589" w:rsidTr="00C21589">
        <w:trPr>
          <w:trHeight w:val="836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1604.13.03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 xml:space="preserve">Arenque,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o espadín de la India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brachysoma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 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fringescale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fimbriata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de la India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longiceps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), 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rabo negro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melanura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de Bali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 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samarensis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 o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lemuru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 o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dorada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gibbosa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  <w:tr w:rsidR="00C21589" w:rsidRPr="00C21589" w:rsidTr="00C21589">
        <w:trPr>
          <w:trHeight w:val="224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  <w:tr w:rsidR="00C21589" w:rsidRPr="00C21589" w:rsidTr="00C21589">
        <w:trPr>
          <w:trHeight w:val="632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1604.16.03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Boquerón bucanero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Encrasicholina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punctifer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), Boquerón aduanero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Encrasicholina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> 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heteroloba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Boquerón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bombra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Stolephorus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commersonii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 o Boquerón de Andhra 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Stolephorus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andhraensis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  <w:tr w:rsidR="00C21589" w:rsidRPr="00C21589" w:rsidTr="00C21589">
        <w:trPr>
          <w:trHeight w:val="23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  <w:tr w:rsidR="00C21589" w:rsidRPr="00C21589" w:rsidTr="00C21589">
        <w:trPr>
          <w:trHeight w:val="50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1604.19.03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De merluza panameña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Merluccius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angustimanus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 o merluza del Pacífico Norte 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Merluccius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productus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</w:tbl>
    <w:p w:rsidR="00C21589" w:rsidRPr="00C21589" w:rsidRDefault="00C21589" w:rsidP="00C21589">
      <w:pPr>
        <w:jc w:val="both"/>
        <w:rPr>
          <w:rFonts w:ascii="Verdana" w:hAnsi="Verdana"/>
          <w:bCs/>
          <w:vanish/>
          <w:sz w:val="20"/>
        </w:rPr>
      </w:pP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002"/>
      </w:tblGrid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lastRenderedPageBreak/>
              <w:t>...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1604.20.04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De anchoas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Engraulis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spp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.).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1604.20.05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 xml:space="preserve">De atún del género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Thunnini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533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1604.20.06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De merluza panameña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Merluccius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angustimanus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 o merluza del Pacífico Norte 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Merluccius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productus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1604.20.07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Surimi y sus preparaciones.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96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1604.20.08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 xml:space="preserve">Arenque,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o espadín de la India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brachysoma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 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fringescale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fimbriata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de la India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longiceps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), 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rabo negro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melanura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),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de Bali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samarensis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 o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lemuru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) o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 xml:space="preserve"> dorada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gibbosa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1604.20.09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 xml:space="preserve">Los demás de </w:t>
            </w:r>
            <w:proofErr w:type="spellStart"/>
            <w:r w:rsidRPr="00C21589">
              <w:rPr>
                <w:rFonts w:ascii="Verdana" w:hAnsi="Verdana"/>
                <w:bCs/>
                <w:sz w:val="20"/>
              </w:rPr>
              <w:t>sardinela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 </w:t>
            </w:r>
            <w:r w:rsidRPr="00C21589">
              <w:rPr>
                <w:rFonts w:ascii="Verdana" w:hAnsi="Verdana"/>
                <w:bCs/>
                <w:i/>
                <w:iCs/>
                <w:sz w:val="20"/>
              </w:rPr>
              <w:t>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Sardinella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spp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.) o de espadín (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Sprattus</w:t>
            </w:r>
            <w:proofErr w:type="spellEnd"/>
            <w:r w:rsidRPr="00C21589">
              <w:rPr>
                <w:rFonts w:ascii="Verdana" w:hAnsi="Verdan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21589">
              <w:rPr>
                <w:rFonts w:ascii="Verdana" w:hAnsi="Verdana"/>
                <w:bCs/>
                <w:i/>
                <w:iCs/>
                <w:sz w:val="20"/>
              </w:rPr>
              <w:t>sprattus</w:t>
            </w:r>
            <w:proofErr w:type="spellEnd"/>
            <w:r w:rsidRPr="00C21589">
              <w:rPr>
                <w:rFonts w:ascii="Verdana" w:hAnsi="Verdana"/>
                <w:bCs/>
                <w:sz w:val="20"/>
              </w:rPr>
              <w:t>).</w:t>
            </w:r>
          </w:p>
        </w:tc>
      </w:tr>
      <w:tr w:rsidR="00C21589" w:rsidRPr="00C21589" w:rsidTr="00C21589">
        <w:trPr>
          <w:trHeight w:val="317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 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Excepto:</w:t>
            </w:r>
            <w:r w:rsidRPr="00C21589">
              <w:rPr>
                <w:rFonts w:ascii="Verdana" w:hAnsi="Verdana"/>
                <w:bCs/>
                <w:sz w:val="20"/>
              </w:rPr>
              <w:t> Atunes y bonitos picados.</w:t>
            </w:r>
          </w:p>
        </w:tc>
      </w:tr>
      <w:tr w:rsidR="00C21589" w:rsidRPr="00C21589" w:rsidTr="00C21589">
        <w:trPr>
          <w:trHeight w:val="332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</w:tbl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 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IX. </w:t>
      </w:r>
      <w:r w:rsidRPr="00C21589">
        <w:rPr>
          <w:rFonts w:ascii="Verdana" w:hAnsi="Verdana"/>
          <w:bCs/>
          <w:sz w:val="20"/>
        </w:rPr>
        <w:t>a</w:t>
      </w:r>
      <w:r w:rsidRPr="00C21589">
        <w:rPr>
          <w:rFonts w:ascii="Verdana" w:hAnsi="Verdana"/>
          <w:b/>
          <w:bCs/>
          <w:sz w:val="20"/>
        </w:rPr>
        <w:t> XV. 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4.- </w:t>
      </w:r>
      <w:proofErr w:type="gramStart"/>
      <w:r w:rsidRPr="00C21589">
        <w:rPr>
          <w:rFonts w:ascii="Verdana" w:hAnsi="Verdana"/>
          <w:bCs/>
          <w:sz w:val="20"/>
        </w:rPr>
        <w:t>a</w:t>
      </w:r>
      <w:proofErr w:type="gramEnd"/>
      <w:r w:rsidRPr="00C21589">
        <w:rPr>
          <w:rFonts w:ascii="Verdana" w:hAnsi="Verdana"/>
          <w:b/>
          <w:bCs/>
          <w:sz w:val="20"/>
        </w:rPr>
        <w:t> 13.- ..."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Segundo.- </w:t>
      </w:r>
      <w:r w:rsidRPr="00C21589">
        <w:rPr>
          <w:rFonts w:ascii="Verdana" w:hAnsi="Verdana"/>
          <w:bCs/>
          <w:sz w:val="20"/>
        </w:rPr>
        <w:t>Se </w:t>
      </w:r>
      <w:r w:rsidRPr="00C21589">
        <w:rPr>
          <w:rFonts w:ascii="Verdana" w:hAnsi="Verdana"/>
          <w:b/>
          <w:bCs/>
          <w:sz w:val="20"/>
        </w:rPr>
        <w:t>modifica </w:t>
      </w:r>
      <w:r w:rsidRPr="00C21589">
        <w:rPr>
          <w:rFonts w:ascii="Verdana" w:hAnsi="Verdana"/>
          <w:bCs/>
          <w:sz w:val="20"/>
        </w:rPr>
        <w:t>la descripción de la fracción arancelaria 1604.16.01 de la fracción VIII del numeral 3 del Anexo 2.4.1 del Acuerdo por el que la Secretaría de Economía emite reglas y criterios de carácter general en materia de Comercio Exterior, publicado en el Diario Oficial de la Federación el 31 de diciembre de 2012 y sus posteriores modificaciones, como a continuación se indica: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"</w:t>
      </w:r>
      <w:r w:rsidRPr="00C21589">
        <w:rPr>
          <w:rFonts w:ascii="Verdana" w:hAnsi="Verdana"/>
          <w:b/>
          <w:bCs/>
          <w:sz w:val="20"/>
        </w:rPr>
        <w:t>Anexo 2.4.1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lastRenderedPageBreak/>
        <w:t>1.- </w:t>
      </w:r>
      <w:r w:rsidRPr="00C21589">
        <w:rPr>
          <w:rFonts w:ascii="Verdana" w:hAnsi="Verdana"/>
          <w:bCs/>
          <w:sz w:val="20"/>
        </w:rPr>
        <w:t>y</w:t>
      </w:r>
      <w:r w:rsidRPr="00C21589">
        <w:rPr>
          <w:rFonts w:ascii="Verdana" w:hAnsi="Verdana"/>
          <w:b/>
          <w:bCs/>
          <w:sz w:val="20"/>
        </w:rPr>
        <w:t> 2.</w:t>
      </w:r>
      <w:proofErr w:type="gramStart"/>
      <w:r w:rsidRPr="00C21589">
        <w:rPr>
          <w:rFonts w:ascii="Verdana" w:hAnsi="Verdana"/>
          <w:b/>
          <w:bCs/>
          <w:sz w:val="20"/>
        </w:rPr>
        <w:t>- ...</w:t>
      </w:r>
      <w:proofErr w:type="gramEnd"/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3.</w:t>
      </w:r>
      <w:proofErr w:type="gramStart"/>
      <w:r w:rsidRPr="00C21589">
        <w:rPr>
          <w:rFonts w:ascii="Verdana" w:hAnsi="Verdana"/>
          <w:b/>
          <w:bCs/>
          <w:sz w:val="20"/>
        </w:rPr>
        <w:t>- ...</w:t>
      </w:r>
      <w:proofErr w:type="gramEnd"/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I. </w:t>
      </w:r>
      <w:r w:rsidRPr="00C21589">
        <w:rPr>
          <w:rFonts w:ascii="Verdana" w:hAnsi="Verdana"/>
          <w:bCs/>
          <w:sz w:val="20"/>
        </w:rPr>
        <w:t>a</w:t>
      </w:r>
      <w:r w:rsidRPr="00C21589">
        <w:rPr>
          <w:rFonts w:ascii="Verdana" w:hAnsi="Verdana"/>
          <w:b/>
          <w:bCs/>
          <w:sz w:val="20"/>
        </w:rPr>
        <w:t> VII. 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VIII.</w:t>
      </w:r>
      <w:proofErr w:type="gramStart"/>
      <w:r w:rsidRPr="00C21589">
        <w:rPr>
          <w:rFonts w:ascii="Verdana" w:hAnsi="Verdana"/>
          <w:b/>
          <w:bCs/>
          <w:sz w:val="20"/>
        </w:rPr>
        <w:t>- ...</w:t>
      </w:r>
      <w:proofErr w:type="gramEnd"/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7165"/>
      </w:tblGrid>
      <w:tr w:rsidR="00C21589" w:rsidRPr="00C21589" w:rsidTr="00C21589">
        <w:trPr>
          <w:trHeight w:val="556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Fracción</w:t>
            </w:r>
            <w:r w:rsidRPr="00C21589">
              <w:rPr>
                <w:rFonts w:ascii="Verdana" w:hAnsi="Verdana"/>
                <w:bCs/>
                <w:sz w:val="20"/>
              </w:rPr>
              <w:br/>
            </w:r>
            <w:r w:rsidRPr="00C21589">
              <w:rPr>
                <w:rFonts w:ascii="Verdana" w:hAnsi="Verdana"/>
                <w:b/>
                <w:bCs/>
                <w:sz w:val="20"/>
              </w:rPr>
              <w:t>arancelaria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Descripción</w:t>
            </w:r>
          </w:p>
        </w:tc>
      </w:tr>
      <w:tr w:rsidR="00C21589" w:rsidRPr="00C21589" w:rsidTr="00C21589">
        <w:trPr>
          <w:trHeight w:val="321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  <w:tr w:rsidR="00C21589" w:rsidRPr="00C21589" w:rsidTr="00C21589">
        <w:trPr>
          <w:trHeight w:val="321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1604.16.01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Cs/>
                <w:sz w:val="20"/>
              </w:rPr>
              <w:t>Filetes o sus rollos, en aceite, excepto lo comprendido en la fracción 1604.16.03.</w:t>
            </w:r>
          </w:p>
        </w:tc>
      </w:tr>
      <w:tr w:rsidR="00C21589" w:rsidRPr="00C21589" w:rsidTr="00C21589">
        <w:trPr>
          <w:trHeight w:val="336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C21589" w:rsidRPr="00C21589" w:rsidRDefault="00C21589" w:rsidP="00C21589">
            <w:pPr>
              <w:jc w:val="both"/>
              <w:rPr>
                <w:rFonts w:ascii="Verdana" w:hAnsi="Verdana"/>
                <w:bCs/>
                <w:sz w:val="20"/>
              </w:rPr>
            </w:pPr>
            <w:r w:rsidRPr="00C21589">
              <w:rPr>
                <w:rFonts w:ascii="Verdana" w:hAnsi="Verdana"/>
                <w:b/>
                <w:bCs/>
                <w:sz w:val="20"/>
              </w:rPr>
              <w:t>...</w:t>
            </w:r>
          </w:p>
        </w:tc>
      </w:tr>
    </w:tbl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 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IX. </w:t>
      </w:r>
      <w:r w:rsidRPr="00C21589">
        <w:rPr>
          <w:rFonts w:ascii="Verdana" w:hAnsi="Verdana"/>
          <w:bCs/>
          <w:sz w:val="20"/>
        </w:rPr>
        <w:t>a</w:t>
      </w:r>
      <w:r w:rsidRPr="00C21589">
        <w:rPr>
          <w:rFonts w:ascii="Verdana" w:hAnsi="Verdana"/>
          <w:b/>
          <w:bCs/>
          <w:sz w:val="20"/>
        </w:rPr>
        <w:t> XV. ...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4.- </w:t>
      </w:r>
      <w:proofErr w:type="gramStart"/>
      <w:r w:rsidRPr="00C21589">
        <w:rPr>
          <w:rFonts w:ascii="Verdana" w:hAnsi="Verdana"/>
          <w:bCs/>
          <w:sz w:val="20"/>
        </w:rPr>
        <w:t>a</w:t>
      </w:r>
      <w:proofErr w:type="gramEnd"/>
      <w:r w:rsidRPr="00C21589">
        <w:rPr>
          <w:rFonts w:ascii="Verdana" w:hAnsi="Verdana"/>
          <w:bCs/>
          <w:sz w:val="20"/>
        </w:rPr>
        <w:t> </w:t>
      </w:r>
      <w:r w:rsidRPr="00C21589">
        <w:rPr>
          <w:rFonts w:ascii="Verdana" w:hAnsi="Verdana"/>
          <w:b/>
          <w:bCs/>
          <w:sz w:val="20"/>
        </w:rPr>
        <w:t>13.- ..."</w:t>
      </w:r>
    </w:p>
    <w:p w:rsidR="00C21589" w:rsidRPr="00C21589" w:rsidRDefault="00C21589" w:rsidP="00C21589">
      <w:pPr>
        <w:jc w:val="both"/>
        <w:rPr>
          <w:rFonts w:ascii="Verdana" w:hAnsi="Verdana"/>
          <w:b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TRANSITORIO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/>
          <w:bCs/>
          <w:sz w:val="20"/>
        </w:rPr>
        <w:t>ÚNICO.-</w:t>
      </w:r>
      <w:r w:rsidRPr="00C21589">
        <w:rPr>
          <w:rFonts w:ascii="Verdana" w:hAnsi="Verdana"/>
          <w:bCs/>
          <w:sz w:val="20"/>
        </w:rPr>
        <w:t> El presente Acuerdo entrará en vigor el día 4 de febrero de 2020.</w:t>
      </w:r>
    </w:p>
    <w:p w:rsidR="00C21589" w:rsidRPr="00C21589" w:rsidRDefault="00C21589" w:rsidP="00C21589">
      <w:pPr>
        <w:jc w:val="both"/>
        <w:rPr>
          <w:rFonts w:ascii="Verdana" w:hAnsi="Verdana"/>
          <w:bCs/>
          <w:sz w:val="20"/>
        </w:rPr>
      </w:pPr>
      <w:r w:rsidRPr="00C21589">
        <w:rPr>
          <w:rFonts w:ascii="Verdana" w:hAnsi="Verdana"/>
          <w:bCs/>
          <w:sz w:val="20"/>
        </w:rPr>
        <w:t>Ciudad de México, a 17 de enero de 2020.- La Secretaria de Economía, </w:t>
      </w:r>
      <w:r w:rsidRPr="00C21589">
        <w:rPr>
          <w:rFonts w:ascii="Verdana" w:hAnsi="Verdana"/>
          <w:b/>
          <w:bCs/>
          <w:sz w:val="20"/>
        </w:rPr>
        <w:t>Graciela Márquez Colín</w:t>
      </w:r>
      <w:r w:rsidRPr="00C21589">
        <w:rPr>
          <w:rFonts w:ascii="Verdana" w:hAnsi="Verdana"/>
          <w:bCs/>
          <w:sz w:val="20"/>
        </w:rPr>
        <w:t>.- Rúbrica.</w:t>
      </w:r>
    </w:p>
    <w:p w:rsidR="00EE4078" w:rsidRPr="00EE4078" w:rsidRDefault="00EE4078" w:rsidP="00EE4078">
      <w:pPr>
        <w:jc w:val="both"/>
        <w:rPr>
          <w:rFonts w:ascii="Verdana" w:hAnsi="Verdana"/>
          <w:bCs/>
          <w:sz w:val="20"/>
        </w:rPr>
      </w:pPr>
      <w:bookmarkStart w:id="0" w:name="_GoBack"/>
      <w:bookmarkEnd w:id="0"/>
    </w:p>
    <w:sectPr w:rsidR="00EE4078" w:rsidRPr="00EE40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B6"/>
    <w:rsid w:val="000C67FA"/>
    <w:rsid w:val="002228FA"/>
    <w:rsid w:val="006D37B6"/>
    <w:rsid w:val="00C06CE1"/>
    <w:rsid w:val="00C21589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777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1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1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53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47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076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02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05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6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77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36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4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01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86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66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2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31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24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59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4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68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9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26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84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4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61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52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31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89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5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45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3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60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18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25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15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2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07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65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87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18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7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43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63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20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73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14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3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95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2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478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113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13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496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65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50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01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10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524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49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528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6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1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32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78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886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43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200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776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9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862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48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686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731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685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837">
          <w:marLeft w:val="0"/>
          <w:marRight w:val="0"/>
          <w:marTop w:val="24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9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0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6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30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9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53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8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7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8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74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5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4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9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2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0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15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42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1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8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0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5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38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77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3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7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32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9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8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0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6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9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3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2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4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8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77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61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06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79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5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58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5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68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20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82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60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9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5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7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85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6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5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77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53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3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73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22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50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87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33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93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8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71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12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2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3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55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8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7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14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4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28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1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7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36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37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1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1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7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93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62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5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04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0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7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41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80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2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1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68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36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04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8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8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4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69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71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16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10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04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8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20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97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8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15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67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9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09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1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9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5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7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0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61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01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98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44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9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07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24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59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03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8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0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10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4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3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3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12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98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84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85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4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36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86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11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1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8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404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6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9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88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2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54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83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28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76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95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169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866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761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49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07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580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33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022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6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23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908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625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66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919">
          <w:marLeft w:val="0"/>
          <w:marRight w:val="0"/>
          <w:marTop w:val="38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7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76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4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93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08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5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2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7004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31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4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35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65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60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04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32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9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1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25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05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49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16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88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10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73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71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79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25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5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76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6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27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44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21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10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84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72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22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96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5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7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72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1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37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48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22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68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71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04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73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51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4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63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89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6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13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74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37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87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5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80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52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47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57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24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86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40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10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53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13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07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89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71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2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2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1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27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54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60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54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83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61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8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35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41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74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05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55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23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5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40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24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80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07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42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56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13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8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13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99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6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04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24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86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7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81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38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07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4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4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10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05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2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52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17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9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96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6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83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05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1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48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42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53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15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81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90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8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98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31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49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76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59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46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65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16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79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90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69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0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68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7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8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09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0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13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05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43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79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0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94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86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1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4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85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22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6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12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89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54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74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2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77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28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48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71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814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546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48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160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541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398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82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17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42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597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81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43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293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269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4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85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39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31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9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98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30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04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67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20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85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94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1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6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68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60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62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89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18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43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44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95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52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36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54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6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83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20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61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6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79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6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34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28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9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20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24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86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36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34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14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48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6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00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52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886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30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82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6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95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11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13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1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0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85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7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19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8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93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90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88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00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4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97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68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46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41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9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3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5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243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8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70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1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066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20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76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33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84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39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49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06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32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61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15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68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3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18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77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51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7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10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13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53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65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362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68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36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32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14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6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46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18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83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18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77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89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566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35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96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36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16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036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30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24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55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998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5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91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17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16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3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92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29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303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59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6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1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48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606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132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08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59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427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080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88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8665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12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95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804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561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169">
          <w:marLeft w:val="0"/>
          <w:marRight w:val="0"/>
          <w:marTop w:val="5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5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77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7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6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19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1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4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48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4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5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3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3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0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9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8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6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0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7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4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1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9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0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67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1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257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8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3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2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2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3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8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9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2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1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7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2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8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3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0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6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7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9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6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51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3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2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49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7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4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0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2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7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2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8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4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3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0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5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0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2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98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6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4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1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4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7990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8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364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5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5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2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3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1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9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2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2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7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19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2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9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6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4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9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7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0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5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78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0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8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777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7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3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1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0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89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54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23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01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15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87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26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8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22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85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580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54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0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0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5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9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0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1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6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1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7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4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1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7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9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0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3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2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6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9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8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0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4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7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7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1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4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3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1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4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0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2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8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6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1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1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3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4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5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2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1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03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9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2</cp:revision>
  <dcterms:created xsi:type="dcterms:W3CDTF">2020-01-31T14:46:00Z</dcterms:created>
  <dcterms:modified xsi:type="dcterms:W3CDTF">2020-01-31T14:46:00Z</dcterms:modified>
</cp:coreProperties>
</file>